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2053" w:tblpY="1112"/>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601"/>
        <w:gridCol w:w="1510"/>
        <w:gridCol w:w="39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trHeight w:val="227" w:hRule="atLeast"/>
          <w:tblHeader/>
        </w:trPr>
        <w:tc>
          <w:tcPr>
            <w:tcW w:w="2601" w:type="dxa"/>
            <w:tcBorders>
              <w:top w:val="single" w:color="auto" w:sz="4" w:space="0"/>
              <w:bottom w:val="single" w:color="auto" w:sz="4" w:space="0"/>
            </w:tcBorders>
            <w:shd w:val="clear" w:color="auto" w:fill="FFFFFF"/>
            <w:tcMar>
              <w:top w:w="200" w:type="dxa"/>
              <w:left w:w="0" w:type="dxa"/>
              <w:bottom w:w="200" w:type="dxa"/>
              <w:right w:w="320" w:type="dxa"/>
            </w:tcMar>
            <w:vAlign w:val="center"/>
          </w:tcPr>
          <w:p>
            <w:pPr>
              <w:jc w:val="center"/>
              <w:rPr>
                <w:rFonts w:hint="default" w:ascii="Times New Roman Bold" w:hAnsi="Times New Roman Bold" w:cs="Times New Roman Bold"/>
                <w:b/>
                <w:bCs/>
                <w:i w:val="0"/>
                <w:sz w:val="21"/>
                <w:szCs w:val="21"/>
                <w:vertAlign w:val="baseline"/>
                <w:lang w:val="en-US" w:eastAsia="zh-CN"/>
              </w:rPr>
            </w:pPr>
            <w:r>
              <w:rPr>
                <w:rFonts w:hint="default" w:ascii="Times New Roman Bold" w:hAnsi="Times New Roman Bold" w:cs="Times New Roman Bold"/>
                <w:b/>
                <w:bCs/>
                <w:i w:val="0"/>
                <w:sz w:val="21"/>
                <w:szCs w:val="21"/>
                <w:vertAlign w:val="baseline"/>
                <w:lang w:val="en-US" w:eastAsia="zh-CN"/>
              </w:rPr>
              <w:t>Variable</w:t>
            </w:r>
          </w:p>
        </w:tc>
        <w:tc>
          <w:tcPr>
            <w:tcW w:w="0" w:type="auto"/>
            <w:tcBorders>
              <w:top w:val="single" w:color="auto" w:sz="4" w:space="0"/>
              <w:bottom w:val="single" w:color="auto" w:sz="4" w:space="0"/>
            </w:tcBorders>
            <w:shd w:val="clear" w:color="auto" w:fill="FFFFFF"/>
            <w:tcMar>
              <w:top w:w="200" w:type="dxa"/>
              <w:left w:w="320" w:type="dxa"/>
              <w:bottom w:w="200" w:type="dxa"/>
              <w:right w:w="320" w:type="dxa"/>
            </w:tcMar>
            <w:vAlign w:val="center"/>
          </w:tcPr>
          <w:p>
            <w:pPr>
              <w:jc w:val="center"/>
              <w:rPr>
                <w:rFonts w:hint="default" w:ascii="Times New Roman Bold" w:hAnsi="Times New Roman Bold" w:cs="Times New Roman Bold"/>
                <w:b/>
                <w:bCs/>
                <w:i w:val="0"/>
                <w:sz w:val="21"/>
                <w:szCs w:val="21"/>
                <w:vertAlign w:val="baseline"/>
                <w:lang w:val="en-US" w:eastAsia="zh-CN"/>
              </w:rPr>
            </w:pPr>
            <w:r>
              <w:rPr>
                <w:rFonts w:hint="default" w:ascii="Times New Roman Bold" w:hAnsi="Times New Roman Bold" w:cs="Times New Roman Bold"/>
                <w:b/>
                <w:bCs/>
                <w:i w:val="0"/>
                <w:sz w:val="21"/>
                <w:szCs w:val="21"/>
                <w:vertAlign w:val="baseline"/>
                <w:lang w:val="en-US" w:eastAsia="zh-CN"/>
              </w:rPr>
              <w:t>Missing n</w:t>
            </w:r>
          </w:p>
        </w:tc>
        <w:tc>
          <w:tcPr>
            <w:tcW w:w="3950" w:type="dxa"/>
            <w:tcBorders>
              <w:top w:val="single" w:color="auto" w:sz="4" w:space="0"/>
              <w:bottom w:val="single" w:color="auto" w:sz="4" w:space="0"/>
            </w:tcBorders>
            <w:shd w:val="clear" w:color="auto" w:fill="FFFFFF"/>
            <w:tcMar>
              <w:top w:w="200" w:type="dxa"/>
              <w:left w:w="320" w:type="dxa"/>
              <w:bottom w:w="200" w:type="dxa"/>
              <w:right w:w="320" w:type="dxa"/>
            </w:tcMar>
            <w:vAlign w:val="center"/>
          </w:tcPr>
          <w:p>
            <w:pPr>
              <w:jc w:val="center"/>
              <w:rPr>
                <w:rFonts w:hint="default" w:ascii="Times New Roman Bold" w:hAnsi="Times New Roman Bold" w:cs="Times New Roman Bold"/>
                <w:b/>
                <w:bCs/>
                <w:i w:val="0"/>
                <w:sz w:val="21"/>
                <w:szCs w:val="21"/>
                <w:vertAlign w:val="baseline"/>
                <w:lang w:val="en-US" w:eastAsia="zh-CN"/>
              </w:rPr>
            </w:pPr>
            <w:r>
              <w:rPr>
                <w:rFonts w:hint="default" w:ascii="Times New Roman Bold" w:hAnsi="Times New Roman Bold" w:cs="Times New Roman Bold"/>
                <w:b/>
                <w:bCs/>
                <w:i w:val="0"/>
                <w:sz w:val="21"/>
                <w:szCs w:val="21"/>
                <w:vertAlign w:val="baseline"/>
                <w:lang w:val="en-US" w:eastAsia="zh-CN"/>
              </w:rPr>
              <w:t>Missing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c>
          <w:tcPr>
            <w:tcW w:w="2601" w:type="dxa"/>
            <w:tcBorders>
              <w:top w:val="single" w:color="auto" w:sz="4" w:space="0"/>
            </w:tcBorders>
            <w:shd w:val="clear" w:color="auto" w:fill="FFFFFF"/>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r3newcrea</w:t>
            </w:r>
          </w:p>
        </w:tc>
        <w:tc>
          <w:tcPr>
            <w:tcW w:w="0" w:type="auto"/>
            <w:tcBorders>
              <w:top w:val="single" w:color="auto" w:sz="4" w:space="0"/>
            </w:tcBorders>
            <w:shd w:val="clear" w:color="auto" w:fill="FFFFFF"/>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w:t>
            </w:r>
          </w:p>
        </w:tc>
        <w:tc>
          <w:tcPr>
            <w:tcW w:w="3950" w:type="dxa"/>
            <w:tcBorders>
              <w:top w:val="single" w:color="auto" w:sz="4" w:space="0"/>
            </w:tcBorders>
            <w:shd w:val="clear" w:color="auto" w:fill="FFFFFF"/>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c>
          <w:tcPr>
            <w:tcW w:w="2601" w:type="dxa"/>
            <w:shd w:val="clear" w:color="auto" w:fill="FFFFFF"/>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r1drink</w:t>
            </w:r>
          </w:p>
        </w:tc>
        <w:tc>
          <w:tcPr>
            <w:tcW w:w="0" w:type="auto"/>
            <w:shd w:val="clear" w:color="auto" w:fill="FFFFFF"/>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4</w:t>
            </w:r>
          </w:p>
        </w:tc>
        <w:tc>
          <w:tcPr>
            <w:tcW w:w="3950" w:type="dxa"/>
            <w:shd w:val="clear" w:color="auto" w:fill="FFFFFF"/>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c>
          <w:tcPr>
            <w:tcW w:w="2601" w:type="dxa"/>
            <w:shd w:val="clear" w:color="auto" w:fill="FFFFFF"/>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r1rxhibp_c</w:t>
            </w:r>
          </w:p>
        </w:tc>
        <w:tc>
          <w:tcPr>
            <w:tcW w:w="0" w:type="auto"/>
            <w:shd w:val="clear" w:color="auto" w:fill="FFFFFF"/>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6</w:t>
            </w:r>
          </w:p>
        </w:tc>
        <w:tc>
          <w:tcPr>
            <w:tcW w:w="3950" w:type="dxa"/>
            <w:shd w:val="clear" w:color="auto" w:fill="FFFFFF"/>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c>
          <w:tcPr>
            <w:tcW w:w="2601" w:type="dxa"/>
            <w:shd w:val="clear" w:color="auto" w:fill="FFFFFF"/>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r1smoke</w:t>
            </w:r>
          </w:p>
        </w:tc>
        <w:tc>
          <w:tcPr>
            <w:tcW w:w="0" w:type="auto"/>
            <w:shd w:val="clear" w:color="auto" w:fill="FFFFFF"/>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40</w:t>
            </w:r>
          </w:p>
        </w:tc>
        <w:tc>
          <w:tcPr>
            <w:tcW w:w="3950" w:type="dxa"/>
            <w:shd w:val="clear" w:color="auto" w:fill="FFFFFF"/>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c>
          <w:tcPr>
            <w:tcW w:w="2601" w:type="dxa"/>
            <w:shd w:val="clear" w:color="auto" w:fill="FFFFFF"/>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r3mbmi</w:t>
            </w:r>
          </w:p>
        </w:tc>
        <w:tc>
          <w:tcPr>
            <w:tcW w:w="0" w:type="auto"/>
            <w:shd w:val="clear" w:color="auto" w:fill="FFFFFF"/>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43</w:t>
            </w:r>
          </w:p>
        </w:tc>
        <w:tc>
          <w:tcPr>
            <w:tcW w:w="3950" w:type="dxa"/>
            <w:shd w:val="clear" w:color="auto" w:fill="FFFFFF"/>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c>
          <w:tcPr>
            <w:tcW w:w="2601" w:type="dxa"/>
            <w:shd w:val="clear" w:color="auto" w:fill="FFFFFF"/>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r3systo</w:t>
            </w:r>
          </w:p>
        </w:tc>
        <w:tc>
          <w:tcPr>
            <w:tcW w:w="0" w:type="auto"/>
            <w:shd w:val="clear" w:color="auto" w:fill="FFFFFF"/>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48</w:t>
            </w:r>
          </w:p>
        </w:tc>
        <w:tc>
          <w:tcPr>
            <w:tcW w:w="3950" w:type="dxa"/>
            <w:shd w:val="clear" w:color="auto" w:fill="FFFFFF"/>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c>
          <w:tcPr>
            <w:tcW w:w="2601" w:type="dxa"/>
            <w:shd w:val="clear" w:color="auto" w:fill="FFFFFF"/>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r3diasto</w:t>
            </w:r>
          </w:p>
        </w:tc>
        <w:tc>
          <w:tcPr>
            <w:tcW w:w="0" w:type="auto"/>
            <w:shd w:val="clear" w:color="auto" w:fill="FFFFFF"/>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48</w:t>
            </w:r>
          </w:p>
        </w:tc>
        <w:tc>
          <w:tcPr>
            <w:tcW w:w="3950" w:type="dxa"/>
            <w:shd w:val="clear" w:color="auto" w:fill="FFFFFF"/>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c>
          <w:tcPr>
            <w:tcW w:w="2601" w:type="dxa"/>
            <w:shd w:val="clear" w:color="auto" w:fill="FFFFFF"/>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r1diasto</w:t>
            </w:r>
          </w:p>
        </w:tc>
        <w:tc>
          <w:tcPr>
            <w:tcW w:w="0" w:type="auto"/>
            <w:shd w:val="clear" w:color="auto" w:fill="FFFFFF"/>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344</w:t>
            </w:r>
          </w:p>
        </w:tc>
        <w:tc>
          <w:tcPr>
            <w:tcW w:w="3950" w:type="dxa"/>
            <w:shd w:val="clear" w:color="auto" w:fill="FFFFFF"/>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c>
          <w:tcPr>
            <w:tcW w:w="2601" w:type="dxa"/>
            <w:shd w:val="clear" w:color="auto" w:fill="FFFFFF"/>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r1systo</w:t>
            </w:r>
          </w:p>
        </w:tc>
        <w:tc>
          <w:tcPr>
            <w:tcW w:w="0" w:type="auto"/>
            <w:shd w:val="clear" w:color="auto" w:fill="FFFFFF"/>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345</w:t>
            </w:r>
          </w:p>
        </w:tc>
        <w:tc>
          <w:tcPr>
            <w:tcW w:w="3950" w:type="dxa"/>
            <w:shd w:val="clear" w:color="auto" w:fill="FFFFFF"/>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c>
          <w:tcPr>
            <w:tcW w:w="2601" w:type="dxa"/>
            <w:shd w:val="clear" w:color="auto" w:fill="FFFFFF"/>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r1mbmi</w:t>
            </w:r>
          </w:p>
        </w:tc>
        <w:tc>
          <w:tcPr>
            <w:tcW w:w="0" w:type="auto"/>
            <w:shd w:val="clear" w:color="auto" w:fill="FFFFFF"/>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349</w:t>
            </w:r>
          </w:p>
        </w:tc>
        <w:tc>
          <w:tcPr>
            <w:tcW w:w="3950" w:type="dxa"/>
            <w:shd w:val="clear" w:color="auto" w:fill="FFFFFF"/>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c>
          <w:tcPr>
            <w:tcW w:w="2601" w:type="dxa"/>
            <w:shd w:val="clear" w:color="auto" w:fill="FFFFFF"/>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r3rxdiab_c</w:t>
            </w:r>
          </w:p>
        </w:tc>
        <w:tc>
          <w:tcPr>
            <w:tcW w:w="0" w:type="auto"/>
            <w:shd w:val="clear" w:color="auto" w:fill="FFFFFF"/>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1,150</w:t>
            </w:r>
          </w:p>
        </w:tc>
        <w:tc>
          <w:tcPr>
            <w:tcW w:w="3950" w:type="dxa"/>
            <w:shd w:val="clear" w:color="auto" w:fill="FFFFFF"/>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38.6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c>
          <w:tcPr>
            <w:tcW w:w="2601" w:type="dxa"/>
            <w:shd w:val="clear" w:color="auto" w:fill="FFFFFF"/>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r3rxhibp_c</w:t>
            </w:r>
          </w:p>
        </w:tc>
        <w:tc>
          <w:tcPr>
            <w:tcW w:w="0" w:type="auto"/>
            <w:shd w:val="clear" w:color="auto" w:fill="FFFFFF"/>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1,175</w:t>
            </w:r>
          </w:p>
        </w:tc>
        <w:tc>
          <w:tcPr>
            <w:tcW w:w="3950" w:type="dxa"/>
            <w:shd w:val="clear" w:color="auto" w:fill="FFFFFF"/>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39.4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c>
          <w:tcPr>
            <w:tcW w:w="2601" w:type="dxa"/>
            <w:tcBorders>
              <w:bottom w:val="single" w:color="auto" w:sz="4" w:space="0"/>
            </w:tcBorders>
            <w:shd w:val="clear" w:color="auto" w:fill="FFFFFF"/>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r3rxdyslip_c</w:t>
            </w:r>
          </w:p>
        </w:tc>
        <w:tc>
          <w:tcPr>
            <w:tcW w:w="0" w:type="auto"/>
            <w:tcBorders>
              <w:bottom w:val="single" w:color="auto" w:sz="4" w:space="0"/>
            </w:tcBorders>
            <w:shd w:val="clear" w:color="auto" w:fill="FFFFFF"/>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1,220</w:t>
            </w:r>
          </w:p>
        </w:tc>
        <w:tc>
          <w:tcPr>
            <w:tcW w:w="3950" w:type="dxa"/>
            <w:tcBorders>
              <w:bottom w:val="single" w:color="auto" w:sz="4" w:space="0"/>
            </w:tcBorders>
            <w:shd w:val="clear" w:color="auto" w:fill="FFFFFF"/>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40.9</w:t>
            </w:r>
          </w:p>
        </w:tc>
      </w:tr>
    </w:tbl>
    <w:p>
      <w:pPr>
        <w:jc w:val="center"/>
        <w:rPr>
          <w:rFonts w:hint="default" w:ascii="Times New Roman Bold" w:hAnsi="Times New Roman Bold" w:cs="Times New Roman Bold"/>
          <w:b/>
          <w:bCs/>
          <w:i w:val="0"/>
          <w:sz w:val="21"/>
          <w:szCs w:val="21"/>
          <w:vertAlign w:val="baseline"/>
          <w:lang w:val="en-US" w:eastAsia="zh-CN"/>
        </w:rPr>
      </w:pPr>
      <w:r>
        <w:rPr>
          <w:rFonts w:hint="default" w:ascii="Times New Roman Bold" w:hAnsi="Times New Roman Bold" w:cs="Times New Roman Bold"/>
          <w:b/>
          <w:bCs/>
          <w:i w:val="0"/>
          <w:sz w:val="21"/>
          <w:szCs w:val="21"/>
          <w:vertAlign w:val="baseline"/>
          <w:lang w:val="en-US" w:eastAsia="zh-CN"/>
        </w:rPr>
        <w:t>Supplementary Table S1. Missing data summary for all variables in the final cohort (n=2,980)</w:t>
      </w:r>
    </w:p>
    <w:p>
      <w:pPr>
        <w:rPr>
          <w:rFonts w:hint="default" w:ascii="Times New Roman" w:hAnsi="Times New Roman" w:cs="Times New Roman Regular" w:eastAsiaTheme="minorEastAsia"/>
          <w:b w:val="0"/>
          <w:bCs w:val="0"/>
          <w:i w:val="0"/>
          <w:kern w:val="2"/>
          <w:sz w:val="21"/>
          <w:szCs w:val="21"/>
          <w:vertAlign w:val="baseline"/>
          <w:lang w:val="en-US" w:eastAsia="zh-CN" w:bidi="ar-SA"/>
        </w:rPr>
      </w:pP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Regular" w:eastAsiaTheme="minorEastAsia"/>
          <w:b w:val="0"/>
          <w:bCs w:val="0"/>
          <w:i w:val="0"/>
          <w:kern w:val="2"/>
          <w:sz w:val="21"/>
          <w:szCs w:val="21"/>
          <w:vertAlign w:val="baseline"/>
          <w:lang w:val="en-US" w:eastAsia="zh-CN" w:bidi="ar-SA"/>
        </w:rPr>
      </w:pPr>
      <w:r>
        <w:rPr>
          <w:rFonts w:hint="default" w:ascii="Times New Roman" w:hAnsi="Times New Roman" w:cs="Times New Roman Regular" w:eastAsiaTheme="minorEastAsia"/>
          <w:b w:val="0"/>
          <w:bCs w:val="0"/>
          <w:i w:val="0"/>
          <w:kern w:val="2"/>
          <w:sz w:val="21"/>
          <w:szCs w:val="21"/>
          <w:vertAlign w:val="baseline"/>
          <w:lang w:val="en-US" w:eastAsia="zh-CN" w:bidi="ar-SA"/>
        </w:rPr>
        <w:t>Core variables used in the main analysis (exposure, outcomes, follow-up time, and Wave 3 covariates) had no missing data in the final analytical dataset (n = 2,980), as participants with missing values in these variables were excluded via listwise deletion (na.omit) during data preparation. Missingness in medication variables (r3rxhibp_c, r3rxdyslip_c, r3rxdiab_c) arose from the questionnaire's skip-logic, where participants without a corresponding diagnosis were not asked about medication use; thus, missing values indicate non-use of the specific drug class. In the main analysis (Model 3), these medication variables were not adjusted to avoid overadjustment for variables potentially lying on the causal pathway. In sensitivity analyses (Model 4), missing medication data were handled by multiple imputation (MICE) with 5 imputed datasets, 50 iterations, and predictive mean matching, with missing-as-zero imputation as a complementary approach; both yielded consistent results with the main analysis.</w:t>
      </w:r>
    </w:p>
    <w:p>
      <w:pPr>
        <w:rPr>
          <w:rFonts w:hint="default" w:ascii="Times New Roman" w:hAnsi="Times New Roman" w:cs="Times New Roman Regular" w:eastAsiaTheme="minorEastAsia"/>
          <w:b w:val="0"/>
          <w:bCs w:val="0"/>
          <w:i w:val="0"/>
          <w:kern w:val="2"/>
          <w:sz w:val="21"/>
          <w:szCs w:val="21"/>
          <w:vertAlign w:val="baseline"/>
          <w:lang w:val="en-US" w:eastAsia="zh-CN" w:bidi="ar-SA"/>
        </w:rPr>
      </w:pPr>
    </w:p>
    <w:p>
      <w:pPr>
        <w:jc w:val="center"/>
        <w:rPr>
          <w:rFonts w:hint="default" w:ascii="Times New Roman Bold" w:hAnsi="Times New Roman Bold" w:cs="Times New Roman Bold"/>
          <w:b/>
          <w:bCs/>
          <w:i w:val="0"/>
          <w:sz w:val="21"/>
          <w:szCs w:val="21"/>
          <w:vertAlign w:val="baseline"/>
          <w:lang w:val="en-US" w:eastAsia="zh-CN"/>
        </w:rPr>
      </w:pPr>
      <w:r>
        <w:rPr>
          <w:rFonts w:hint="default" w:ascii="Times New Roman Bold" w:hAnsi="Times New Roman Bold" w:cs="Times New Roman Bold" w:eastAsiaTheme="minorEastAsia"/>
          <w:b/>
          <w:bCs/>
          <w:i w:val="0"/>
          <w:kern w:val="2"/>
          <w:sz w:val="21"/>
          <w:szCs w:val="21"/>
          <w:vertAlign w:val="baseline"/>
          <w:lang w:val="en-US" w:eastAsia="zh-CN" w:bidi="ar-SA"/>
        </w:rPr>
        <w:t>Supplementary Table S</w:t>
      </w:r>
      <w:r>
        <w:rPr>
          <w:rFonts w:hint="default" w:ascii="Times New Roman Bold" w:hAnsi="Times New Roman Bold" w:cs="Times New Roman Bold"/>
          <w:b/>
          <w:bCs/>
          <w:i w:val="0"/>
          <w:kern w:val="2"/>
          <w:sz w:val="21"/>
          <w:szCs w:val="21"/>
          <w:vertAlign w:val="baseline"/>
          <w:lang w:val="en-US" w:eastAsia="zh-CN" w:bidi="ar-SA"/>
        </w:rPr>
        <w:t xml:space="preserve">2 </w:t>
      </w:r>
      <w:r>
        <w:rPr>
          <w:rFonts w:hint="default" w:ascii="Times New Roman Bold" w:hAnsi="Times New Roman Bold" w:cs="Times New Roman Bold"/>
          <w:b/>
          <w:bCs/>
          <w:i w:val="0"/>
          <w:sz w:val="21"/>
          <w:szCs w:val="21"/>
          <w:vertAlign w:val="baseline"/>
          <w:lang w:val="en-US" w:eastAsia="zh-CN"/>
        </w:rPr>
        <w:t>WQS weights of cumCTI components for stroke and CVD prediction</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017"/>
        <w:gridCol w:w="3385"/>
        <w:gridCol w:w="32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Header/>
        </w:trPr>
        <w:tc>
          <w:tcPr>
            <w:tcW w:w="1169" w:type="pct"/>
            <w:tcBorders>
              <w:top w:val="single" w:color="auto" w:sz="4" w:space="0"/>
              <w:bottom w:val="single" w:color="auto" w:sz="4" w:space="0"/>
            </w:tcBorders>
            <w:shd w:val="clear" w:color="auto" w:fill="auto"/>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Component</w:t>
            </w:r>
          </w:p>
        </w:tc>
        <w:tc>
          <w:tcPr>
            <w:tcW w:w="1962" w:type="pct"/>
            <w:tcBorders>
              <w:top w:val="single" w:color="auto" w:sz="4" w:space="0"/>
              <w:bottom w:val="single" w:color="auto" w:sz="4" w:space="0"/>
            </w:tcBorders>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Stroke weight (%)</w:t>
            </w:r>
          </w:p>
        </w:tc>
        <w:tc>
          <w:tcPr>
            <w:tcW w:w="1867" w:type="pct"/>
            <w:tcBorders>
              <w:top w:val="single" w:color="auto" w:sz="4" w:space="0"/>
              <w:bottom w:val="single" w:color="auto" w:sz="4" w:space="0"/>
            </w:tcBorders>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CVD weight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1169" w:type="pct"/>
            <w:tcBorders>
              <w:top w:val="single" w:color="auto" w:sz="4" w:space="0"/>
            </w:tcBorders>
            <w:shd w:val="clear" w:color="auto" w:fill="auto"/>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ln(TG)</w:t>
            </w:r>
          </w:p>
        </w:tc>
        <w:tc>
          <w:tcPr>
            <w:tcW w:w="1962" w:type="pct"/>
            <w:tcBorders>
              <w:top w:val="single" w:color="auto" w:sz="4" w:space="0"/>
            </w:tcBorders>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72.70</w:t>
            </w:r>
          </w:p>
        </w:tc>
        <w:tc>
          <w:tcPr>
            <w:tcW w:w="1867" w:type="pct"/>
            <w:tcBorders>
              <w:top w:val="single" w:color="auto" w:sz="4" w:space="0"/>
            </w:tcBorders>
            <w:shd w:val="clear" w:color="auto" w:fill="auto"/>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80.78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1169" w:type="pct"/>
            <w:tcBorders>
              <w:bottom w:val="nil"/>
            </w:tcBorders>
            <w:shd w:val="clear" w:color="auto" w:fill="auto"/>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ln(FPG)</w:t>
            </w:r>
          </w:p>
        </w:tc>
        <w:tc>
          <w:tcPr>
            <w:tcW w:w="1962" w:type="pct"/>
            <w:tcBorders>
              <w:bottom w:val="nil"/>
            </w:tcBorders>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27.10</w:t>
            </w:r>
          </w:p>
        </w:tc>
        <w:tc>
          <w:tcPr>
            <w:tcW w:w="1867" w:type="pct"/>
            <w:tcBorders>
              <w:bottom w:val="nil"/>
            </w:tcBorders>
            <w:shd w:val="clear" w:color="auto" w:fill="auto"/>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1169" w:type="pct"/>
            <w:tcBorders>
              <w:top w:val="nil"/>
              <w:bottom w:val="single" w:color="auto" w:sz="4" w:space="0"/>
            </w:tcBorders>
            <w:shd w:val="clear" w:color="auto" w:fill="auto"/>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ln(CRP)</w:t>
            </w:r>
          </w:p>
        </w:tc>
        <w:tc>
          <w:tcPr>
            <w:tcW w:w="1962" w:type="pct"/>
            <w:tcBorders>
              <w:top w:val="nil"/>
              <w:bottom w:val="single" w:color="auto" w:sz="4" w:space="0"/>
            </w:tcBorders>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0.20</w:t>
            </w:r>
          </w:p>
        </w:tc>
        <w:tc>
          <w:tcPr>
            <w:tcW w:w="1867" w:type="pct"/>
            <w:tcBorders>
              <w:top w:val="nil"/>
              <w:bottom w:val="single" w:color="auto" w:sz="4" w:space="0"/>
            </w:tcBorders>
            <w:shd w:val="clear" w:color="auto" w:fill="auto"/>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7.81</w:t>
            </w:r>
          </w:p>
        </w:tc>
      </w:tr>
    </w:tbl>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default" w:ascii="Times New Roman" w:hAnsi="Times New Roman" w:cs="Times New Roman Regular" w:eastAsiaTheme="minorEastAsia"/>
          <w:b w:val="0"/>
          <w:bCs w:val="0"/>
          <w:i w:val="0"/>
          <w:kern w:val="2"/>
          <w:sz w:val="21"/>
          <w:szCs w:val="21"/>
          <w:vertAlign w:val="baseline"/>
          <w:lang w:val="en-US" w:eastAsia="zh-CN" w:bidi="ar-SA"/>
        </w:rPr>
      </w:pPr>
      <w:r>
        <w:rPr>
          <w:rFonts w:hint="default" w:ascii="Times New Roman" w:hAnsi="Times New Roman" w:cs="Times New Roman Regular" w:eastAsiaTheme="minorEastAsia"/>
          <w:b w:val="0"/>
          <w:bCs w:val="0"/>
          <w:i w:val="0"/>
          <w:kern w:val="2"/>
          <w:sz w:val="21"/>
          <w:szCs w:val="21"/>
          <w:vertAlign w:val="baseline"/>
          <w:lang w:val="en-US" w:eastAsia="zh-CN" w:bidi="ar-SA"/>
        </w:rPr>
        <w:t>WQS index HR (stroke): 1.303 (95% CI: 1.100–1.543), P = 0.002</w:t>
      </w:r>
      <w:r>
        <w:rPr>
          <w:rFonts w:hint="default" w:ascii="Times New Roman" w:hAnsi="Times New Roman" w:cs="Times New Roman Regular" w:eastAsiaTheme="minorEastAsia"/>
          <w:b w:val="0"/>
          <w:bCs w:val="0"/>
          <w:i w:val="0"/>
          <w:kern w:val="2"/>
          <w:sz w:val="21"/>
          <w:szCs w:val="21"/>
          <w:vertAlign w:val="baseline"/>
          <w:lang w:val="en-US" w:eastAsia="zh-CN" w:bidi="ar-SA"/>
        </w:rPr>
        <w:br w:type="textWrapping"/>
      </w:r>
      <w:r>
        <w:rPr>
          <w:rFonts w:hint="default" w:ascii="Times New Roman" w:hAnsi="Times New Roman" w:cs="Times New Roman Regular" w:eastAsiaTheme="minorEastAsia"/>
          <w:b w:val="0"/>
          <w:bCs w:val="0"/>
          <w:i w:val="0"/>
          <w:kern w:val="2"/>
          <w:sz w:val="21"/>
          <w:szCs w:val="21"/>
          <w:vertAlign w:val="baseline"/>
          <w:lang w:val="en-US" w:eastAsia="zh-CN" w:bidi="ar-SA"/>
        </w:rPr>
        <w:t>WQS index HR (CVD): 1.126 (95% CI: 1.013–1.251), P = 0.027</w:t>
      </w:r>
    </w:p>
    <w:p>
      <w:pPr>
        <w:rPr>
          <w:rFonts w:hint="default"/>
          <w:lang w:val="en-US" w:eastAsia="zh-CN"/>
        </w:rPr>
      </w:pPr>
    </w:p>
    <w:p>
      <w:pPr>
        <w:jc w:val="center"/>
        <w:rPr>
          <w:rFonts w:hint="default" w:ascii="Times New Roman Bold" w:hAnsi="Times New Roman Bold" w:cs="Times New Roman Bold" w:eastAsiaTheme="minorEastAsia"/>
          <w:b/>
          <w:bCs/>
          <w:i w:val="0"/>
          <w:kern w:val="2"/>
          <w:sz w:val="21"/>
          <w:szCs w:val="21"/>
          <w:vertAlign w:val="baseline"/>
          <w:lang w:val="en-US" w:eastAsia="zh-CN" w:bidi="ar-SA"/>
        </w:rPr>
      </w:pPr>
      <w:r>
        <w:rPr>
          <w:rFonts w:hint="default" w:ascii="Times New Roman Bold" w:hAnsi="Times New Roman Bold" w:cs="Times New Roman Bold" w:eastAsiaTheme="minorEastAsia"/>
          <w:b/>
          <w:bCs/>
          <w:i w:val="0"/>
          <w:kern w:val="2"/>
          <w:sz w:val="21"/>
          <w:szCs w:val="21"/>
          <w:vertAlign w:val="baseline"/>
          <w:lang w:val="en-US" w:eastAsia="zh-CN" w:bidi="ar-SA"/>
        </w:rPr>
        <w:t>Supplementary Table S</w:t>
      </w:r>
      <w:r>
        <w:rPr>
          <w:rFonts w:hint="default" w:ascii="Times New Roman Bold" w:hAnsi="Times New Roman Bold" w:cs="Times New Roman Bold"/>
          <w:b/>
          <w:bCs/>
          <w:i w:val="0"/>
          <w:kern w:val="2"/>
          <w:sz w:val="21"/>
          <w:szCs w:val="21"/>
          <w:vertAlign w:val="baseline"/>
          <w:lang w:val="en-US" w:eastAsia="zh-CN" w:bidi="ar-SA"/>
        </w:rPr>
        <w:t>3</w:t>
      </w:r>
      <w:r>
        <w:rPr>
          <w:rFonts w:hint="default" w:ascii="Times New Roman Bold" w:hAnsi="Times New Roman Bold" w:cs="Times New Roman Bold" w:eastAsiaTheme="minorEastAsia"/>
          <w:b/>
          <w:bCs/>
          <w:i w:val="0"/>
          <w:kern w:val="2"/>
          <w:sz w:val="21"/>
          <w:szCs w:val="21"/>
          <w:vertAlign w:val="baseline"/>
          <w:lang w:val="en-US" w:eastAsia="zh-CN" w:bidi="ar-SA"/>
        </w:rPr>
        <w:t>. Mediation effect of mean arterial pressure (MBP) on cumCTI–</w:t>
      </w:r>
      <w:r>
        <w:rPr>
          <w:rFonts w:hint="default" w:ascii="Times New Roman Bold" w:hAnsi="Times New Roman Bold" w:cs="Times New Roman Bold"/>
          <w:b/>
          <w:bCs/>
          <w:i w:val="0"/>
          <w:kern w:val="2"/>
          <w:sz w:val="21"/>
          <w:szCs w:val="21"/>
          <w:vertAlign w:val="baseline"/>
          <w:lang w:val="en-US" w:eastAsia="zh-CN" w:bidi="ar-SA"/>
        </w:rPr>
        <w:t>CVD</w:t>
      </w:r>
      <w:r>
        <w:rPr>
          <w:rFonts w:hint="default" w:ascii="Times New Roman Bold" w:hAnsi="Times New Roman Bold" w:cs="Times New Roman Bold" w:eastAsiaTheme="minorEastAsia"/>
          <w:b/>
          <w:bCs/>
          <w:i w:val="0"/>
          <w:kern w:val="2"/>
          <w:sz w:val="21"/>
          <w:szCs w:val="21"/>
          <w:vertAlign w:val="baseline"/>
          <w:lang w:val="en-US" w:eastAsia="zh-CN" w:bidi="ar-SA"/>
        </w:rPr>
        <w:t xml:space="preserve"> association</w:t>
      </w:r>
    </w:p>
    <w:tbl>
      <w:tblPr>
        <w:tblStyle w:val="5"/>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489"/>
        <w:gridCol w:w="1741"/>
        <w:gridCol w:w="2829"/>
        <w:gridCol w:w="1564"/>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rPr>
          <w:tblHeader/>
        </w:trPr>
        <w:tc>
          <w:tcPr>
            <w:tcW w:w="1443" w:type="pct"/>
            <w:tcBorders>
              <w:bottom w:val="single" w:color="auto" w:sz="4" w:space="0"/>
            </w:tcBorders>
            <w:shd w:val="clear" w:color="auto" w:fill="auto"/>
            <w:tcMar>
              <w:top w:w="200" w:type="dxa"/>
              <w:left w:w="0" w:type="dxa"/>
              <w:bottom w:w="200" w:type="dxa"/>
              <w:right w:w="320" w:type="dxa"/>
            </w:tcMar>
            <w:vAlign w:val="center"/>
          </w:tcPr>
          <w:p>
            <w:pPr>
              <w:jc w:val="center"/>
              <w:rPr>
                <w:rFonts w:hint="default" w:ascii="Times New Roman Bold" w:hAnsi="Times New Roman Bold" w:cs="Times New Roman Bold"/>
                <w:b/>
                <w:bCs/>
                <w:i w:val="0"/>
                <w:sz w:val="21"/>
                <w:szCs w:val="21"/>
                <w:vertAlign w:val="baseline"/>
                <w:lang w:val="en-US" w:eastAsia="zh-CN"/>
              </w:rPr>
            </w:pPr>
            <w:r>
              <w:rPr>
                <w:rFonts w:hint="default" w:ascii="Times New Roman Bold" w:hAnsi="Times New Roman Bold" w:cs="Times New Roman Bold"/>
                <w:b/>
                <w:bCs/>
                <w:i w:val="0"/>
                <w:sz w:val="21"/>
                <w:szCs w:val="21"/>
                <w:vertAlign w:val="baseline"/>
                <w:lang w:val="en-US" w:eastAsia="zh-CN"/>
              </w:rPr>
              <w:t>Effect</w:t>
            </w:r>
          </w:p>
        </w:tc>
        <w:tc>
          <w:tcPr>
            <w:tcW w:w="1009" w:type="pct"/>
            <w:tcBorders>
              <w:bottom w:val="single" w:color="auto" w:sz="4" w:space="0"/>
            </w:tcBorders>
            <w:shd w:val="clear" w:color="auto" w:fill="auto"/>
            <w:tcMar>
              <w:top w:w="200" w:type="dxa"/>
              <w:left w:w="320" w:type="dxa"/>
              <w:bottom w:w="200" w:type="dxa"/>
              <w:right w:w="320" w:type="dxa"/>
            </w:tcMar>
            <w:vAlign w:val="center"/>
          </w:tcPr>
          <w:p>
            <w:pPr>
              <w:jc w:val="center"/>
              <w:rPr>
                <w:rFonts w:hint="default" w:ascii="Times New Roman Bold" w:hAnsi="Times New Roman Bold" w:cs="Times New Roman Bold"/>
                <w:b/>
                <w:bCs/>
                <w:i w:val="0"/>
                <w:sz w:val="21"/>
                <w:szCs w:val="21"/>
                <w:vertAlign w:val="baseline"/>
                <w:lang w:val="en-US" w:eastAsia="zh-CN"/>
              </w:rPr>
            </w:pPr>
            <w:r>
              <w:rPr>
                <w:rFonts w:hint="default" w:ascii="Times New Roman Bold" w:hAnsi="Times New Roman Bold" w:cs="Times New Roman Bold"/>
                <w:b/>
                <w:bCs/>
                <w:i w:val="0"/>
                <w:sz w:val="21"/>
                <w:szCs w:val="21"/>
                <w:vertAlign w:val="baseline"/>
                <w:lang w:val="en-US" w:eastAsia="zh-CN"/>
              </w:rPr>
              <w:t>Estimate</w:t>
            </w:r>
          </w:p>
        </w:tc>
        <w:tc>
          <w:tcPr>
            <w:tcW w:w="1640" w:type="pct"/>
            <w:tcBorders>
              <w:bottom w:val="single" w:color="auto" w:sz="4" w:space="0"/>
            </w:tcBorders>
            <w:shd w:val="clear" w:color="auto" w:fill="auto"/>
            <w:tcMar>
              <w:top w:w="200" w:type="dxa"/>
              <w:left w:w="320" w:type="dxa"/>
              <w:bottom w:w="200" w:type="dxa"/>
              <w:right w:w="320" w:type="dxa"/>
            </w:tcMar>
            <w:vAlign w:val="center"/>
          </w:tcPr>
          <w:p>
            <w:pPr>
              <w:jc w:val="center"/>
              <w:rPr>
                <w:rFonts w:hint="default" w:ascii="Times New Roman Bold" w:hAnsi="Times New Roman Bold" w:cs="Times New Roman Bold"/>
                <w:b/>
                <w:bCs/>
                <w:i w:val="0"/>
                <w:sz w:val="21"/>
                <w:szCs w:val="21"/>
                <w:vertAlign w:val="baseline"/>
                <w:lang w:val="en-US" w:eastAsia="zh-CN"/>
              </w:rPr>
            </w:pPr>
            <w:r>
              <w:rPr>
                <w:rFonts w:hint="default" w:ascii="Times New Roman Bold" w:hAnsi="Times New Roman Bold" w:cs="Times New Roman Bold"/>
                <w:b/>
                <w:bCs/>
                <w:i w:val="0"/>
                <w:sz w:val="21"/>
                <w:szCs w:val="21"/>
                <w:vertAlign w:val="baseline"/>
                <w:lang w:val="en-US" w:eastAsia="zh-CN"/>
              </w:rPr>
              <w:t>95% CI</w:t>
            </w:r>
          </w:p>
        </w:tc>
        <w:tc>
          <w:tcPr>
            <w:tcW w:w="906" w:type="pct"/>
            <w:tcBorders>
              <w:bottom w:val="single" w:color="auto" w:sz="4" w:space="0"/>
            </w:tcBorders>
            <w:shd w:val="clear" w:color="auto" w:fill="auto"/>
            <w:tcMar>
              <w:top w:w="200" w:type="dxa"/>
              <w:left w:w="320" w:type="dxa"/>
              <w:bottom w:w="200" w:type="dxa"/>
              <w:right w:w="320" w:type="dxa"/>
            </w:tcMar>
            <w:vAlign w:val="center"/>
          </w:tcPr>
          <w:p>
            <w:pPr>
              <w:jc w:val="center"/>
              <w:rPr>
                <w:rFonts w:hint="default" w:ascii="Times New Roman Bold" w:hAnsi="Times New Roman Bold" w:cs="Times New Roman Bold"/>
                <w:b/>
                <w:bCs/>
                <w:i w:val="0"/>
                <w:sz w:val="21"/>
                <w:szCs w:val="21"/>
                <w:vertAlign w:val="baseline"/>
                <w:lang w:val="en-US" w:eastAsia="zh-CN"/>
              </w:rPr>
            </w:pPr>
            <w:r>
              <w:rPr>
                <w:rFonts w:hint="default" w:ascii="Times New Roman Bold" w:hAnsi="Times New Roman Bold" w:cs="Times New Roman Bold"/>
                <w:b/>
                <w:bCs/>
                <w:i w:val="0"/>
                <w:sz w:val="21"/>
                <w:szCs w:val="21"/>
                <w:vertAlign w:val="baseline"/>
                <w:lang w:val="en-US" w:eastAsia="zh-CN"/>
              </w:rPr>
              <w:t>P-value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c>
          <w:tcPr>
            <w:tcW w:w="1443" w:type="pct"/>
            <w:tcBorders>
              <w:top w:val="single" w:color="auto" w:sz="4" w:space="0"/>
            </w:tcBorders>
            <w:shd w:val="clear" w:color="auto" w:fill="auto"/>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Total effect</w:t>
            </w:r>
          </w:p>
        </w:tc>
        <w:tc>
          <w:tcPr>
            <w:tcW w:w="1009" w:type="pct"/>
            <w:tcBorders>
              <w:top w:val="single" w:color="auto" w:sz="4" w:space="0"/>
            </w:tcBorders>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0.00208</w:t>
            </w:r>
          </w:p>
          <w:p>
            <w:pPr>
              <w:jc w:val="center"/>
              <w:rPr>
                <w:rFonts w:hint="default" w:ascii="Times New Roman" w:hAnsi="Times New Roman" w:cs="Times New Roman Regular"/>
                <w:i w:val="0"/>
                <w:sz w:val="21"/>
                <w:szCs w:val="21"/>
                <w:vertAlign w:val="baseline"/>
                <w:lang w:val="en-US" w:eastAsia="zh-CN"/>
              </w:rPr>
            </w:pPr>
          </w:p>
        </w:tc>
        <w:tc>
          <w:tcPr>
            <w:tcW w:w="1640" w:type="pct"/>
            <w:tcBorders>
              <w:top w:val="single" w:color="auto" w:sz="4" w:space="0"/>
            </w:tcBorders>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0.00019–0.00227</w:t>
            </w:r>
          </w:p>
          <w:p>
            <w:pPr>
              <w:jc w:val="center"/>
              <w:rPr>
                <w:rFonts w:hint="default" w:ascii="Times New Roman" w:hAnsi="Times New Roman" w:cs="Times New Roman Regular"/>
                <w:i w:val="0"/>
                <w:sz w:val="21"/>
                <w:szCs w:val="21"/>
                <w:vertAlign w:val="baseline"/>
                <w:lang w:val="en-US" w:eastAsia="zh-CN"/>
              </w:rPr>
            </w:pPr>
          </w:p>
        </w:tc>
        <w:tc>
          <w:tcPr>
            <w:tcW w:w="906" w:type="pct"/>
            <w:tcBorders>
              <w:top w:val="single" w:color="auto" w:sz="4" w:space="0"/>
            </w:tcBorders>
            <w:shd w:val="clear" w:color="auto" w:fill="auto"/>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0.0036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c>
          <w:tcPr>
            <w:tcW w:w="1443" w:type="pct"/>
            <w:shd w:val="clear" w:color="auto" w:fill="auto"/>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Indirect (ACME)</w:t>
            </w:r>
          </w:p>
        </w:tc>
        <w:tc>
          <w:tcPr>
            <w:tcW w:w="1009" w:type="pct"/>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0.00026</w:t>
            </w:r>
          </w:p>
        </w:tc>
        <w:tc>
          <w:tcPr>
            <w:tcW w:w="1640" w:type="pct"/>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0.00003–0.00079</w:t>
            </w:r>
          </w:p>
          <w:p>
            <w:pPr>
              <w:jc w:val="center"/>
              <w:rPr>
                <w:rFonts w:hint="default" w:ascii="Times New Roman" w:hAnsi="Times New Roman" w:cs="Times New Roman Regular"/>
                <w:i w:val="0"/>
                <w:sz w:val="21"/>
                <w:szCs w:val="21"/>
                <w:vertAlign w:val="baseline"/>
                <w:lang w:val="en-US" w:eastAsia="zh-CN"/>
              </w:rPr>
            </w:pPr>
          </w:p>
        </w:tc>
        <w:tc>
          <w:tcPr>
            <w:tcW w:w="906" w:type="pct"/>
            <w:shd w:val="clear" w:color="auto" w:fill="auto"/>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0.008</w:t>
            </w:r>
          </w:p>
          <w:p>
            <w:pPr>
              <w:jc w:val="center"/>
              <w:rPr>
                <w:rFonts w:hint="default" w:ascii="Times New Roman" w:hAnsi="Times New Roman" w:cs="Times New Roman Regular"/>
                <w:i w:val="0"/>
                <w:sz w:val="21"/>
                <w:szCs w:val="21"/>
                <w:vertAlign w:val="baseline"/>
                <w:lang w:val="en-US" w:eastAsia="zh-CN"/>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c>
          <w:tcPr>
            <w:tcW w:w="1443" w:type="pct"/>
            <w:shd w:val="clear" w:color="auto" w:fill="auto"/>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Direct (ADE)</w:t>
            </w:r>
          </w:p>
        </w:tc>
        <w:tc>
          <w:tcPr>
            <w:tcW w:w="1009" w:type="pct"/>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0.00182</w:t>
            </w:r>
          </w:p>
          <w:p>
            <w:pPr>
              <w:jc w:val="center"/>
              <w:rPr>
                <w:rFonts w:hint="default" w:ascii="Times New Roman" w:hAnsi="Times New Roman" w:cs="Times New Roman Regular"/>
                <w:i w:val="0"/>
                <w:sz w:val="21"/>
                <w:szCs w:val="21"/>
                <w:vertAlign w:val="baseline"/>
                <w:lang w:val="en-US" w:eastAsia="zh-CN"/>
              </w:rPr>
            </w:pPr>
          </w:p>
        </w:tc>
        <w:tc>
          <w:tcPr>
            <w:tcW w:w="1640" w:type="pct"/>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–0.00044–0.00204</w:t>
            </w:r>
          </w:p>
          <w:p>
            <w:pPr>
              <w:jc w:val="center"/>
              <w:rPr>
                <w:rFonts w:hint="default" w:ascii="Times New Roman" w:hAnsi="Times New Roman" w:cs="Times New Roman Regular"/>
                <w:i w:val="0"/>
                <w:sz w:val="21"/>
                <w:szCs w:val="21"/>
                <w:vertAlign w:val="baseline"/>
                <w:lang w:val="en-US" w:eastAsia="zh-CN"/>
              </w:rPr>
            </w:pPr>
          </w:p>
        </w:tc>
        <w:tc>
          <w:tcPr>
            <w:tcW w:w="906" w:type="pct"/>
            <w:shd w:val="clear" w:color="auto" w:fill="auto"/>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0.082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shd w:val="clear" w:color="auto" w:fill="auto"/>
        </w:tblPrEx>
        <w:tc>
          <w:tcPr>
            <w:tcW w:w="1443" w:type="pct"/>
            <w:shd w:val="clear" w:color="auto" w:fill="auto"/>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Proportion mediated</w:t>
            </w:r>
          </w:p>
        </w:tc>
        <w:tc>
          <w:tcPr>
            <w:tcW w:w="1009" w:type="pct"/>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12.5%</w:t>
            </w:r>
          </w:p>
          <w:p>
            <w:pPr>
              <w:jc w:val="center"/>
              <w:rPr>
                <w:rFonts w:hint="default" w:ascii="Times New Roman" w:hAnsi="Times New Roman" w:cs="Times New Roman Regular"/>
                <w:i w:val="0"/>
                <w:sz w:val="21"/>
                <w:szCs w:val="21"/>
                <w:vertAlign w:val="baseline"/>
                <w:lang w:val="en-US" w:eastAsia="zh-CN"/>
              </w:rPr>
            </w:pPr>
          </w:p>
        </w:tc>
        <w:tc>
          <w:tcPr>
            <w:tcW w:w="1640" w:type="pct"/>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1.25%–94.8%</w:t>
            </w:r>
          </w:p>
          <w:p>
            <w:pPr>
              <w:jc w:val="center"/>
              <w:rPr>
                <w:rFonts w:hint="default" w:ascii="Times New Roman" w:hAnsi="Times New Roman" w:cs="Times New Roman Regular"/>
                <w:i w:val="0"/>
                <w:sz w:val="21"/>
                <w:szCs w:val="21"/>
                <w:vertAlign w:val="baseline"/>
                <w:lang w:val="en-US" w:eastAsia="zh-CN"/>
              </w:rPr>
            </w:pPr>
          </w:p>
        </w:tc>
        <w:tc>
          <w:tcPr>
            <w:tcW w:w="906" w:type="pct"/>
            <w:shd w:val="clear" w:color="auto" w:fill="auto"/>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0.040</w:t>
            </w:r>
          </w:p>
          <w:p>
            <w:pPr>
              <w:jc w:val="center"/>
              <w:rPr>
                <w:rFonts w:hint="default" w:ascii="Times New Roman" w:hAnsi="Times New Roman" w:cs="Times New Roman Regular"/>
                <w:i w:val="0"/>
                <w:sz w:val="21"/>
                <w:szCs w:val="21"/>
                <w:vertAlign w:val="baseline"/>
                <w:lang w:val="en-US" w:eastAsia="zh-CN"/>
              </w:rPr>
            </w:pPr>
          </w:p>
        </w:tc>
      </w:tr>
    </w:tbl>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default" w:ascii="Times New Roman" w:hAnsi="Times New Roman" w:cs="Times New Roman Regular" w:eastAsiaTheme="minorEastAsia"/>
          <w:b w:val="0"/>
          <w:bCs w:val="0"/>
          <w:i w:val="0"/>
          <w:kern w:val="2"/>
          <w:sz w:val="21"/>
          <w:szCs w:val="21"/>
          <w:vertAlign w:val="baseline"/>
          <w:lang w:val="en-US" w:eastAsia="zh-CN" w:bidi="ar-SA"/>
        </w:rPr>
      </w:pPr>
      <w:r>
        <w:rPr>
          <w:rFonts w:hint="default" w:ascii="Times New Roman" w:hAnsi="Times New Roman" w:cs="Times New Roman Regular" w:eastAsiaTheme="minorEastAsia"/>
          <w:b w:val="0"/>
          <w:bCs w:val="0"/>
          <w:i w:val="0"/>
          <w:kern w:val="2"/>
          <w:sz w:val="21"/>
          <w:szCs w:val="21"/>
          <w:vertAlign w:val="baseline"/>
          <w:lang w:val="en-US" w:eastAsia="zh-CN" w:bidi="ar-SA"/>
        </w:rPr>
        <w:t>Bootstrapped with 1000 resamples; adjusted for all covariates in Model 3.</w:t>
      </w:r>
    </w:p>
    <w:p>
      <w:pPr>
        <w:pStyle w:val="3"/>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default" w:ascii="Times New Roman" w:hAnsi="Times New Roman" w:cs="Times New Roman Regular" w:eastAsiaTheme="minorEastAsia"/>
          <w:b w:val="0"/>
          <w:bCs w:val="0"/>
          <w:i w:val="0"/>
          <w:kern w:val="2"/>
          <w:sz w:val="21"/>
          <w:szCs w:val="21"/>
          <w:vertAlign w:val="baseline"/>
          <w:lang w:val="en-US" w:eastAsia="zh-CN" w:bidi="ar-SA"/>
        </w:rPr>
      </w:pPr>
    </w:p>
    <w:p>
      <w:pPr>
        <w:rPr>
          <w:rFonts w:hint="default" w:ascii="Times New Roman" w:hAnsi="Times New Roman" w:cs="Times New Roman Regular" w:eastAsiaTheme="minorEastAsia"/>
          <w:b w:val="0"/>
          <w:bCs w:val="0"/>
          <w:i w:val="0"/>
          <w:kern w:val="2"/>
          <w:sz w:val="21"/>
          <w:szCs w:val="21"/>
          <w:vertAlign w:val="baseline"/>
          <w:lang w:val="en-US" w:eastAsia="zh-CN" w:bidi="ar-SA"/>
        </w:rPr>
      </w:pPr>
    </w:p>
    <w:p>
      <w:pPr>
        <w:jc w:val="center"/>
        <w:rPr>
          <w:rFonts w:hint="default" w:ascii="Times New Roman" w:hAnsi="Times New Roman" w:cs="Times New Roman Regular"/>
          <w:i w:val="0"/>
          <w:sz w:val="21"/>
          <w:szCs w:val="21"/>
          <w:vertAlign w:val="baseline"/>
          <w:lang w:val="en-US" w:eastAsia="zh-CN"/>
        </w:rPr>
      </w:pPr>
    </w:p>
    <w:p>
      <w:pPr>
        <w:jc w:val="center"/>
        <w:rPr>
          <w:rFonts w:hint="default" w:ascii="Times New Roman Bold" w:hAnsi="Times New Roman Bold" w:cs="Times New Roman Bold"/>
          <w:b/>
          <w:bCs/>
          <w:i w:val="0"/>
          <w:sz w:val="21"/>
          <w:szCs w:val="21"/>
          <w:vertAlign w:val="baseline"/>
          <w:lang w:val="en-US" w:eastAsia="zh-CN"/>
        </w:rPr>
      </w:pPr>
      <w:r>
        <w:rPr>
          <w:rFonts w:hint="default" w:ascii="Times New Roman Bold" w:hAnsi="Times New Roman Bold" w:cs="Times New Roman Bold"/>
          <w:b/>
          <w:bCs/>
          <w:i w:val="0"/>
          <w:sz w:val="21"/>
          <w:szCs w:val="21"/>
          <w:vertAlign w:val="baseline"/>
          <w:lang w:val="en-US" w:eastAsia="zh-CN"/>
        </w:rPr>
        <w:t xml:space="preserve">Supplementary Table S4 Sensitivity analysis for medication adjustment </w:t>
      </w: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3150"/>
        <w:gridCol w:w="1570"/>
        <w:gridCol w:w="2476"/>
        <w:gridCol w:w="142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Header/>
        </w:trPr>
        <w:tc>
          <w:tcPr>
            <w:tcW w:w="1826" w:type="pct"/>
            <w:tcBorders>
              <w:top w:val="single" w:color="auto" w:sz="4" w:space="0"/>
              <w:bottom w:val="single" w:color="auto" w:sz="4" w:space="0"/>
            </w:tcBorders>
            <w:shd w:val="clear" w:color="auto" w:fill="auto"/>
            <w:tcMar>
              <w:top w:w="200" w:type="dxa"/>
              <w:left w:w="0" w:type="dxa"/>
              <w:bottom w:w="200" w:type="dxa"/>
              <w:right w:w="320" w:type="dxa"/>
            </w:tcMar>
            <w:vAlign w:val="center"/>
          </w:tcPr>
          <w:p>
            <w:pPr>
              <w:jc w:val="center"/>
              <w:rPr>
                <w:rFonts w:hint="default" w:ascii="Times New Roman Bold" w:hAnsi="Times New Roman Bold" w:cs="Times New Roman Bold"/>
                <w:b/>
                <w:bCs/>
                <w:i w:val="0"/>
                <w:sz w:val="21"/>
                <w:szCs w:val="21"/>
                <w:vertAlign w:val="baseline"/>
                <w:lang w:val="en-US" w:eastAsia="zh-CN"/>
              </w:rPr>
            </w:pPr>
            <w:r>
              <w:rPr>
                <w:rFonts w:hint="default" w:ascii="Times New Roman Bold" w:hAnsi="Times New Roman Bold" w:cs="Times New Roman Bold"/>
                <w:b/>
                <w:bCs/>
                <w:i w:val="0"/>
                <w:sz w:val="21"/>
                <w:szCs w:val="21"/>
                <w:vertAlign w:val="baseline"/>
                <w:lang w:val="en-US" w:eastAsia="zh-CN"/>
              </w:rPr>
              <w:t>Model</w:t>
            </w:r>
          </w:p>
        </w:tc>
        <w:tc>
          <w:tcPr>
            <w:tcW w:w="910" w:type="pct"/>
            <w:tcBorders>
              <w:top w:val="single" w:color="auto" w:sz="4" w:space="0"/>
              <w:bottom w:val="single" w:color="auto" w:sz="4" w:space="0"/>
            </w:tcBorders>
            <w:shd w:val="clear" w:color="auto" w:fill="auto"/>
            <w:tcMar>
              <w:top w:w="200" w:type="dxa"/>
              <w:left w:w="320" w:type="dxa"/>
              <w:bottom w:w="200" w:type="dxa"/>
              <w:right w:w="320" w:type="dxa"/>
            </w:tcMar>
            <w:vAlign w:val="center"/>
          </w:tcPr>
          <w:p>
            <w:pPr>
              <w:jc w:val="center"/>
              <w:rPr>
                <w:rFonts w:hint="default" w:ascii="Times New Roman Bold" w:hAnsi="Times New Roman Bold" w:cs="Times New Roman Bold"/>
                <w:b/>
                <w:bCs/>
                <w:i w:val="0"/>
                <w:sz w:val="21"/>
                <w:szCs w:val="21"/>
                <w:vertAlign w:val="baseline"/>
                <w:lang w:val="en-US" w:eastAsia="zh-CN"/>
              </w:rPr>
            </w:pPr>
            <w:r>
              <w:rPr>
                <w:rFonts w:hint="default" w:ascii="Times New Roman Bold" w:hAnsi="Times New Roman Bold" w:cs="Times New Roman Bold"/>
                <w:b/>
                <w:bCs/>
                <w:i w:val="0"/>
                <w:sz w:val="21"/>
                <w:szCs w:val="21"/>
                <w:vertAlign w:val="baseline"/>
                <w:lang w:val="en-US" w:eastAsia="zh-CN"/>
              </w:rPr>
              <w:t>Outcome</w:t>
            </w:r>
          </w:p>
        </w:tc>
        <w:tc>
          <w:tcPr>
            <w:tcW w:w="1435" w:type="pct"/>
            <w:tcBorders>
              <w:top w:val="single" w:color="auto" w:sz="4" w:space="0"/>
              <w:bottom w:val="single" w:color="auto" w:sz="4" w:space="0"/>
            </w:tcBorders>
            <w:shd w:val="clear" w:color="auto" w:fill="auto"/>
            <w:tcMar>
              <w:top w:w="200" w:type="dxa"/>
              <w:left w:w="320" w:type="dxa"/>
              <w:bottom w:w="200" w:type="dxa"/>
              <w:right w:w="320" w:type="dxa"/>
            </w:tcMar>
            <w:vAlign w:val="center"/>
          </w:tcPr>
          <w:p>
            <w:pPr>
              <w:jc w:val="center"/>
              <w:rPr>
                <w:rFonts w:hint="default" w:ascii="Times New Roman Bold" w:hAnsi="Times New Roman Bold" w:cs="Times New Roman Bold"/>
                <w:b/>
                <w:bCs/>
                <w:i w:val="0"/>
                <w:sz w:val="21"/>
                <w:szCs w:val="21"/>
                <w:vertAlign w:val="baseline"/>
                <w:lang w:val="en-US" w:eastAsia="zh-CN"/>
              </w:rPr>
            </w:pPr>
            <w:r>
              <w:rPr>
                <w:rFonts w:hint="default" w:ascii="Times New Roman Bold" w:hAnsi="Times New Roman Bold" w:cs="Times New Roman Bold"/>
                <w:b/>
                <w:bCs/>
                <w:i w:val="0"/>
                <w:sz w:val="21"/>
                <w:szCs w:val="21"/>
                <w:vertAlign w:val="baseline"/>
                <w:lang w:val="en-US" w:eastAsia="zh-CN"/>
              </w:rPr>
              <w:t>cumCTI HR (95% CI)</w:t>
            </w:r>
          </w:p>
        </w:tc>
        <w:tc>
          <w:tcPr>
            <w:tcW w:w="827" w:type="pct"/>
            <w:tcBorders>
              <w:top w:val="single" w:color="auto" w:sz="4" w:space="0"/>
              <w:bottom w:val="single" w:color="auto" w:sz="4" w:space="0"/>
            </w:tcBorders>
            <w:shd w:val="clear" w:color="auto" w:fill="auto"/>
            <w:tcMar>
              <w:top w:w="200" w:type="dxa"/>
              <w:left w:w="320" w:type="dxa"/>
              <w:bottom w:w="200" w:type="dxa"/>
              <w:right w:w="320" w:type="dxa"/>
            </w:tcMar>
            <w:vAlign w:val="center"/>
          </w:tcPr>
          <w:p>
            <w:pPr>
              <w:jc w:val="center"/>
              <w:rPr>
                <w:rFonts w:hint="default" w:ascii="Times New Roman Bold" w:hAnsi="Times New Roman Bold" w:cs="Times New Roman Bold"/>
                <w:b/>
                <w:bCs/>
                <w:i w:val="0"/>
                <w:sz w:val="21"/>
                <w:szCs w:val="21"/>
                <w:vertAlign w:val="baseline"/>
                <w:lang w:val="en-US" w:eastAsia="zh-CN"/>
              </w:rPr>
            </w:pPr>
            <w:r>
              <w:rPr>
                <w:rFonts w:hint="default" w:ascii="Times New Roman Bold" w:hAnsi="Times New Roman Bold" w:cs="Times New Roman Bold"/>
                <w:b/>
                <w:bCs/>
                <w:i w:val="0"/>
                <w:sz w:val="21"/>
                <w:szCs w:val="21"/>
                <w:vertAlign w:val="baseline"/>
                <w:lang w:val="en-US" w:eastAsia="zh-CN"/>
              </w:rPr>
              <w:t>P-value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1826" w:type="pct"/>
            <w:tcBorders>
              <w:top w:val="single" w:color="auto" w:sz="4" w:space="0"/>
            </w:tcBorders>
            <w:shd w:val="clear" w:color="auto" w:fill="auto"/>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Model 3</w:t>
            </w:r>
          </w:p>
        </w:tc>
        <w:tc>
          <w:tcPr>
            <w:tcW w:w="910" w:type="pct"/>
            <w:tcBorders>
              <w:top w:val="single" w:color="auto" w:sz="4" w:space="0"/>
            </w:tcBorders>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Stroke</w:t>
            </w:r>
          </w:p>
        </w:tc>
        <w:tc>
          <w:tcPr>
            <w:tcW w:w="1435" w:type="pct"/>
            <w:tcBorders>
              <w:top w:val="single" w:color="auto" w:sz="4" w:space="0"/>
            </w:tcBorders>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1.090 (1.025–1.160)</w:t>
            </w:r>
          </w:p>
        </w:tc>
        <w:tc>
          <w:tcPr>
            <w:tcW w:w="827" w:type="pct"/>
            <w:tcBorders>
              <w:top w:val="single" w:color="auto" w:sz="4" w:space="0"/>
            </w:tcBorders>
            <w:shd w:val="clear" w:color="auto" w:fill="auto"/>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1826" w:type="pct"/>
            <w:shd w:val="clear" w:color="auto" w:fill="auto"/>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 xml:space="preserve">Model 4 (0+medication) </w:t>
            </w:r>
          </w:p>
        </w:tc>
        <w:tc>
          <w:tcPr>
            <w:tcW w:w="910" w:type="pct"/>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Stroke</w:t>
            </w:r>
          </w:p>
        </w:tc>
        <w:tc>
          <w:tcPr>
            <w:tcW w:w="1435" w:type="pct"/>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1.071 (1.005–1.141)</w:t>
            </w:r>
          </w:p>
        </w:tc>
        <w:tc>
          <w:tcPr>
            <w:tcW w:w="827" w:type="pct"/>
            <w:shd w:val="clear" w:color="auto" w:fill="auto"/>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Bold" w:hAnsi="Times New Roman Bold" w:cs="Times New Roman Bold"/>
                <w:b/>
                <w:bCs/>
                <w:i w:val="0"/>
                <w:sz w:val="21"/>
                <w:szCs w:val="21"/>
                <w:vertAlign w:val="baseline"/>
                <w:lang w:val="en-US" w:eastAsia="zh-CN"/>
              </w:rPr>
              <w:t>0.036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1826" w:type="pct"/>
            <w:shd w:val="clear" w:color="auto" w:fill="auto"/>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Model 4 (MI+medication)</w:t>
            </w:r>
          </w:p>
        </w:tc>
        <w:tc>
          <w:tcPr>
            <w:tcW w:w="910" w:type="pct"/>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Stroke</w:t>
            </w:r>
          </w:p>
        </w:tc>
        <w:tc>
          <w:tcPr>
            <w:tcW w:w="1435" w:type="pct"/>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1.037 (0.966–1.114)</w:t>
            </w:r>
          </w:p>
        </w:tc>
        <w:tc>
          <w:tcPr>
            <w:tcW w:w="827" w:type="pct"/>
            <w:shd w:val="clear" w:color="auto" w:fill="auto"/>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0.310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1826" w:type="pct"/>
            <w:shd w:val="clear" w:color="auto" w:fill="auto"/>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 xml:space="preserve">Model 3 </w:t>
            </w:r>
          </w:p>
        </w:tc>
        <w:tc>
          <w:tcPr>
            <w:tcW w:w="910" w:type="pct"/>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CVD</w:t>
            </w:r>
          </w:p>
        </w:tc>
        <w:tc>
          <w:tcPr>
            <w:tcW w:w="1435" w:type="pct"/>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1.043 (1.001–1.087)</w:t>
            </w:r>
          </w:p>
        </w:tc>
        <w:tc>
          <w:tcPr>
            <w:tcW w:w="827" w:type="pct"/>
            <w:shd w:val="clear" w:color="auto" w:fill="auto"/>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1826" w:type="pct"/>
            <w:shd w:val="clear" w:color="auto" w:fill="auto"/>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 xml:space="preserve">Model 4 (0+medication) </w:t>
            </w:r>
          </w:p>
        </w:tc>
        <w:tc>
          <w:tcPr>
            <w:tcW w:w="910" w:type="pct"/>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CVD</w:t>
            </w:r>
          </w:p>
        </w:tc>
        <w:tc>
          <w:tcPr>
            <w:tcW w:w="1435" w:type="pct"/>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1.029 (0.986–1.073)</w:t>
            </w:r>
          </w:p>
        </w:tc>
        <w:tc>
          <w:tcPr>
            <w:tcW w:w="827" w:type="pct"/>
            <w:shd w:val="clear" w:color="auto" w:fill="auto"/>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0.185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c>
          <w:tcPr>
            <w:tcW w:w="1826" w:type="pct"/>
            <w:tcBorders>
              <w:bottom w:val="single" w:color="auto" w:sz="4" w:space="0"/>
            </w:tcBorders>
            <w:shd w:val="clear" w:color="auto" w:fill="auto"/>
            <w:tcMar>
              <w:top w:w="200" w:type="dxa"/>
              <w:left w:w="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Model 4(MI+mediction)</w:t>
            </w:r>
          </w:p>
        </w:tc>
        <w:tc>
          <w:tcPr>
            <w:tcW w:w="910" w:type="pct"/>
            <w:tcBorders>
              <w:bottom w:val="single" w:color="auto" w:sz="4" w:space="0"/>
            </w:tcBorders>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CVD</w:t>
            </w:r>
          </w:p>
        </w:tc>
        <w:tc>
          <w:tcPr>
            <w:tcW w:w="1435" w:type="pct"/>
            <w:tcBorders>
              <w:bottom w:val="single" w:color="auto" w:sz="4" w:space="0"/>
            </w:tcBorders>
            <w:shd w:val="clear" w:color="auto" w:fill="auto"/>
            <w:tcMar>
              <w:top w:w="200" w:type="dxa"/>
              <w:left w:w="320" w:type="dxa"/>
              <w:bottom w:w="200" w:type="dxa"/>
              <w:right w:w="32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1.001 (0.955–1.050)</w:t>
            </w:r>
          </w:p>
        </w:tc>
        <w:tc>
          <w:tcPr>
            <w:tcW w:w="827" w:type="pct"/>
            <w:tcBorders>
              <w:bottom w:val="single" w:color="auto" w:sz="4" w:space="0"/>
            </w:tcBorders>
            <w:shd w:val="clear" w:color="auto" w:fill="auto"/>
            <w:tcMar>
              <w:top w:w="200" w:type="dxa"/>
              <w:left w:w="320" w:type="dxa"/>
              <w:bottom w:w="200" w:type="dxa"/>
              <w:right w:w="0" w:type="dxa"/>
            </w:tcMar>
            <w:vAlign w:val="center"/>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0.951</w:t>
            </w:r>
          </w:p>
        </w:tc>
      </w:tr>
    </w:tbl>
    <w:p>
      <w:pPr>
        <w:keepNext w:val="0"/>
        <w:keepLines w:val="0"/>
        <w:pageBreakBefore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Abbreviations: CVD, cardiovascular disease; HR, hazard ratio; CI, confidence interval; MI, multiple imputation.</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Notes:Model 3: adjusted for age, sex, education, rural residence, smoking, drinking, BMI, BUN, UA, LDL-C, SBP, and DBP.</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Model 4 (imputed as 0): Model 3 + antihypertensive, lipid</w:t>
      </w:r>
      <w:r>
        <w:rPr>
          <w:rFonts w:hint="default" w:ascii="Times New Roman" w:hAnsi="Times New Roman" w:cs="Times New Roman Regular"/>
          <w:i w:val="0"/>
          <w:sz w:val="21"/>
          <w:szCs w:val="21"/>
          <w:vertAlign w:val="baseline"/>
          <w:lang w:val="en-US" w:eastAsia="zh-CN"/>
        </w:rPr>
        <w:noBreakHyphen/>
      </w:r>
      <w:r>
        <w:rPr>
          <w:rFonts w:hint="default" w:ascii="Times New Roman" w:hAnsi="Times New Roman" w:cs="Times New Roman Regular"/>
          <w:i w:val="0"/>
          <w:sz w:val="21"/>
          <w:szCs w:val="21"/>
          <w:vertAlign w:val="baseline"/>
          <w:lang w:val="en-US" w:eastAsia="zh-CN"/>
        </w:rPr>
        <w:t>lowering, and glucose</w:t>
      </w:r>
      <w:r>
        <w:rPr>
          <w:rFonts w:hint="default" w:ascii="Times New Roman" w:hAnsi="Times New Roman" w:cs="Times New Roman Regular"/>
          <w:i w:val="0"/>
          <w:sz w:val="21"/>
          <w:szCs w:val="21"/>
          <w:vertAlign w:val="baseline"/>
          <w:lang w:val="en-US" w:eastAsia="zh-CN"/>
        </w:rPr>
        <w:noBreakHyphen/>
      </w:r>
      <w:r>
        <w:rPr>
          <w:rFonts w:hint="default" w:ascii="Times New Roman" w:hAnsi="Times New Roman" w:cs="Times New Roman Regular"/>
          <w:i w:val="0"/>
          <w:sz w:val="21"/>
          <w:szCs w:val="21"/>
          <w:vertAlign w:val="baseline"/>
          <w:lang w:val="en-US" w:eastAsia="zh-CN"/>
        </w:rPr>
        <w:t>lowering medications (missing values imputed as 0, indicating no medication use).</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Model 4 (MI): Model 3 + medications, with missing data handled by multiple imputation (MICE, 5 imputed datasets, 50 iterations).</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default" w:ascii="Times New Roman Bold" w:hAnsi="Times New Roman Bold" w:cs="Times New Roman Bold"/>
          <w:b/>
          <w:bCs/>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Supplementary Table S2 presents the sensitivity analysis for medication adjustment. After imputing missing medication values as 0 (no medication use), the association between cumCTI and stroke remained significant (HR = 1.071, 95% CI: 1.005–1.141, P = 0.036), though attenuated compared with the main analysis (HR = 1.090, P = 0.006). The association between cumCTI and CVD was no longer significant (HR = 1.029, 95% CI: 0.986–1.073, P = 0.185). Both imputation strategies (missing-as-zero and multiple imputation) yielded consistent results, supporting the robustness of our main findings while suggesting that medication use partially mediates the observed associations.</w:t>
      </w:r>
      <w:bookmarkStart w:id="0" w:name="_GoBack"/>
      <w:bookmarkEnd w:id="0"/>
    </w:p>
    <w:p>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Bold" w:hAnsi="Times New Roman Bold" w:eastAsia="MyriadPro-Light" w:cs="Times New Roman Bold"/>
          <w:b/>
          <w:bCs/>
          <w:i w:val="0"/>
          <w:iCs w:val="0"/>
          <w:color w:val="000000"/>
          <w:kern w:val="0"/>
          <w:sz w:val="24"/>
          <w:szCs w:val="24"/>
          <w:lang w:val="en-US" w:eastAsia="zh-CN" w:bidi="ar"/>
        </w:rPr>
      </w:pPr>
      <w:r>
        <w:rPr>
          <w:rFonts w:hint="default" w:ascii="Times New Roman Bold" w:hAnsi="Times New Roman Bold" w:cs="Times New Roman Bold"/>
          <w:b/>
          <w:bCs/>
          <w:i w:val="0"/>
          <w:sz w:val="21"/>
          <w:szCs w:val="21"/>
          <w:vertAlign w:val="baseline"/>
          <w:lang w:val="en-US" w:eastAsia="zh-CN"/>
        </w:rPr>
        <w:t>Supplementary Table S</w:t>
      </w:r>
      <w:r>
        <w:rPr>
          <w:rFonts w:hint="eastAsia" w:ascii="Times New Roman Bold" w:hAnsi="Times New Roman Bold" w:cs="Times New Roman Bold"/>
          <w:b/>
          <w:bCs/>
          <w:i w:val="0"/>
          <w:sz w:val="21"/>
          <w:szCs w:val="21"/>
          <w:vertAlign w:val="baseline"/>
          <w:lang w:val="en-US" w:eastAsia="zh-CN"/>
        </w:rPr>
        <w:t>5</w:t>
      </w:r>
      <w:r>
        <w:rPr>
          <w:rFonts w:hint="default" w:ascii="Times New Roman Bold" w:hAnsi="Times New Roman Bold" w:cs="Times New Roman Bold"/>
          <w:b/>
          <w:bCs/>
          <w:i w:val="0"/>
          <w:sz w:val="21"/>
          <w:szCs w:val="21"/>
          <w:vertAlign w:val="baseline"/>
          <w:lang w:val="en-US" w:eastAsia="zh-CN"/>
        </w:rPr>
        <w:t xml:space="preserve"> </w:t>
      </w:r>
      <w:r>
        <w:rPr>
          <w:rFonts w:hint="default" w:ascii="Times New Roman Bold" w:hAnsi="Times New Roman Bold" w:eastAsia="MyriadPro-Light" w:cs="Times New Roman Bold"/>
          <w:b/>
          <w:bCs/>
          <w:i w:val="0"/>
          <w:iCs w:val="0"/>
          <w:color w:val="000000"/>
          <w:kern w:val="0"/>
          <w:sz w:val="24"/>
          <w:szCs w:val="24"/>
          <w:lang w:val="en-US" w:eastAsia="zh-CN" w:bidi="ar"/>
        </w:rPr>
        <w:t>Abbreviations</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57"/>
        <w:gridCol w:w="59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tcBorders>
              <w:top w:val="single" w:color="auto" w:sz="4" w:space="0"/>
              <w:bottom w:val="single" w:color="auto" w:sz="4" w:space="0"/>
            </w:tcBorders>
            <w:vAlign w:val="center"/>
          </w:tcPr>
          <w:p>
            <w:pPr>
              <w:jc w:val="center"/>
              <w:rPr>
                <w:rFonts w:hint="default" w:ascii="Times New Roman Bold" w:hAnsi="Times New Roman Bold" w:cs="Times New Roman Bold"/>
                <w:b/>
                <w:bCs/>
                <w:i w:val="0"/>
                <w:sz w:val="21"/>
                <w:szCs w:val="21"/>
                <w:vertAlign w:val="baseline"/>
                <w:lang w:val="en-US" w:eastAsia="zh-CN"/>
              </w:rPr>
            </w:pPr>
          </w:p>
          <w:p>
            <w:pPr>
              <w:jc w:val="center"/>
              <w:rPr>
                <w:rFonts w:hint="default" w:ascii="Times New Roman Bold" w:hAnsi="Times New Roman Bold" w:cs="Times New Roman Bold"/>
                <w:b/>
                <w:bCs/>
                <w:i w:val="0"/>
                <w:sz w:val="21"/>
                <w:szCs w:val="21"/>
                <w:vertAlign w:val="baseline"/>
                <w:lang w:val="en-US" w:eastAsia="zh-CN"/>
              </w:rPr>
            </w:pPr>
            <w:r>
              <w:rPr>
                <w:rFonts w:hint="default" w:ascii="Times New Roman Bold" w:hAnsi="Times New Roman Bold" w:cs="Times New Roman Bold"/>
                <w:b/>
                <w:bCs/>
                <w:i w:val="0"/>
                <w:sz w:val="21"/>
                <w:szCs w:val="21"/>
                <w:vertAlign w:val="baseline"/>
                <w:lang w:val="en-US" w:eastAsia="zh-CN"/>
              </w:rPr>
              <w:t>Abbreviation</w:t>
            </w:r>
          </w:p>
          <w:p>
            <w:pPr>
              <w:jc w:val="center"/>
              <w:rPr>
                <w:rFonts w:hint="default" w:ascii="Times New Roman Bold" w:hAnsi="Times New Roman Bold" w:cs="Times New Roman Bold"/>
                <w:b/>
                <w:bCs/>
                <w:i w:val="0"/>
                <w:sz w:val="21"/>
                <w:szCs w:val="21"/>
                <w:vertAlign w:val="baseline"/>
                <w:lang w:val="en-US" w:eastAsia="zh-CN"/>
              </w:rPr>
            </w:pPr>
          </w:p>
        </w:tc>
        <w:tc>
          <w:tcPr>
            <w:tcW w:w="3499" w:type="pct"/>
            <w:tcBorders>
              <w:top w:val="single" w:color="auto" w:sz="4" w:space="0"/>
              <w:bottom w:val="single" w:color="auto" w:sz="4" w:space="0"/>
            </w:tcBorders>
            <w:vAlign w:val="center"/>
          </w:tcPr>
          <w:p>
            <w:pPr>
              <w:jc w:val="center"/>
              <w:rPr>
                <w:rFonts w:hint="default" w:ascii="Times New Roman Bold" w:hAnsi="Times New Roman Bold" w:cs="Times New Roman Bold"/>
                <w:b/>
                <w:bCs/>
                <w:i w:val="0"/>
                <w:sz w:val="21"/>
                <w:szCs w:val="21"/>
                <w:vertAlign w:val="baseline"/>
                <w:lang w:val="en-US" w:eastAsia="zh-CN"/>
              </w:rPr>
            </w:pPr>
            <w:r>
              <w:rPr>
                <w:rFonts w:hint="default" w:ascii="Times New Roman Bold" w:hAnsi="Times New Roman Bold" w:cs="Times New Roman Bold"/>
                <w:b/>
                <w:bCs/>
                <w:i w:val="0"/>
                <w:sz w:val="21"/>
                <w:szCs w:val="21"/>
                <w:vertAlign w:val="baseline"/>
                <w:lang w:val="en-US" w:eastAsia="zh-CN"/>
              </w:rPr>
              <w:t>Full Term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tcBorders>
              <w:top w:val="single" w:color="auto" w:sz="4" w:space="0"/>
            </w:tcBorders>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ADA</w:t>
            </w:r>
          </w:p>
        </w:tc>
        <w:tc>
          <w:tcPr>
            <w:tcW w:w="3499" w:type="pct"/>
            <w:tcBorders>
              <w:top w:val="single" w:color="auto" w:sz="4" w:space="0"/>
            </w:tcBorders>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the American Diabetes Association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ASCVD</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atherosclerotic cardiovascular disease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BMI</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body mass index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BUN</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blood urea nitrogen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CHARLS</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China Health and Retirement Longitudinal Study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CI</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confidence interval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CRP</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C-reactive protein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CTI</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C-reactive protein-triglyceride-glucose index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cumCTI</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cumulative average CTI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CVD</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cardiovascular disease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DBP</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diastolic blood pressure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FPG</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fasting plasma glucose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HbA1c</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glycated hemoglobin A1c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HDL-C</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high-density lipoprotein cholesterol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IFG</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impaired fasting glucose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IHD</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ischemic heart disease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IR</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Insulin resistance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LDL-C</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low-density lipoprotein cholesterol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NAFLD</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non-alcoholic fatty liver disease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OR</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odds ratio</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ROS</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reactive oxygen species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SBP</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systolic blood pressure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SD</w:t>
            </w:r>
          </w:p>
        </w:tc>
        <w:tc>
          <w:tcPr>
            <w:tcW w:w="3499" w:type="pct"/>
            <w:vAlign w:val="top"/>
          </w:tcPr>
          <w:p>
            <w:pPr>
              <w:jc w:val="center"/>
              <w:rPr>
                <w:rFonts w:hint="default"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standard deviation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eastAsia"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T2DM</w:t>
            </w:r>
          </w:p>
        </w:tc>
        <w:tc>
          <w:tcPr>
            <w:tcW w:w="3499" w:type="pct"/>
            <w:vAlign w:val="top"/>
          </w:tcPr>
          <w:p>
            <w:pPr>
              <w:jc w:val="center"/>
              <w:rPr>
                <w:rFonts w:hint="eastAsia"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type 2 diabetes mellitus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eastAsia"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TC</w:t>
            </w:r>
          </w:p>
        </w:tc>
        <w:tc>
          <w:tcPr>
            <w:tcW w:w="3499" w:type="pct"/>
            <w:vAlign w:val="top"/>
          </w:tcPr>
          <w:p>
            <w:pPr>
              <w:jc w:val="center"/>
              <w:rPr>
                <w:rFonts w:hint="eastAsia"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total cholesterol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eastAsia"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TG</w:t>
            </w:r>
          </w:p>
        </w:tc>
        <w:tc>
          <w:tcPr>
            <w:tcW w:w="3499" w:type="pct"/>
            <w:vAlign w:val="top"/>
          </w:tcPr>
          <w:p>
            <w:pPr>
              <w:jc w:val="center"/>
              <w:rPr>
                <w:rFonts w:hint="eastAsia" w:ascii="Times New Roman" w:hAnsi="Times New Roman" w:cs="Times New Roman Regular"/>
                <w:i w:val="0"/>
                <w:sz w:val="21"/>
                <w:szCs w:val="21"/>
                <w:vertAlign w:val="baseline"/>
                <w:lang w:val="en-US" w:eastAsia="zh-CN"/>
              </w:rPr>
            </w:pPr>
            <w:r>
              <w:rPr>
                <w:rFonts w:hint="default" w:ascii="Times New Roman" w:hAnsi="Times New Roman" w:cs="Times New Roman Regular"/>
                <w:i w:val="0"/>
                <w:sz w:val="21"/>
                <w:szCs w:val="21"/>
                <w:vertAlign w:val="baseline"/>
                <w:lang w:val="en-US" w:eastAsia="zh-CN"/>
              </w:rPr>
              <w:t>triglycerides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eastAsia"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TyG</w:t>
            </w:r>
          </w:p>
        </w:tc>
        <w:tc>
          <w:tcPr>
            <w:tcW w:w="3499" w:type="pct"/>
            <w:vAlign w:val="top"/>
          </w:tcPr>
          <w:p>
            <w:pPr>
              <w:jc w:val="center"/>
              <w:rPr>
                <w:rFonts w:hint="eastAsia"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triglyceride-glucose index</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vAlign w:val="top"/>
          </w:tcPr>
          <w:p>
            <w:pPr>
              <w:jc w:val="center"/>
              <w:rPr>
                <w:rFonts w:hint="eastAsia"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UA</w:t>
            </w:r>
          </w:p>
        </w:tc>
        <w:tc>
          <w:tcPr>
            <w:tcW w:w="3499" w:type="pct"/>
            <w:vAlign w:val="top"/>
          </w:tcPr>
          <w:p>
            <w:pPr>
              <w:jc w:val="center"/>
              <w:rPr>
                <w:rFonts w:hint="eastAsia"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uric acid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500" w:type="pct"/>
            <w:tcBorders>
              <w:bottom w:val="single" w:color="auto" w:sz="4" w:space="0"/>
            </w:tcBorders>
            <w:vAlign w:val="top"/>
          </w:tcPr>
          <w:p>
            <w:pPr>
              <w:jc w:val="center"/>
              <w:rPr>
                <w:rFonts w:hint="eastAsia"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VI</w:t>
            </w:r>
            <w:r>
              <w:rPr>
                <w:rFonts w:hint="default" w:ascii="Times New Roman" w:hAnsi="Times New Roman" w:cs="Times New Roman Regular"/>
                <w:i w:val="0"/>
                <w:sz w:val="21"/>
                <w:szCs w:val="21"/>
                <w:vertAlign w:val="baseline"/>
                <w:lang w:val="en-US" w:eastAsia="zh-CN"/>
              </w:rPr>
              <w:t>F</w:t>
            </w:r>
          </w:p>
        </w:tc>
        <w:tc>
          <w:tcPr>
            <w:tcW w:w="3499" w:type="pct"/>
            <w:tcBorders>
              <w:bottom w:val="single" w:color="auto" w:sz="4" w:space="0"/>
            </w:tcBorders>
            <w:vAlign w:val="top"/>
          </w:tcPr>
          <w:p>
            <w:pPr>
              <w:jc w:val="center"/>
              <w:rPr>
                <w:rFonts w:hint="eastAsia" w:ascii="Times New Roman" w:hAnsi="Times New Roman" w:cs="Times New Roman Regular"/>
                <w:i w:val="0"/>
                <w:sz w:val="21"/>
                <w:szCs w:val="21"/>
                <w:vertAlign w:val="baseline"/>
                <w:lang w:val="en-US" w:eastAsia="zh-CN"/>
              </w:rPr>
            </w:pPr>
            <w:r>
              <w:rPr>
                <w:rFonts w:hint="eastAsia" w:ascii="Times New Roman" w:hAnsi="Times New Roman" w:cs="Times New Roman Regular"/>
                <w:i w:val="0"/>
                <w:sz w:val="21"/>
                <w:szCs w:val="21"/>
                <w:vertAlign w:val="baseline"/>
                <w:lang w:val="en-US" w:eastAsia="zh-CN"/>
              </w:rPr>
              <w:t>variance inflation factor</w:t>
            </w:r>
          </w:p>
        </w:tc>
      </w:tr>
    </w:tbl>
    <w:p>
      <w:pPr>
        <w:jc w:val="center"/>
        <w:rPr>
          <w:rFonts w:hint="eastAsia" w:ascii="Times New Roman" w:hAnsi="Times New Roman" w:cs="Times New Roman Regular"/>
          <w:i w:val="0"/>
          <w:sz w:val="21"/>
          <w:szCs w:val="21"/>
          <w:vertAlign w:val="baseline"/>
          <w:lang w:val="en-US" w:eastAsia="zh-CN"/>
        </w:rPr>
      </w:pPr>
    </w:p>
    <w:p>
      <w:pPr>
        <w:jc w:val="center"/>
        <w:rPr>
          <w:rFonts w:hint="default" w:ascii="Times New Roman" w:hAnsi="Times New Roman" w:cs="Times New Roman Regular"/>
          <w:i w:val="0"/>
          <w:sz w:val="21"/>
          <w:szCs w:val="21"/>
          <w:vertAlign w:val="baseline"/>
          <w:lang w:val="en-US" w:eastAsia="zh-CN"/>
        </w:rPr>
      </w:pPr>
    </w:p>
    <w:p>
      <w:pPr>
        <w:jc w:val="center"/>
        <w:rPr>
          <w:rFonts w:hint="default" w:ascii="Times New Roman" w:hAnsi="Times New Roman" w:cs="Times New Roman Regular"/>
          <w:i w:val="0"/>
          <w:sz w:val="21"/>
          <w:szCs w:val="21"/>
          <w:vertAlign w:val="baseline"/>
          <w:lang w:val="en-US" w:eastAsia="zh-CN"/>
        </w:rPr>
      </w:pPr>
    </w:p>
    <w:p>
      <w:pPr>
        <w:jc w:val="center"/>
        <w:rPr>
          <w:rFonts w:hint="default" w:ascii="Times New Roman" w:hAnsi="Times New Roman" w:cs="Times New Roman Regular"/>
          <w:i w:val="0"/>
          <w:sz w:val="21"/>
          <w:szCs w:val="21"/>
          <w:vertAlign w:val="baseli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Times New Roman Bold">
    <w:panose1 w:val="02020603050405020304"/>
    <w:charset w:val="00"/>
    <w:family w:val="auto"/>
    <w:pitch w:val="default"/>
    <w:sig w:usb0="E0002AEF" w:usb1="C0007841" w:usb2="00000009" w:usb3="00000000" w:csb0="400001FF" w:csb1="FFFF0000"/>
  </w:font>
  <w:font w:name="Times New Roman Regular">
    <w:panose1 w:val="02020603050405020304"/>
    <w:charset w:val="00"/>
    <w:family w:val="auto"/>
    <w:pitch w:val="default"/>
    <w:sig w:usb0="E0002AEF" w:usb1="C0007841" w:usb2="00000009" w:usb3="00000000" w:csb0="400001FF" w:csb1="FFFF0000"/>
  </w:font>
  <w:font w:name="MyriadPro-Light">
    <w:altName w:val="苹方-简"/>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冬青黑体简体中文">
    <w:panose1 w:val="020B0300000000000000"/>
    <w:charset w:val="86"/>
    <w:family w:val="auto"/>
    <w:pitch w:val="default"/>
    <w:sig w:usb0="A00002BF" w:usb1="1ACF7CFA" w:usb2="00000016" w:usb3="00000000" w:csb0="00060007" w:csb1="00000000"/>
  </w:font>
  <w:font w:name="PingFang SC">
    <w:panose1 w:val="020B0400000000000000"/>
    <w:charset w:val="86"/>
    <w:family w:val="auto"/>
    <w:pitch w:val="default"/>
    <w:sig w:usb0="A00002FF" w:usb1="7ACFFDFB" w:usb2="00000017" w:usb3="00000000" w:csb0="00040001" w:csb1="00000000"/>
  </w:font>
  <w:font w:name="Tahoma">
    <w:panose1 w:val="020B08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DFF1088"/>
    <w:rsid w:val="6BDE8C97"/>
    <w:rsid w:val="7BBB5B42"/>
    <w:rsid w:val="7E97928D"/>
    <w:rsid w:val="EDFF1088"/>
    <w:rsid w:val="F46408F4"/>
    <w:rsid w:val="F777F5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rPr>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TML Code"/>
    <w:basedOn w:val="7"/>
    <w:qFormat/>
    <w:uiPriority w:val="0"/>
    <w:rPr>
      <w:rFonts w:ascii="Courier New" w:hAnsi="Courier New"/>
      <w:sz w:val="20"/>
    </w:rPr>
  </w:style>
  <w:style w:type="character" w:styleId="9">
    <w:name w:val="HTML Cite"/>
    <w:basedOn w:val="7"/>
    <w:qFormat/>
    <w:uiPriority w:val="0"/>
    <w:rPr>
      <w:i/>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Office_6.5.1.8687_F1E327BC-269C-435d-A152-05C5408002CA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2026-08-07T21:18:00Z</dcterms:created>
  <dc:creator>努力努力再努力</dc:creator>
  <cp:lastModifiedBy>努力努力再努力</cp:lastModifiedBy>
  <dcterms:modified xsi:type="dcterms:W3CDTF">2026-08-13T22:18:39Z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2052-6.5.1.8687</vt:lpwstr>
  </property>
  <property fmtid="{D5CDD505-2E9C-101B-9397-08002B2CF9AE}" pid="3" name="ICV">
    <vt:lpwstr>80BEDF96498599C73FD27D6A8C8B3477_43</vt:lpwstr>
  </property>
</Properties>
</file>