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80"/>
        <w:ind w:left="0" w:firstLine="0"/>
      </w:pPr>
      <w:r>
        <w:rPr>
          <w:rFonts w:ascii="Times New Roman" w:hAnsi="Times New Roman" w:cs="Times New Roman" w:eastAsia="Arial Unicode MS"/>
          <w:b/>
          <w:i w:val="0"/>
          <w:color w:val="75607F"/>
          <w:sz w:val="21"/>
        </w:rPr>
        <w:t>Supplementary Table S1a. Included versus excluded participants.</w:t>
      </w:r>
    </w:p>
    <w:tbl>
      <w:tblPr>
        <w:tblW w:type="dxa" w:w="12960"/>
        <w:jc w:val="center"/>
        <w:tblLayout w:type="fixed"/>
        <w:tblLook w:firstColumn="1" w:firstRow="1" w:lastColumn="0" w:lastRow="0" w:noHBand="0" w:noVBand="1" w:val="04A0"/>
      </w:tblPr>
      <w:tblGrid>
        <w:gridCol w:w="2880"/>
        <w:gridCol w:w="720"/>
        <w:gridCol w:w="1584"/>
        <w:gridCol w:w="1584"/>
        <w:gridCol w:w="2015"/>
        <w:gridCol w:w="2015"/>
        <w:gridCol w:w="2160"/>
      </w:tblGrid>
      <w:tr>
        <w:trPr>
          <w:tblHeader w:val="true"/>
        </w:trPr>
        <w:tc>
          <w:tcPr>
            <w:tcW w:type="dxa" w:w="2880"/>
            <w:tcMar>
              <w:top w:w="65" w:type="dxa"/>
              <w:bottom w:w="65" w:type="dxa"/>
              <w:start w:w="80" w:type="dxa"/>
              <w:end w:w="80" w:type="dxa"/>
            </w:tcMar>
            <w:vAlign w:val="center"/>
            <w:tcBorders>
              <w:top w:val="single" w:sz="10" w:space="0" w:color="75607F"/>
              <w:left w:val="nil"/>
              <w:bottom w:val="single" w:sz="10" w:space="0" w:color="75607F"/>
              <w:right w:val="nil"/>
              <w:insideH w:val="nil"/>
              <w:insideV w:val="nil"/>
            </w:tcBorders>
          </w:tcPr>
          <w:p>
            <w:pPr>
              <w:spacing w:before="0" w:after="0" w:line="240" w:lineRule="auto"/>
              <w:jc w:val="left"/>
            </w:pPr>
            <w:r/>
            <w:r>
              <w:rPr>
                <w:rFonts w:ascii="Times New Roman" w:hAnsi="Times New Roman" w:cs="Times New Roman" w:eastAsia="Arial Unicode MS"/>
                <w:b/>
                <w:i w:val="0"/>
                <w:color w:val="75607F"/>
                <w:sz w:val="16"/>
              </w:rPr>
              <w:t>Group</w:t>
            </w:r>
          </w:p>
        </w:tc>
        <w:tc>
          <w:tcPr>
            <w:tcW w:type="dxa" w:w="720"/>
            <w:tcMar>
              <w:top w:w="65" w:type="dxa"/>
              <w:bottom w:w="65" w:type="dxa"/>
              <w:start w:w="80" w:type="dxa"/>
              <w:end w:w="80" w:type="dxa"/>
            </w:tcMar>
            <w:vAlign w:val="center"/>
            <w:tcBorders>
              <w:top w:val="single" w:sz="10" w:space="0" w:color="75607F"/>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i w:val="0"/>
                <w:color w:val="75607F"/>
                <w:sz w:val="16"/>
              </w:rPr>
              <w:t>N</w:t>
            </w:r>
          </w:p>
        </w:tc>
        <w:tc>
          <w:tcPr>
            <w:tcW w:type="dxa" w:w="1584"/>
            <w:tcMar>
              <w:top w:w="65" w:type="dxa"/>
              <w:bottom w:w="65" w:type="dxa"/>
              <w:start w:w="80" w:type="dxa"/>
              <w:end w:w="80" w:type="dxa"/>
            </w:tcMar>
            <w:vAlign w:val="center"/>
            <w:tcBorders>
              <w:top w:val="single" w:sz="10" w:space="0" w:color="75607F"/>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i w:val="0"/>
                <w:color w:val="75607F"/>
                <w:sz w:val="16"/>
              </w:rPr>
              <w:t>Age, mean (SD)</w:t>
            </w:r>
          </w:p>
        </w:tc>
        <w:tc>
          <w:tcPr>
            <w:tcW w:type="dxa" w:w="1584"/>
            <w:tcMar>
              <w:top w:w="65" w:type="dxa"/>
              <w:bottom w:w="65" w:type="dxa"/>
              <w:start w:w="80" w:type="dxa"/>
              <w:end w:w="80" w:type="dxa"/>
            </w:tcMar>
            <w:vAlign w:val="center"/>
            <w:tcBorders>
              <w:top w:val="single" w:sz="10" w:space="0" w:color="75607F"/>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i w:val="0"/>
                <w:color w:val="75607F"/>
                <w:sz w:val="16"/>
              </w:rPr>
              <w:t>BMI, mean (SD)</w:t>
            </w:r>
          </w:p>
        </w:tc>
        <w:tc>
          <w:tcPr>
            <w:tcW w:type="dxa" w:w="2015"/>
            <w:tcMar>
              <w:top w:w="65" w:type="dxa"/>
              <w:bottom w:w="65" w:type="dxa"/>
              <w:start w:w="80" w:type="dxa"/>
              <w:end w:w="80" w:type="dxa"/>
            </w:tcMar>
            <w:vAlign w:val="center"/>
            <w:tcBorders>
              <w:top w:val="single" w:sz="10" w:space="0" w:color="75607F"/>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i w:val="0"/>
                <w:color w:val="75607F"/>
                <w:sz w:val="16"/>
              </w:rPr>
              <w:t>Female hormone therapy history, n (%)</w:t>
            </w:r>
          </w:p>
        </w:tc>
        <w:tc>
          <w:tcPr>
            <w:tcW w:type="dxa" w:w="2015"/>
            <w:tcMar>
              <w:top w:w="65" w:type="dxa"/>
              <w:bottom w:w="65" w:type="dxa"/>
              <w:start w:w="80" w:type="dxa"/>
              <w:end w:w="80" w:type="dxa"/>
            </w:tcMar>
            <w:vAlign w:val="center"/>
            <w:tcBorders>
              <w:top w:val="single" w:sz="10" w:space="0" w:color="75607F"/>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i w:val="0"/>
                <w:color w:val="75607F"/>
                <w:sz w:val="16"/>
              </w:rPr>
              <w:t>Thyroid diagnosis, n (%)</w:t>
            </w:r>
          </w:p>
        </w:tc>
        <w:tc>
          <w:tcPr>
            <w:tcW w:type="dxa" w:w="2160"/>
            <w:tcMar>
              <w:top w:w="65" w:type="dxa"/>
              <w:bottom w:w="65" w:type="dxa"/>
              <w:start w:w="80" w:type="dxa"/>
              <w:end w:w="80" w:type="dxa"/>
            </w:tcMar>
            <w:vAlign w:val="center"/>
            <w:tcBorders>
              <w:top w:val="single" w:sz="10" w:space="0" w:color="75607F"/>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i w:val="0"/>
                <w:color w:val="75607F"/>
                <w:sz w:val="16"/>
              </w:rPr>
              <w:t>Surgical menopause, n (%)</w:t>
            </w:r>
          </w:p>
        </w:tc>
      </w:tr>
      <w:tr>
        <w:tc>
          <w:tcPr>
            <w:tcW w:type="dxa" w:w="2880"/>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left"/>
            </w:pPr>
            <w:r/>
            <w:r>
              <w:rPr>
                <w:rFonts w:ascii="Times New Roman" w:hAnsi="Times New Roman" w:cs="Times New Roman" w:eastAsia="Arial Unicode MS"/>
                <w:b w:val="0"/>
                <w:i w:val="0"/>
                <w:color w:val="2F3437"/>
                <w:sz w:val="16"/>
              </w:rPr>
              <w:t>Included</w:t>
            </w:r>
          </w:p>
        </w:tc>
        <w:tc>
          <w:tcPr>
            <w:tcW w:type="dxa" w:w="720"/>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3974</w:t>
            </w:r>
          </w:p>
        </w:tc>
        <w:tc>
          <w:tcPr>
            <w:tcW w:type="dxa" w:w="1584"/>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63.7 (9.4)</w:t>
            </w:r>
          </w:p>
        </w:tc>
        <w:tc>
          <w:tcPr>
            <w:tcW w:type="dxa" w:w="1584"/>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24.3 (3.2)</w:t>
            </w:r>
          </w:p>
        </w:tc>
        <w:tc>
          <w:tcPr>
            <w:tcW w:type="dxa" w:w="2015"/>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582 (14.6%)</w:t>
            </w:r>
          </w:p>
        </w:tc>
        <w:tc>
          <w:tcPr>
            <w:tcW w:type="dxa" w:w="2015"/>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265 (6.7%)</w:t>
            </w:r>
          </w:p>
        </w:tc>
        <w:tc>
          <w:tcPr>
            <w:tcW w:type="dxa" w:w="2160"/>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494 (12.4%)</w:t>
            </w:r>
          </w:p>
        </w:tc>
      </w:tr>
      <w:tr>
        <w:tc>
          <w:tcPr>
            <w:tcW w:type="dxa" w:w="2880"/>
            <w:vAlign w:val="center"/>
            <w:tcMar>
              <w:top w:w="65" w:type="dxa"/>
              <w:bottom w:w="65" w:type="dxa"/>
              <w:start w:w="80" w:type="dxa"/>
              <w:end w:w="80" w:type="dxa"/>
            </w:tcMar>
            <w:tcBorders>
              <w:top w:val="nil"/>
              <w:left w:val="nil"/>
              <w:bottom w:val="single" w:sz="10" w:space="0" w:color="75607F"/>
              <w:right w:val="nil"/>
              <w:insideH w:val="nil"/>
              <w:insideV w:val="nil"/>
            </w:tcBorders>
          </w:tcPr>
          <w:p>
            <w:pPr>
              <w:spacing w:before="0" w:after="0" w:line="240" w:lineRule="auto"/>
              <w:jc w:val="left"/>
            </w:pPr>
            <w:r/>
            <w:r>
              <w:rPr>
                <w:rFonts w:ascii="Times New Roman" w:hAnsi="Times New Roman" w:cs="Times New Roman" w:eastAsia="Arial Unicode MS"/>
                <w:b w:val="0"/>
                <w:i w:val="0"/>
                <w:color w:val="2F3437"/>
                <w:sz w:val="16"/>
              </w:rPr>
              <w:t>Excluded for missing core covariates</w:t>
            </w:r>
          </w:p>
        </w:tc>
        <w:tc>
          <w:tcPr>
            <w:tcW w:type="dxa" w:w="720"/>
            <w:vAlign w:val="center"/>
            <w:tcMar>
              <w:top w:w="65" w:type="dxa"/>
              <w:bottom w:w="65" w:type="dxa"/>
              <w:start w:w="80" w:type="dxa"/>
              <w:end w:w="80" w:type="dxa"/>
            </w:tcMar>
            <w:tcBorders>
              <w:top w:val="nil"/>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200</w:t>
            </w:r>
          </w:p>
        </w:tc>
        <w:tc>
          <w:tcPr>
            <w:tcW w:type="dxa" w:w="1584"/>
            <w:vAlign w:val="center"/>
            <w:tcMar>
              <w:top w:w="65" w:type="dxa"/>
              <w:bottom w:w="65" w:type="dxa"/>
              <w:start w:w="80" w:type="dxa"/>
              <w:end w:w="80" w:type="dxa"/>
            </w:tcMar>
            <w:tcBorders>
              <w:top w:val="nil"/>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68.6 (9.6)</w:t>
            </w:r>
          </w:p>
        </w:tc>
        <w:tc>
          <w:tcPr>
            <w:tcW w:type="dxa" w:w="1584"/>
            <w:vAlign w:val="center"/>
            <w:tcMar>
              <w:top w:w="65" w:type="dxa"/>
              <w:bottom w:w="65" w:type="dxa"/>
              <w:start w:w="80" w:type="dxa"/>
              <w:end w:w="80" w:type="dxa"/>
            </w:tcMar>
            <w:tcBorders>
              <w:top w:val="nil"/>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24.4 (3.7)</w:t>
            </w:r>
          </w:p>
        </w:tc>
        <w:tc>
          <w:tcPr>
            <w:tcW w:type="dxa" w:w="2015"/>
            <w:vAlign w:val="center"/>
            <w:tcMar>
              <w:top w:w="65" w:type="dxa"/>
              <w:bottom w:w="65" w:type="dxa"/>
              <w:start w:w="80" w:type="dxa"/>
              <w:end w:w="80" w:type="dxa"/>
            </w:tcMar>
            <w:tcBorders>
              <w:top w:val="nil"/>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29 (14.5%)</w:t>
            </w:r>
          </w:p>
        </w:tc>
        <w:tc>
          <w:tcPr>
            <w:tcW w:type="dxa" w:w="2015"/>
            <w:vAlign w:val="center"/>
            <w:tcMar>
              <w:top w:w="65" w:type="dxa"/>
              <w:bottom w:w="65" w:type="dxa"/>
              <w:start w:w="80" w:type="dxa"/>
              <w:end w:w="80" w:type="dxa"/>
            </w:tcMar>
            <w:tcBorders>
              <w:top w:val="nil"/>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6 (3.0%)</w:t>
            </w:r>
          </w:p>
        </w:tc>
        <w:tc>
          <w:tcPr>
            <w:tcW w:type="dxa" w:w="2160"/>
            <w:vAlign w:val="center"/>
            <w:tcMar>
              <w:top w:w="65" w:type="dxa"/>
              <w:bottom w:w="65" w:type="dxa"/>
              <w:start w:w="80" w:type="dxa"/>
              <w:end w:w="80" w:type="dxa"/>
            </w:tcMar>
            <w:tcBorders>
              <w:top w:val="nil"/>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16 (8.0%)</w:t>
            </w:r>
          </w:p>
        </w:tc>
      </w:tr>
    </w:tbl>
    <w:p>
      <w:pPr>
        <w:spacing w:before="60" w:after="80"/>
      </w:pPr>
      <w:r>
        <w:rPr>
          <w:rFonts w:ascii="Times New Roman" w:hAnsi="Times New Roman" w:cs="Times New Roman" w:eastAsia="Arial Unicode MS"/>
          <w:b w:val="0"/>
          <w:i/>
          <w:color w:val="5B6063"/>
          <w:sz w:val="16"/>
        </w:rPr>
        <w:t>Comparison is unweighted and descriptive.</w:t>
      </w:r>
    </w:p>
    <w:p>
      <w:pPr>
        <w:sectPr>
          <w:pgSz w:w="15840" w:h="12240" w:orient="landscape"/>
          <w:pgMar w:top="1008" w:right="1008" w:bottom="1008" w:left="1008" w:header="720" w:footer="720" w:gutter="0"/>
          <w:cols w:space="720"/>
          <w:docGrid w:linePitch="360"/>
        </w:sectPr>
      </w:pPr>
    </w:p>
    <w:p>
      <w:pPr>
        <w:spacing w:before="80" w:after="80"/>
        <w:ind w:left="0" w:firstLine="0"/>
      </w:pPr>
      <w:r>
        <w:rPr>
          <w:rFonts w:ascii="Times New Roman" w:hAnsi="Times New Roman" w:cs="Times New Roman" w:eastAsia="Arial Unicode MS"/>
          <w:b/>
          <w:i w:val="0"/>
          <w:color w:val="75607F"/>
          <w:sz w:val="21"/>
        </w:rPr>
        <w:t>Supplementary Table S1b. Missingness of core covariates.</w:t>
      </w:r>
    </w:p>
    <w:tbl>
      <w:tblPr>
        <w:tblW w:type="dxa" w:w="10367"/>
        <w:jc w:val="center"/>
        <w:tblLayout w:type="fixed"/>
        <w:tblLook w:firstColumn="1" w:firstRow="1" w:lastColumn="0" w:lastRow="0" w:noHBand="0" w:noVBand="1" w:val="04A0"/>
      </w:tblPr>
      <w:tblGrid>
        <w:gridCol w:w="6912"/>
        <w:gridCol w:w="1728"/>
        <w:gridCol w:w="1728"/>
      </w:tblGrid>
      <w:tr>
        <w:trPr>
          <w:tblHeader w:val="true"/>
        </w:trPr>
        <w:tc>
          <w:tcPr>
            <w:tcW w:type="dxa" w:w="6912"/>
            <w:tcMar>
              <w:top w:w="65" w:type="dxa"/>
              <w:bottom w:w="65" w:type="dxa"/>
              <w:start w:w="80" w:type="dxa"/>
              <w:end w:w="80" w:type="dxa"/>
            </w:tcMar>
            <w:vAlign w:val="center"/>
            <w:tcBorders>
              <w:top w:val="single" w:sz="10" w:space="0" w:color="75607F"/>
              <w:left w:val="nil"/>
              <w:bottom w:val="single" w:sz="10" w:space="0" w:color="75607F"/>
              <w:right w:val="nil"/>
              <w:insideH w:val="nil"/>
              <w:insideV w:val="nil"/>
            </w:tcBorders>
          </w:tcPr>
          <w:p>
            <w:pPr>
              <w:spacing w:before="0" w:after="0" w:line="240" w:lineRule="auto"/>
              <w:jc w:val="left"/>
            </w:pPr>
            <w:r/>
            <w:r>
              <w:rPr>
                <w:rFonts w:ascii="Times New Roman" w:hAnsi="Times New Roman" w:cs="Times New Roman" w:eastAsia="Arial Unicode MS"/>
                <w:b/>
                <w:i w:val="0"/>
                <w:color w:val="75607F"/>
                <w:sz w:val="16"/>
              </w:rPr>
              <w:t>Core covariate</w:t>
            </w:r>
          </w:p>
        </w:tc>
        <w:tc>
          <w:tcPr>
            <w:tcW w:type="dxa" w:w="1728"/>
            <w:tcMar>
              <w:top w:w="65" w:type="dxa"/>
              <w:bottom w:w="65" w:type="dxa"/>
              <w:start w:w="80" w:type="dxa"/>
              <w:end w:w="80" w:type="dxa"/>
            </w:tcMar>
            <w:vAlign w:val="center"/>
            <w:tcBorders>
              <w:top w:val="single" w:sz="10" w:space="0" w:color="75607F"/>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i w:val="0"/>
                <w:color w:val="75607F"/>
                <w:sz w:val="16"/>
              </w:rPr>
              <w:t>Missing, n</w:t>
            </w:r>
          </w:p>
        </w:tc>
        <w:tc>
          <w:tcPr>
            <w:tcW w:type="dxa" w:w="1728"/>
            <w:tcMar>
              <w:top w:w="65" w:type="dxa"/>
              <w:bottom w:w="65" w:type="dxa"/>
              <w:start w:w="80" w:type="dxa"/>
              <w:end w:w="80" w:type="dxa"/>
            </w:tcMar>
            <w:vAlign w:val="center"/>
            <w:tcBorders>
              <w:top w:val="single" w:sz="10" w:space="0" w:color="75607F"/>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i w:val="0"/>
                <w:color w:val="75607F"/>
                <w:sz w:val="16"/>
              </w:rPr>
              <w:t>Missing, %</w:t>
            </w:r>
          </w:p>
        </w:tc>
      </w:tr>
      <w:tr>
        <w:tc>
          <w:tcPr>
            <w:tcW w:type="dxa" w:w="6912"/>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left"/>
            </w:pPr>
            <w:r/>
            <w:r>
              <w:rPr>
                <w:rFonts w:ascii="Times New Roman" w:hAnsi="Times New Roman" w:cs="Times New Roman" w:eastAsia="Arial Unicode MS"/>
                <w:b w:val="0"/>
                <w:i w:val="0"/>
                <w:color w:val="2F3437"/>
                <w:sz w:val="16"/>
              </w:rPr>
              <w:t>age</w:t>
            </w:r>
          </w:p>
        </w:tc>
        <w:tc>
          <w:tcPr>
            <w:tcW w:type="dxa" w:w="1728"/>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0</w:t>
            </w:r>
          </w:p>
        </w:tc>
        <w:tc>
          <w:tcPr>
            <w:tcW w:type="dxa" w:w="1728"/>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0.00</w:t>
            </w:r>
          </w:p>
        </w:tc>
      </w:tr>
      <w:tr>
        <w:tc>
          <w:tcPr>
            <w:tcW w:type="dxa" w:w="6912"/>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left"/>
            </w:pPr>
            <w:r/>
            <w:r>
              <w:rPr>
                <w:rFonts w:ascii="Times New Roman" w:hAnsi="Times New Roman" w:cs="Times New Roman" w:eastAsia="Arial Unicode MS"/>
                <w:b w:val="0"/>
                <w:i w:val="0"/>
                <w:color w:val="2F3437"/>
                <w:sz w:val="16"/>
              </w:rPr>
              <w:t>income</w:t>
            </w:r>
          </w:p>
        </w:tc>
        <w:tc>
          <w:tcPr>
            <w:tcW w:type="dxa" w:w="1728"/>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142</w:t>
            </w:r>
          </w:p>
        </w:tc>
        <w:tc>
          <w:tcPr>
            <w:tcW w:type="dxa" w:w="1728"/>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3.40</w:t>
            </w:r>
          </w:p>
        </w:tc>
      </w:tr>
      <w:tr>
        <w:tc>
          <w:tcPr>
            <w:tcW w:type="dxa" w:w="6912"/>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left"/>
            </w:pPr>
            <w:r/>
            <w:r>
              <w:rPr>
                <w:rFonts w:ascii="Times New Roman" w:hAnsi="Times New Roman" w:cs="Times New Roman" w:eastAsia="Arial Unicode MS"/>
                <w:b w:val="0"/>
                <w:i w:val="0"/>
                <w:color w:val="2F3437"/>
                <w:sz w:val="16"/>
              </w:rPr>
              <w:t>education</w:t>
            </w:r>
          </w:p>
        </w:tc>
        <w:tc>
          <w:tcPr>
            <w:tcW w:type="dxa" w:w="1728"/>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20</w:t>
            </w:r>
          </w:p>
        </w:tc>
        <w:tc>
          <w:tcPr>
            <w:tcW w:type="dxa" w:w="1728"/>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0.48</w:t>
            </w:r>
          </w:p>
        </w:tc>
      </w:tr>
      <w:tr>
        <w:tc>
          <w:tcPr>
            <w:tcW w:type="dxa" w:w="6912"/>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left"/>
            </w:pPr>
            <w:r/>
            <w:r>
              <w:rPr>
                <w:rFonts w:ascii="Times New Roman" w:hAnsi="Times New Roman" w:cs="Times New Roman" w:eastAsia="Arial Unicode MS"/>
                <w:b w:val="0"/>
                <w:i w:val="0"/>
                <w:color w:val="2F3437"/>
                <w:sz w:val="16"/>
              </w:rPr>
              <w:t>bmi</w:t>
            </w:r>
          </w:p>
        </w:tc>
        <w:tc>
          <w:tcPr>
            <w:tcW w:type="dxa" w:w="1728"/>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26</w:t>
            </w:r>
          </w:p>
        </w:tc>
        <w:tc>
          <w:tcPr>
            <w:tcW w:type="dxa" w:w="1728"/>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0.62</w:t>
            </w:r>
          </w:p>
        </w:tc>
      </w:tr>
      <w:tr>
        <w:tc>
          <w:tcPr>
            <w:tcW w:type="dxa" w:w="6912"/>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left"/>
            </w:pPr>
            <w:r/>
            <w:r>
              <w:rPr>
                <w:rFonts w:ascii="Times New Roman" w:hAnsi="Times New Roman" w:cs="Times New Roman" w:eastAsia="Arial Unicode MS"/>
                <w:b w:val="0"/>
                <w:i w:val="0"/>
                <w:color w:val="2F3437"/>
                <w:sz w:val="16"/>
              </w:rPr>
              <w:t>smoking current</w:t>
            </w:r>
          </w:p>
        </w:tc>
        <w:tc>
          <w:tcPr>
            <w:tcW w:type="dxa" w:w="1728"/>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20</w:t>
            </w:r>
          </w:p>
        </w:tc>
        <w:tc>
          <w:tcPr>
            <w:tcW w:type="dxa" w:w="1728"/>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0.48</w:t>
            </w:r>
          </w:p>
        </w:tc>
      </w:tr>
      <w:tr>
        <w:tc>
          <w:tcPr>
            <w:tcW w:type="dxa" w:w="6912"/>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left"/>
            </w:pPr>
            <w:r/>
            <w:r>
              <w:rPr>
                <w:rFonts w:ascii="Times New Roman" w:hAnsi="Times New Roman" w:cs="Times New Roman" w:eastAsia="Arial Unicode MS"/>
                <w:b w:val="0"/>
                <w:i w:val="0"/>
                <w:color w:val="2F3437"/>
                <w:sz w:val="16"/>
              </w:rPr>
              <w:t>diabetes</w:t>
            </w:r>
          </w:p>
        </w:tc>
        <w:tc>
          <w:tcPr>
            <w:tcW w:type="dxa" w:w="1728"/>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0</w:t>
            </w:r>
          </w:p>
        </w:tc>
        <w:tc>
          <w:tcPr>
            <w:tcW w:type="dxa" w:w="1728"/>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0.00</w:t>
            </w:r>
          </w:p>
        </w:tc>
      </w:tr>
      <w:tr>
        <w:tc>
          <w:tcPr>
            <w:tcW w:type="dxa" w:w="6912"/>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left"/>
            </w:pPr>
            <w:r/>
            <w:r>
              <w:rPr>
                <w:rFonts w:ascii="Times New Roman" w:hAnsi="Times New Roman" w:cs="Times New Roman" w:eastAsia="Arial Unicode MS"/>
                <w:b w:val="0"/>
                <w:i w:val="0"/>
                <w:color w:val="2F3437"/>
                <w:sz w:val="16"/>
              </w:rPr>
              <w:t>menopause type</w:t>
            </w:r>
          </w:p>
        </w:tc>
        <w:tc>
          <w:tcPr>
            <w:tcW w:type="dxa" w:w="1728"/>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0</w:t>
            </w:r>
          </w:p>
        </w:tc>
        <w:tc>
          <w:tcPr>
            <w:tcW w:type="dxa" w:w="1728"/>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0.00</w:t>
            </w:r>
          </w:p>
        </w:tc>
      </w:tr>
      <w:tr>
        <w:tc>
          <w:tcPr>
            <w:tcW w:type="dxa" w:w="6912"/>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left"/>
            </w:pPr>
            <w:r/>
            <w:r>
              <w:rPr>
                <w:rFonts w:ascii="Times New Roman" w:hAnsi="Times New Roman" w:cs="Times New Roman" w:eastAsia="Arial Unicode MS"/>
                <w:b w:val="0"/>
                <w:i w:val="0"/>
                <w:color w:val="2F3437"/>
                <w:sz w:val="16"/>
              </w:rPr>
              <w:t>pregnancy experience</w:t>
            </w:r>
          </w:p>
        </w:tc>
        <w:tc>
          <w:tcPr>
            <w:tcW w:type="dxa" w:w="1728"/>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2</w:t>
            </w:r>
          </w:p>
        </w:tc>
        <w:tc>
          <w:tcPr>
            <w:tcW w:type="dxa" w:w="1728"/>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0.05</w:t>
            </w:r>
          </w:p>
        </w:tc>
      </w:tr>
      <w:tr>
        <w:tc>
          <w:tcPr>
            <w:tcW w:type="dxa" w:w="6912"/>
            <w:vAlign w:val="center"/>
            <w:tcMar>
              <w:top w:w="65" w:type="dxa"/>
              <w:bottom w:w="65" w:type="dxa"/>
              <w:start w:w="80" w:type="dxa"/>
              <w:end w:w="80" w:type="dxa"/>
            </w:tcMar>
            <w:tcBorders>
              <w:top w:val="nil"/>
              <w:left w:val="nil"/>
              <w:bottom w:val="single" w:sz="10" w:space="0" w:color="75607F"/>
              <w:right w:val="nil"/>
              <w:insideH w:val="nil"/>
              <w:insideV w:val="nil"/>
            </w:tcBorders>
          </w:tcPr>
          <w:p>
            <w:pPr>
              <w:spacing w:before="0" w:after="0" w:line="240" w:lineRule="auto"/>
              <w:jc w:val="left"/>
            </w:pPr>
            <w:r/>
            <w:r>
              <w:rPr>
                <w:rFonts w:ascii="Times New Roman" w:hAnsi="Times New Roman" w:cs="Times New Roman" w:eastAsia="Arial Unicode MS"/>
                <w:b w:val="0"/>
                <w:i w:val="0"/>
                <w:color w:val="2F3437"/>
                <w:sz w:val="16"/>
              </w:rPr>
              <w:t>year</w:t>
            </w:r>
          </w:p>
        </w:tc>
        <w:tc>
          <w:tcPr>
            <w:tcW w:type="dxa" w:w="1728"/>
            <w:vAlign w:val="center"/>
            <w:tcMar>
              <w:top w:w="65" w:type="dxa"/>
              <w:bottom w:w="65" w:type="dxa"/>
              <w:start w:w="80" w:type="dxa"/>
              <w:end w:w="80" w:type="dxa"/>
            </w:tcMar>
            <w:tcBorders>
              <w:top w:val="nil"/>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0</w:t>
            </w:r>
          </w:p>
        </w:tc>
        <w:tc>
          <w:tcPr>
            <w:tcW w:type="dxa" w:w="1728"/>
            <w:vAlign w:val="center"/>
            <w:tcMar>
              <w:top w:w="65" w:type="dxa"/>
              <w:bottom w:w="65" w:type="dxa"/>
              <w:start w:w="80" w:type="dxa"/>
              <w:end w:w="80" w:type="dxa"/>
            </w:tcMar>
            <w:tcBorders>
              <w:top w:val="nil"/>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0.00</w:t>
            </w:r>
          </w:p>
        </w:tc>
      </w:tr>
    </w:tbl>
    <w:p>
      <w:pPr>
        <w:spacing w:before="60" w:after="80"/>
      </w:pPr>
      <w:r>
        <w:rPr>
          <w:rFonts w:ascii="Times New Roman" w:hAnsi="Times New Roman" w:cs="Times New Roman" w:eastAsia="Arial Unicode MS"/>
          <w:b w:val="0"/>
          <w:i/>
          <w:color w:val="5B6063"/>
          <w:sz w:val="16"/>
        </w:rPr>
        <w:t>Percentages use 4,174 postmenopausal women with nonmissing exposure and all four thyroid outcomes as the denominator.</w:t>
      </w:r>
    </w:p>
    <w:p>
      <w:pPr>
        <w:sectPr>
          <w:pgSz w:w="15840" w:h="12240" w:orient="landscape"/>
          <w:pgMar w:top="1008" w:right="1008" w:bottom="1008" w:left="1008" w:header="720" w:footer="720" w:gutter="0"/>
          <w:cols w:space="720"/>
          <w:docGrid w:linePitch="360"/>
        </w:sectPr>
      </w:pPr>
    </w:p>
    <w:p>
      <w:pPr>
        <w:spacing w:before="80" w:after="80"/>
        <w:ind w:left="0" w:firstLine="0"/>
      </w:pPr>
      <w:r>
        <w:rPr>
          <w:rFonts w:ascii="Times New Roman" w:hAnsi="Times New Roman" w:cs="Times New Roman" w:eastAsia="Arial Unicode MS"/>
          <w:b/>
          <w:i w:val="0"/>
          <w:color w:val="75607F"/>
          <w:sz w:val="21"/>
        </w:rPr>
        <w:t>Supplementary Table S2. Survey-cycle-specific associations for doctor-diagnosed thyroid disorder.</w:t>
      </w:r>
    </w:p>
    <w:tbl>
      <w:tblPr>
        <w:tblW w:type="dxa" w:w="8640"/>
        <w:jc w:val="center"/>
        <w:tblLayout w:type="fixed"/>
        <w:tblLook w:firstColumn="1" w:firstRow="1" w:lastColumn="0" w:lastRow="0" w:noHBand="0" w:noVBand="1" w:val="04A0"/>
      </w:tblPr>
      <w:tblGrid>
        <w:gridCol w:w="1728"/>
        <w:gridCol w:w="936"/>
        <w:gridCol w:w="1007"/>
        <w:gridCol w:w="1728"/>
        <w:gridCol w:w="2376"/>
        <w:gridCol w:w="864"/>
      </w:tblGrid>
      <w:tr>
        <w:trPr>
          <w:tblHeader w:val="true"/>
        </w:trPr>
        <w:tc>
          <w:tcPr>
            <w:tcW w:type="dxa" w:w="1728"/>
            <w:tcMar>
              <w:top w:w="65" w:type="dxa"/>
              <w:bottom w:w="65" w:type="dxa"/>
              <w:start w:w="80" w:type="dxa"/>
              <w:end w:w="80" w:type="dxa"/>
            </w:tcMar>
            <w:vAlign w:val="center"/>
            <w:tcBorders>
              <w:top w:val="single" w:sz="10" w:space="0" w:color="75607F"/>
              <w:left w:val="nil"/>
              <w:bottom w:val="single" w:sz="10" w:space="0" w:color="75607F"/>
              <w:right w:val="nil"/>
              <w:insideH w:val="nil"/>
              <w:insideV w:val="nil"/>
            </w:tcBorders>
          </w:tcPr>
          <w:p>
            <w:pPr>
              <w:spacing w:before="0" w:after="0" w:line="240" w:lineRule="auto"/>
              <w:jc w:val="left"/>
            </w:pPr>
            <w:r/>
            <w:r>
              <w:rPr>
                <w:rFonts w:ascii="Times New Roman" w:hAnsi="Times New Roman" w:cs="Times New Roman" w:eastAsia="Arial Unicode MS"/>
                <w:b/>
                <w:i w:val="0"/>
                <w:color w:val="75607F"/>
                <w:sz w:val="16"/>
              </w:rPr>
              <w:t>Survey cycle</w:t>
            </w:r>
          </w:p>
        </w:tc>
        <w:tc>
          <w:tcPr>
            <w:tcW w:type="dxa" w:w="936"/>
            <w:tcMar>
              <w:top w:w="65" w:type="dxa"/>
              <w:bottom w:w="65" w:type="dxa"/>
              <w:start w:w="80" w:type="dxa"/>
              <w:end w:w="80" w:type="dxa"/>
            </w:tcMar>
            <w:vAlign w:val="center"/>
            <w:tcBorders>
              <w:top w:val="single" w:sz="10" w:space="0" w:color="75607F"/>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i w:val="0"/>
                <w:color w:val="75607F"/>
                <w:sz w:val="16"/>
              </w:rPr>
              <w:t>N</w:t>
            </w:r>
          </w:p>
        </w:tc>
        <w:tc>
          <w:tcPr>
            <w:tcW w:type="dxa" w:w="1007"/>
            <w:tcMar>
              <w:top w:w="65" w:type="dxa"/>
              <w:bottom w:w="65" w:type="dxa"/>
              <w:start w:w="80" w:type="dxa"/>
              <w:end w:w="80" w:type="dxa"/>
            </w:tcMar>
            <w:vAlign w:val="center"/>
            <w:tcBorders>
              <w:top w:val="single" w:sz="10" w:space="0" w:color="75607F"/>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i w:val="0"/>
                <w:color w:val="75607F"/>
                <w:sz w:val="16"/>
              </w:rPr>
              <w:t>Events</w:t>
            </w:r>
          </w:p>
        </w:tc>
        <w:tc>
          <w:tcPr>
            <w:tcW w:type="dxa" w:w="1728"/>
            <w:tcMar>
              <w:top w:w="65" w:type="dxa"/>
              <w:bottom w:w="65" w:type="dxa"/>
              <w:start w:w="80" w:type="dxa"/>
              <w:end w:w="80" w:type="dxa"/>
            </w:tcMar>
            <w:vAlign w:val="center"/>
            <w:tcBorders>
              <w:top w:val="single" w:sz="10" w:space="0" w:color="75607F"/>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i w:val="0"/>
                <w:color w:val="75607F"/>
                <w:sz w:val="16"/>
              </w:rPr>
              <w:t>Female hormone therapy</w:t>
              <w:br/>
              <w:t>history events/N</w:t>
            </w:r>
          </w:p>
        </w:tc>
        <w:tc>
          <w:tcPr>
            <w:tcW w:type="dxa" w:w="2376"/>
            <w:tcMar>
              <w:top w:w="65" w:type="dxa"/>
              <w:bottom w:w="65" w:type="dxa"/>
              <w:start w:w="80" w:type="dxa"/>
              <w:end w:w="80" w:type="dxa"/>
            </w:tcMar>
            <w:vAlign w:val="center"/>
            <w:tcBorders>
              <w:top w:val="single" w:sz="10" w:space="0" w:color="75607F"/>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i w:val="0"/>
                <w:color w:val="75607F"/>
                <w:sz w:val="16"/>
              </w:rPr>
              <w:t>Adjusted OR (95% CI)</w:t>
            </w:r>
          </w:p>
        </w:tc>
        <w:tc>
          <w:tcPr>
            <w:tcW w:type="dxa" w:w="864"/>
            <w:tcMar>
              <w:top w:w="65" w:type="dxa"/>
              <w:bottom w:w="65" w:type="dxa"/>
              <w:start w:w="80" w:type="dxa"/>
              <w:end w:w="80" w:type="dxa"/>
            </w:tcMar>
            <w:vAlign w:val="center"/>
            <w:tcBorders>
              <w:top w:val="single" w:sz="10" w:space="0" w:color="75607F"/>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i w:val="0"/>
                <w:color w:val="75607F"/>
                <w:sz w:val="16"/>
              </w:rPr>
              <w:t>p</w:t>
            </w:r>
          </w:p>
        </w:tc>
      </w:tr>
      <w:tr>
        <w:tc>
          <w:tcPr>
            <w:tcW w:type="dxa" w:w="1728"/>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left"/>
            </w:pPr>
            <w:r/>
            <w:r>
              <w:rPr>
                <w:rFonts w:ascii="Times New Roman" w:hAnsi="Times New Roman" w:cs="Times New Roman" w:eastAsia="Arial Unicode MS"/>
                <w:b w:val="0"/>
                <w:i w:val="0"/>
                <w:color w:val="2F3437"/>
                <w:sz w:val="16"/>
              </w:rPr>
              <w:t>2007</w:t>
            </w:r>
          </w:p>
        </w:tc>
        <w:tc>
          <w:tcPr>
            <w:tcW w:type="dxa" w:w="936"/>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673</w:t>
            </w:r>
          </w:p>
        </w:tc>
        <w:tc>
          <w:tcPr>
            <w:tcW w:type="dxa" w:w="1007"/>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54</w:t>
            </w:r>
          </w:p>
        </w:tc>
        <w:tc>
          <w:tcPr>
            <w:tcW w:type="dxa" w:w="1728"/>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14/101</w:t>
            </w:r>
          </w:p>
        </w:tc>
        <w:tc>
          <w:tcPr>
            <w:tcW w:type="dxa" w:w="2376"/>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2.01 (1.00-4.07)</w:t>
            </w:r>
          </w:p>
        </w:tc>
        <w:tc>
          <w:tcPr>
            <w:tcW w:type="dxa" w:w="864"/>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0.052</w:t>
            </w:r>
          </w:p>
        </w:tc>
      </w:tr>
      <w:tr>
        <w:tc>
          <w:tcPr>
            <w:tcW w:type="dxa" w:w="1728"/>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left"/>
            </w:pPr>
            <w:r/>
            <w:r>
              <w:rPr>
                <w:rFonts w:ascii="Times New Roman" w:hAnsi="Times New Roman" w:cs="Times New Roman" w:eastAsia="Arial Unicode MS"/>
                <w:b w:val="0"/>
                <w:i w:val="0"/>
                <w:color w:val="2F3437"/>
                <w:sz w:val="16"/>
              </w:rPr>
              <w:t>2008</w:t>
            </w:r>
          </w:p>
        </w:tc>
        <w:tc>
          <w:tcPr>
            <w:tcW w:type="dxa" w:w="936"/>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1564</w:t>
            </w:r>
          </w:p>
        </w:tc>
        <w:tc>
          <w:tcPr>
            <w:tcW w:type="dxa" w:w="1007"/>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95</w:t>
            </w:r>
          </w:p>
        </w:tc>
        <w:tc>
          <w:tcPr>
            <w:tcW w:type="dxa" w:w="1728"/>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19/220</w:t>
            </w:r>
          </w:p>
        </w:tc>
        <w:tc>
          <w:tcPr>
            <w:tcW w:type="dxa" w:w="2376"/>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1.55 (0.91-2.65)</w:t>
            </w:r>
          </w:p>
        </w:tc>
        <w:tc>
          <w:tcPr>
            <w:tcW w:type="dxa" w:w="864"/>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0.109</w:t>
            </w:r>
          </w:p>
        </w:tc>
      </w:tr>
      <w:tr>
        <w:tc>
          <w:tcPr>
            <w:tcW w:type="dxa" w:w="1728"/>
            <w:vAlign w:val="center"/>
            <w:tcMar>
              <w:top w:w="65" w:type="dxa"/>
              <w:bottom w:w="65" w:type="dxa"/>
              <w:start w:w="80" w:type="dxa"/>
              <w:end w:w="80" w:type="dxa"/>
            </w:tcMar>
            <w:tcBorders>
              <w:top w:val="nil"/>
              <w:left w:val="nil"/>
              <w:bottom w:val="single" w:sz="10" w:space="0" w:color="75607F"/>
              <w:right w:val="nil"/>
              <w:insideH w:val="nil"/>
              <w:insideV w:val="nil"/>
            </w:tcBorders>
          </w:tcPr>
          <w:p>
            <w:pPr>
              <w:spacing w:before="0" w:after="0" w:line="240" w:lineRule="auto"/>
              <w:jc w:val="left"/>
            </w:pPr>
            <w:r/>
            <w:r>
              <w:rPr>
                <w:rFonts w:ascii="Times New Roman" w:hAnsi="Times New Roman" w:cs="Times New Roman" w:eastAsia="Arial Unicode MS"/>
                <w:b w:val="0"/>
                <w:i w:val="0"/>
                <w:color w:val="2F3437"/>
                <w:sz w:val="16"/>
              </w:rPr>
              <w:t>2009</w:t>
            </w:r>
          </w:p>
        </w:tc>
        <w:tc>
          <w:tcPr>
            <w:tcW w:type="dxa" w:w="936"/>
            <w:vAlign w:val="center"/>
            <w:tcMar>
              <w:top w:w="65" w:type="dxa"/>
              <w:bottom w:w="65" w:type="dxa"/>
              <w:start w:w="80" w:type="dxa"/>
              <w:end w:w="80" w:type="dxa"/>
            </w:tcMar>
            <w:tcBorders>
              <w:top w:val="nil"/>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1737</w:t>
            </w:r>
          </w:p>
        </w:tc>
        <w:tc>
          <w:tcPr>
            <w:tcW w:type="dxa" w:w="1007"/>
            <w:vAlign w:val="center"/>
            <w:tcMar>
              <w:top w:w="65" w:type="dxa"/>
              <w:bottom w:w="65" w:type="dxa"/>
              <w:start w:w="80" w:type="dxa"/>
              <w:end w:w="80" w:type="dxa"/>
            </w:tcMar>
            <w:tcBorders>
              <w:top w:val="nil"/>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116</w:t>
            </w:r>
          </w:p>
        </w:tc>
        <w:tc>
          <w:tcPr>
            <w:tcW w:type="dxa" w:w="1728"/>
            <w:vAlign w:val="center"/>
            <w:tcMar>
              <w:top w:w="65" w:type="dxa"/>
              <w:bottom w:w="65" w:type="dxa"/>
              <w:start w:w="80" w:type="dxa"/>
              <w:end w:w="80" w:type="dxa"/>
            </w:tcMar>
            <w:tcBorders>
              <w:top w:val="nil"/>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21/261</w:t>
            </w:r>
          </w:p>
        </w:tc>
        <w:tc>
          <w:tcPr>
            <w:tcW w:type="dxa" w:w="2376"/>
            <w:vAlign w:val="center"/>
            <w:tcMar>
              <w:top w:w="65" w:type="dxa"/>
              <w:bottom w:w="65" w:type="dxa"/>
              <w:start w:w="80" w:type="dxa"/>
              <w:end w:w="80" w:type="dxa"/>
            </w:tcMar>
            <w:tcBorders>
              <w:top w:val="nil"/>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1.17 (0.69-1.98)</w:t>
            </w:r>
          </w:p>
        </w:tc>
        <w:tc>
          <w:tcPr>
            <w:tcW w:type="dxa" w:w="864"/>
            <w:vAlign w:val="center"/>
            <w:tcMar>
              <w:top w:w="65" w:type="dxa"/>
              <w:bottom w:w="65" w:type="dxa"/>
              <w:start w:w="80" w:type="dxa"/>
              <w:end w:w="80" w:type="dxa"/>
            </w:tcMar>
            <w:tcBorders>
              <w:top w:val="nil"/>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0.554</w:t>
            </w:r>
          </w:p>
        </w:tc>
      </w:tr>
    </w:tbl>
    <w:p>
      <w:pPr>
        <w:spacing w:before="60" w:after="80"/>
      </w:pPr>
      <w:r>
        <w:rPr>
          <w:rFonts w:ascii="Times New Roman" w:hAnsi="Times New Roman" w:cs="Times New Roman" w:eastAsia="Arial Unicode MS"/>
          <w:b w:val="0"/>
          <w:i/>
          <w:color w:val="5B6063"/>
          <w:sz w:val="16"/>
        </w:rPr>
        <w:t>Survey-weighted core models were fitted separately by year. The female hormone therapy history by survey-year interaction was not significant (P=0.727).</w:t>
      </w:r>
    </w:p>
    <w:p>
      <w:pPr>
        <w:sectPr>
          <w:pgSz w:w="15840" w:h="12240" w:orient="landscape"/>
          <w:pgMar w:top="1008" w:right="1008" w:bottom="1008" w:left="1008" w:header="720" w:footer="720" w:gutter="0"/>
          <w:cols w:space="720"/>
          <w:docGrid w:linePitch="360"/>
        </w:sectPr>
      </w:pPr>
    </w:p>
    <w:p>
      <w:pPr>
        <w:spacing w:before="80" w:after="80"/>
        <w:ind w:left="1152" w:firstLine="0"/>
      </w:pPr>
      <w:r>
        <w:rPr>
          <w:rFonts w:ascii="Times New Roman" w:hAnsi="Times New Roman" w:cs="Times New Roman" w:eastAsia="Arial Unicode MS"/>
          <w:b/>
          <w:i w:val="0"/>
          <w:color w:val="75607F"/>
          <w:sz w:val="21"/>
        </w:rPr>
        <w:t>Supplementary Table S3. Thyroid diagnosis timing relative to reported menopause.</w:t>
      </w:r>
    </w:p>
    <w:tbl>
      <w:tblPr>
        <w:tblW w:type="dxa" w:w="9936"/>
        <w:jc w:val="center"/>
        <w:tblLayout w:type="fixed"/>
        <w:tblLook w:firstColumn="1" w:firstRow="1" w:lastColumn="0" w:lastRow="0" w:noHBand="0" w:noVBand="1" w:val="04A0"/>
      </w:tblPr>
      <w:tblGrid>
        <w:gridCol w:w="7776"/>
        <w:gridCol w:w="1080"/>
        <w:gridCol w:w="1080"/>
      </w:tblGrid>
      <w:tr>
        <w:trPr>
          <w:tblHeader w:val="true"/>
        </w:trPr>
        <w:tc>
          <w:tcPr>
            <w:tcW w:type="dxa" w:w="7776"/>
            <w:tcMar>
              <w:top w:w="65" w:type="dxa"/>
              <w:bottom w:w="65" w:type="dxa"/>
              <w:start w:w="80" w:type="dxa"/>
              <w:end w:w="80" w:type="dxa"/>
            </w:tcMar>
            <w:vAlign w:val="center"/>
            <w:tcBorders>
              <w:top w:val="single" w:sz="10" w:space="0" w:color="75607F"/>
              <w:left w:val="nil"/>
              <w:bottom w:val="single" w:sz="10" w:space="0" w:color="75607F"/>
              <w:right w:val="nil"/>
              <w:insideH w:val="nil"/>
              <w:insideV w:val="nil"/>
            </w:tcBorders>
          </w:tcPr>
          <w:p>
            <w:pPr>
              <w:spacing w:before="0" w:after="0" w:line="240" w:lineRule="auto"/>
              <w:jc w:val="left"/>
            </w:pPr>
            <w:r/>
            <w:r>
              <w:rPr>
                <w:rFonts w:ascii="Times New Roman" w:hAnsi="Times New Roman" w:cs="Times New Roman" w:eastAsia="Arial Unicode MS"/>
                <w:b/>
                <w:i w:val="0"/>
                <w:color w:val="75607F"/>
                <w:sz w:val="16"/>
              </w:rPr>
              <w:t>Timing relative to menopause</w:t>
            </w:r>
          </w:p>
        </w:tc>
        <w:tc>
          <w:tcPr>
            <w:tcW w:type="dxa" w:w="1080"/>
            <w:tcMar>
              <w:top w:w="65" w:type="dxa"/>
              <w:bottom w:w="65" w:type="dxa"/>
              <w:start w:w="80" w:type="dxa"/>
              <w:end w:w="80" w:type="dxa"/>
            </w:tcMar>
            <w:vAlign w:val="center"/>
            <w:tcBorders>
              <w:top w:val="single" w:sz="10" w:space="0" w:color="75607F"/>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i w:val="0"/>
                <w:color w:val="75607F"/>
                <w:sz w:val="16"/>
              </w:rPr>
              <w:t>n</w:t>
            </w:r>
          </w:p>
        </w:tc>
        <w:tc>
          <w:tcPr>
            <w:tcW w:type="dxa" w:w="1080"/>
            <w:tcMar>
              <w:top w:w="65" w:type="dxa"/>
              <w:bottom w:w="65" w:type="dxa"/>
              <w:start w:w="80" w:type="dxa"/>
              <w:end w:w="80" w:type="dxa"/>
            </w:tcMar>
            <w:vAlign w:val="center"/>
            <w:tcBorders>
              <w:top w:val="single" w:sz="10" w:space="0" w:color="75607F"/>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i w:val="0"/>
                <w:color w:val="75607F"/>
                <w:sz w:val="16"/>
              </w:rPr>
              <w:t>%</w:t>
            </w:r>
          </w:p>
        </w:tc>
      </w:tr>
      <w:tr>
        <w:tc>
          <w:tcPr>
            <w:tcW w:type="dxa" w:w="7776"/>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left"/>
            </w:pPr>
            <w:r/>
            <w:r>
              <w:rPr>
                <w:rFonts w:ascii="Times New Roman" w:hAnsi="Times New Roman" w:cs="Times New Roman" w:eastAsia="Arial Unicode MS"/>
                <w:b w:val="0"/>
                <w:i w:val="0"/>
                <w:color w:val="2F3437"/>
                <w:sz w:val="16"/>
              </w:rPr>
              <w:t>Thyroid diagnosis at or after reported menopause</w:t>
            </w:r>
          </w:p>
        </w:tc>
        <w:tc>
          <w:tcPr>
            <w:tcW w:type="dxa" w:w="1080"/>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32</w:t>
            </w:r>
          </w:p>
        </w:tc>
        <w:tc>
          <w:tcPr>
            <w:tcW w:type="dxa" w:w="1080"/>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68.1</w:t>
            </w:r>
          </w:p>
        </w:tc>
      </w:tr>
      <w:tr>
        <w:tc>
          <w:tcPr>
            <w:tcW w:type="dxa" w:w="7776"/>
            <w:vAlign w:val="center"/>
            <w:tcMar>
              <w:top w:w="65" w:type="dxa"/>
              <w:bottom w:w="65" w:type="dxa"/>
              <w:start w:w="80" w:type="dxa"/>
              <w:end w:w="80" w:type="dxa"/>
            </w:tcMar>
            <w:tcBorders>
              <w:top w:val="nil"/>
              <w:left w:val="nil"/>
              <w:bottom w:val="single" w:sz="10" w:space="0" w:color="75607F"/>
              <w:right w:val="nil"/>
              <w:insideH w:val="nil"/>
              <w:insideV w:val="nil"/>
            </w:tcBorders>
          </w:tcPr>
          <w:p>
            <w:pPr>
              <w:spacing w:before="0" w:after="0" w:line="240" w:lineRule="auto"/>
              <w:jc w:val="left"/>
            </w:pPr>
            <w:r/>
            <w:r>
              <w:rPr>
                <w:rFonts w:ascii="Times New Roman" w:hAnsi="Times New Roman" w:cs="Times New Roman" w:eastAsia="Arial Unicode MS"/>
                <w:b w:val="0"/>
                <w:i w:val="0"/>
                <w:color w:val="2F3437"/>
                <w:sz w:val="16"/>
              </w:rPr>
              <w:t>Thyroid diagnosis before reported menopause</w:t>
            </w:r>
          </w:p>
        </w:tc>
        <w:tc>
          <w:tcPr>
            <w:tcW w:type="dxa" w:w="1080"/>
            <w:vAlign w:val="center"/>
            <w:tcMar>
              <w:top w:w="65" w:type="dxa"/>
              <w:bottom w:w="65" w:type="dxa"/>
              <w:start w:w="80" w:type="dxa"/>
              <w:end w:w="80" w:type="dxa"/>
            </w:tcMar>
            <w:tcBorders>
              <w:top w:val="nil"/>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15</w:t>
            </w:r>
          </w:p>
        </w:tc>
        <w:tc>
          <w:tcPr>
            <w:tcW w:type="dxa" w:w="1080"/>
            <w:vAlign w:val="center"/>
            <w:tcMar>
              <w:top w:w="65" w:type="dxa"/>
              <w:bottom w:w="65" w:type="dxa"/>
              <w:start w:w="80" w:type="dxa"/>
              <w:end w:w="80" w:type="dxa"/>
            </w:tcMar>
            <w:tcBorders>
              <w:top w:val="nil"/>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31.9</w:t>
            </w:r>
          </w:p>
        </w:tc>
      </w:tr>
    </w:tbl>
    <w:p>
      <w:pPr>
        <w:spacing w:before="60" w:after="80"/>
      </w:pPr>
      <w:r>
        <w:rPr>
          <w:rFonts w:ascii="Times New Roman" w:hAnsi="Times New Roman" w:cs="Times New Roman" w:eastAsia="Arial Unicode MS"/>
          <w:b w:val="0"/>
          <w:i/>
          <w:color w:val="5B6063"/>
          <w:sz w:val="16"/>
        </w:rPr>
        <w:t>Restricted to 47 female hormone therapy-history users with doctor-diagnosed thyroid disorder and both reported thyroid-diagnosis age and menopause age. Exact female hormone therapy start and stop dates were unavailable.</w:t>
      </w:r>
    </w:p>
    <w:p>
      <w:pPr>
        <w:sectPr>
          <w:pgSz w:w="15840" w:h="12240" w:orient="landscape"/>
          <w:pgMar w:top="1008" w:right="1008" w:bottom="1008" w:left="1008" w:header="720" w:footer="720" w:gutter="0"/>
          <w:cols w:space="720"/>
          <w:docGrid w:linePitch="360"/>
        </w:sectPr>
      </w:pPr>
    </w:p>
    <w:p>
      <w:pPr>
        <w:spacing w:before="80" w:after="80"/>
        <w:ind w:left="0" w:firstLine="0"/>
      </w:pPr>
      <w:r>
        <w:rPr>
          <w:rFonts w:ascii="Times New Roman" w:hAnsi="Times New Roman" w:cs="Times New Roman" w:eastAsia="Arial Unicode MS"/>
          <w:b/>
          <w:i w:val="0"/>
          <w:color w:val="75607F"/>
          <w:sz w:val="21"/>
        </w:rPr>
        <w:t>Supplementary Table S4. Operational definitions and coding of key KNHANES variables.</w:t>
      </w:r>
    </w:p>
    <w:tbl>
      <w:tblPr>
        <w:tblW w:type="dxa" w:w="13392"/>
        <w:jc w:val="center"/>
        <w:tblLayout w:type="fixed"/>
        <w:tblLook w:firstColumn="1" w:firstRow="1" w:lastColumn="0" w:lastRow="0" w:noHBand="0" w:noVBand="1" w:val="04A0"/>
      </w:tblPr>
      <w:tblGrid>
        <w:gridCol w:w="2376"/>
        <w:gridCol w:w="1512"/>
        <w:gridCol w:w="4536"/>
        <w:gridCol w:w="4968"/>
      </w:tblGrid>
      <w:tr>
        <w:trPr>
          <w:tblHeader w:val="true"/>
        </w:trPr>
        <w:tc>
          <w:tcPr>
            <w:tcW w:type="dxa" w:w="2376"/>
            <w:tcMar>
              <w:top w:w="65" w:type="dxa"/>
              <w:bottom w:w="65" w:type="dxa"/>
              <w:start w:w="80" w:type="dxa"/>
              <w:end w:w="80" w:type="dxa"/>
            </w:tcMar>
            <w:vAlign w:val="center"/>
            <w:tcBorders>
              <w:top w:val="single" w:sz="10" w:space="0" w:color="75607F"/>
              <w:left w:val="nil"/>
              <w:bottom w:val="single" w:sz="10" w:space="0" w:color="75607F"/>
              <w:right w:val="nil"/>
              <w:insideH w:val="nil"/>
              <w:insideV w:val="nil"/>
            </w:tcBorders>
          </w:tcPr>
          <w:p>
            <w:pPr>
              <w:spacing w:before="0" w:after="0" w:line="240" w:lineRule="auto"/>
              <w:jc w:val="left"/>
            </w:pPr>
            <w:r/>
            <w:r>
              <w:rPr>
                <w:rFonts w:ascii="Times New Roman" w:hAnsi="Times New Roman" w:cs="Times New Roman" w:eastAsia="Arial Unicode MS"/>
                <w:b/>
                <w:i w:val="0"/>
                <w:color w:val="75607F"/>
                <w:sz w:val="16"/>
              </w:rPr>
              <w:t>Domain</w:t>
            </w:r>
          </w:p>
        </w:tc>
        <w:tc>
          <w:tcPr>
            <w:tcW w:type="dxa" w:w="1512"/>
            <w:tcMar>
              <w:top w:w="65" w:type="dxa"/>
              <w:bottom w:w="65" w:type="dxa"/>
              <w:start w:w="80" w:type="dxa"/>
              <w:end w:w="80" w:type="dxa"/>
            </w:tcMar>
            <w:vAlign w:val="center"/>
            <w:tcBorders>
              <w:top w:val="single" w:sz="10" w:space="0" w:color="75607F"/>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i w:val="0"/>
                <w:color w:val="75607F"/>
                <w:sz w:val="16"/>
              </w:rPr>
              <w:t>KNHANES variable</w:t>
            </w:r>
          </w:p>
        </w:tc>
        <w:tc>
          <w:tcPr>
            <w:tcW w:type="dxa" w:w="4536"/>
            <w:tcMar>
              <w:top w:w="65" w:type="dxa"/>
              <w:bottom w:w="65" w:type="dxa"/>
              <w:start w:w="80" w:type="dxa"/>
              <w:end w:w="80" w:type="dxa"/>
            </w:tcMar>
            <w:vAlign w:val="center"/>
            <w:tcBorders>
              <w:top w:val="single" w:sz="10" w:space="0" w:color="75607F"/>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i w:val="0"/>
                <w:color w:val="75607F"/>
                <w:sz w:val="16"/>
              </w:rPr>
              <w:t>Operational definition and coding</w:t>
            </w:r>
          </w:p>
        </w:tc>
        <w:tc>
          <w:tcPr>
            <w:tcW w:type="dxa" w:w="4968"/>
            <w:tcMar>
              <w:top w:w="65" w:type="dxa"/>
              <w:bottom w:w="65" w:type="dxa"/>
              <w:start w:w="80" w:type="dxa"/>
              <w:end w:w="80" w:type="dxa"/>
            </w:tcMar>
            <w:vAlign w:val="center"/>
            <w:tcBorders>
              <w:top w:val="single" w:sz="10" w:space="0" w:color="75607F"/>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i w:val="0"/>
                <w:color w:val="75607F"/>
                <w:sz w:val="16"/>
              </w:rPr>
              <w:t>Interpretation boundary</w:t>
            </w:r>
          </w:p>
        </w:tc>
      </w:tr>
      <w:tr>
        <w:tc>
          <w:tcPr>
            <w:tcW w:type="dxa" w:w="2376"/>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left"/>
            </w:pPr>
            <w:r/>
            <w:r>
              <w:rPr>
                <w:rFonts w:ascii="Times New Roman" w:hAnsi="Times New Roman" w:cs="Times New Roman" w:eastAsia="Arial Unicode MS"/>
                <w:b w:val="0"/>
                <w:i w:val="0"/>
                <w:color w:val="2F3437"/>
                <w:sz w:val="16"/>
              </w:rPr>
              <w:t>Female hormone therapy history</w:t>
            </w:r>
          </w:p>
        </w:tc>
        <w:tc>
          <w:tcPr>
            <w:tcW w:type="dxa" w:w="1512"/>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HW_EST</w:t>
            </w:r>
          </w:p>
        </w:tc>
        <w:tc>
          <w:tcPr>
            <w:tcW w:type="dxa" w:w="4536"/>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Exact Korean metadata label: '</w:t>
            </w:r>
            <w:r>
              <w:rPr>
                <w:rFonts w:ascii="Nanum Myeongjo" w:hAnsi="Nanum Myeongjo" w:cs="Nanum Myeongjo" w:eastAsia="Nanum Myeongjo"/>
                <w:b w:val="0"/>
                <w:i w:val="0"/>
                <w:color w:val="2F3437"/>
                <w:sz w:val="16"/>
                <w:lang w:val="ko-KR" w:eastAsia="ko-KR"/>
              </w:rPr>
              <w:t>여성호르몬제 복용여부</w:t>
            </w:r>
            <w:r>
              <w:rPr>
                <w:rFonts w:ascii="Times New Roman" w:hAnsi="Times New Roman" w:cs="Times New Roman" w:eastAsia="Arial Unicode MS"/>
                <w:b w:val="0"/>
                <w:i w:val="0"/>
                <w:color w:val="2F3437"/>
                <w:sz w:val="16"/>
              </w:rPr>
              <w:t>' (female hormone medication use [yes/no]); code 1=yes, code 2=no; codes 8/9 and missing values treated as non-substantive/unknown.</w:t>
            </w:r>
          </w:p>
        </w:tc>
        <w:tc>
          <w:tcPr>
            <w:tcW w:type="dxa" w:w="4968"/>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Does not distinguish current from past use or identify indication or regimen.</w:t>
            </w:r>
          </w:p>
        </w:tc>
      </w:tr>
      <w:tr>
        <w:tc>
          <w:tcPr>
            <w:tcW w:type="dxa" w:w="2376"/>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left"/>
            </w:pPr>
            <w:r/>
            <w:r>
              <w:rPr>
                <w:rFonts w:ascii="Times New Roman" w:hAnsi="Times New Roman" w:cs="Times New Roman" w:eastAsia="Arial Unicode MS"/>
                <w:b w:val="0"/>
                <w:i w:val="0"/>
                <w:color w:val="2F3437"/>
                <w:sz w:val="16"/>
              </w:rPr>
              <w:t>Female hormone therapy duration</w:t>
            </w:r>
          </w:p>
        </w:tc>
        <w:tc>
          <w:tcPr>
            <w:tcW w:type="dxa" w:w="1512"/>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HW_ES_DR</w:t>
            </w:r>
          </w:p>
        </w:tc>
        <w:tc>
          <w:tcPr>
            <w:tcW w:type="dxa" w:w="4536"/>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Exact Korean metadata label: '</w:t>
            </w:r>
            <w:r>
              <w:rPr>
                <w:rFonts w:ascii="Nanum Myeongjo" w:hAnsi="Nanum Myeongjo" w:cs="Nanum Myeongjo" w:eastAsia="Nanum Myeongjo"/>
                <w:b w:val="0"/>
                <w:i w:val="0"/>
                <w:color w:val="2F3437"/>
                <w:sz w:val="16"/>
                <w:lang w:val="ko-KR" w:eastAsia="ko-KR"/>
              </w:rPr>
              <w:t>여성호르몬제 총 복용기간(개월)</w:t>
            </w:r>
            <w:r>
              <w:rPr>
                <w:rFonts w:ascii="Times New Roman" w:hAnsi="Times New Roman" w:cs="Times New Roman" w:eastAsia="Arial Unicode MS"/>
                <w:b w:val="0"/>
                <w:i w:val="0"/>
                <w:color w:val="2F3437"/>
                <w:sz w:val="16"/>
              </w:rPr>
              <w:t>' (total duration of female hormone medication use [months]); grouped as none, &lt;12, 12-59, or &gt;=60 months.</w:t>
            </w:r>
          </w:p>
        </w:tc>
        <w:tc>
          <w:tcPr>
            <w:tcW w:type="dxa" w:w="4968"/>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Recalled cumulative duration; continuity and treatment dates are unknown.</w:t>
            </w:r>
          </w:p>
        </w:tc>
      </w:tr>
      <w:tr>
        <w:tc>
          <w:tcPr>
            <w:tcW w:type="dxa" w:w="2376"/>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left"/>
            </w:pPr>
            <w:r/>
            <w:r>
              <w:rPr>
                <w:rFonts w:ascii="Times New Roman" w:hAnsi="Times New Roman" w:cs="Times New Roman" w:eastAsia="Arial Unicode MS"/>
                <w:b w:val="0"/>
                <w:i w:val="0"/>
                <w:color w:val="2F3437"/>
                <w:sz w:val="16"/>
              </w:rPr>
              <w:t>Female hormone medication type</w:t>
            </w:r>
          </w:p>
        </w:tc>
        <w:tc>
          <w:tcPr>
            <w:tcW w:type="dxa" w:w="1512"/>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HW_ES_KD</w:t>
            </w:r>
          </w:p>
        </w:tc>
        <w:tc>
          <w:tcPr>
            <w:tcW w:type="dxa" w:w="4536"/>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Exact Korean metadata label: '</w:t>
            </w:r>
            <w:r>
              <w:rPr>
                <w:rFonts w:ascii="Nanum Myeongjo" w:hAnsi="Nanum Myeongjo" w:cs="Nanum Myeongjo" w:eastAsia="Nanum Myeongjo"/>
                <w:b w:val="0"/>
                <w:i w:val="0"/>
                <w:color w:val="2F3437"/>
                <w:sz w:val="16"/>
                <w:lang w:val="ko-KR" w:eastAsia="ko-KR"/>
              </w:rPr>
              <w:t>복용한 여성호르몬제 종류</w:t>
            </w:r>
            <w:r>
              <w:rPr>
                <w:rFonts w:ascii="Times New Roman" w:hAnsi="Times New Roman" w:cs="Times New Roman" w:eastAsia="Arial Unicode MS"/>
                <w:b w:val="0"/>
                <w:i w:val="0"/>
                <w:color w:val="2F3437"/>
                <w:sz w:val="16"/>
              </w:rPr>
              <w:t>' (type of female hormone medication used); among 746 adult-women source-frame users, 188 entries contained free text (125 unique trimmed text strings across pooled cycles), 420 contained codes 888/999, and 138 were blank or missing.</w:t>
            </w:r>
          </w:p>
        </w:tc>
        <w:tc>
          <w:tcPr>
            <w:tcW w:type="dxa" w:w="4968"/>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Heterogeneous and incomplete free text did not consistently encode hormone, formulation, dose, route, regimen, indication, or current/past status; hormone-type-specific analyses were not performed.</w:t>
            </w:r>
          </w:p>
        </w:tc>
      </w:tr>
      <w:tr>
        <w:tc>
          <w:tcPr>
            <w:tcW w:type="dxa" w:w="2376"/>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left"/>
            </w:pPr>
            <w:r/>
            <w:r>
              <w:rPr>
                <w:rFonts w:ascii="Times New Roman" w:hAnsi="Times New Roman" w:cs="Times New Roman" w:eastAsia="Arial Unicode MS"/>
                <w:b w:val="0"/>
                <w:i w:val="0"/>
                <w:color w:val="2F3437"/>
                <w:sz w:val="16"/>
              </w:rPr>
              <w:t>Menopause</w:t>
            </w:r>
          </w:p>
        </w:tc>
        <w:tc>
          <w:tcPr>
            <w:tcW w:type="dxa" w:w="1512"/>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HW_MS</w:t>
            </w:r>
          </w:p>
        </w:tc>
        <w:tc>
          <w:tcPr>
            <w:tcW w:type="dxa" w:w="4536"/>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Exact Korean metadata label: '</w:t>
            </w:r>
            <w:r>
              <w:rPr>
                <w:rFonts w:ascii="Nanum Myeongjo" w:hAnsi="Nanum Myeongjo" w:cs="Nanum Myeongjo" w:eastAsia="Nanum Myeongjo"/>
                <w:b w:val="0"/>
                <w:i w:val="0"/>
                <w:color w:val="2F3437"/>
                <w:sz w:val="16"/>
                <w:lang w:val="ko-KR" w:eastAsia="ko-KR"/>
              </w:rPr>
              <w:t>월경여부</w:t>
            </w:r>
            <w:r>
              <w:rPr>
                <w:rFonts w:ascii="Times New Roman" w:hAnsi="Times New Roman" w:cs="Times New Roman" w:eastAsia="Arial Unicode MS"/>
                <w:b w:val="0"/>
                <w:i w:val="0"/>
                <w:color w:val="2F3437"/>
                <w:sz w:val="16"/>
              </w:rPr>
              <w:t>' (menstrual status); code 5=natural menopause; code 6=surgical menopause.</w:t>
            </w:r>
          </w:p>
        </w:tc>
        <w:tc>
          <w:tcPr>
            <w:tcW w:type="dxa" w:w="4968"/>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Used to define the postmenopausal analytic population; age 20 was only a source-frame cutoff.</w:t>
            </w:r>
          </w:p>
        </w:tc>
      </w:tr>
      <w:tr>
        <w:tc>
          <w:tcPr>
            <w:tcW w:type="dxa" w:w="2376"/>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left"/>
            </w:pPr>
            <w:r/>
            <w:r>
              <w:rPr>
                <w:rFonts w:ascii="Times New Roman" w:hAnsi="Times New Roman" w:cs="Times New Roman" w:eastAsia="Arial Unicode MS"/>
                <w:b w:val="0"/>
                <w:i w:val="0"/>
                <w:color w:val="2F3437"/>
                <w:sz w:val="16"/>
              </w:rPr>
              <w:t>Pregnancy experience</w:t>
            </w:r>
          </w:p>
        </w:tc>
        <w:tc>
          <w:tcPr>
            <w:tcW w:type="dxa" w:w="1512"/>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HW_PG</w:t>
            </w:r>
          </w:p>
        </w:tc>
        <w:tc>
          <w:tcPr>
            <w:tcW w:type="dxa" w:w="4536"/>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Exact Korean metadata label: '</w:t>
            </w:r>
            <w:r>
              <w:rPr>
                <w:rFonts w:ascii="Nanum Myeongjo" w:hAnsi="Nanum Myeongjo" w:cs="Nanum Myeongjo" w:eastAsia="Nanum Myeongjo"/>
                <w:b w:val="0"/>
                <w:i w:val="0"/>
                <w:color w:val="2F3437"/>
                <w:sz w:val="16"/>
                <w:lang w:val="ko-KR" w:eastAsia="ko-KR"/>
              </w:rPr>
              <w:t>임신경험여부</w:t>
            </w:r>
            <w:r>
              <w:rPr>
                <w:rFonts w:ascii="Times New Roman" w:hAnsi="Times New Roman" w:cs="Times New Roman" w:eastAsia="Arial Unicode MS"/>
                <w:b w:val="0"/>
                <w:i w:val="0"/>
                <w:color w:val="2F3437"/>
                <w:sz w:val="16"/>
              </w:rPr>
              <w:t>' (pregnancy experience [yes/no]); code 1=yes, code 2=no; other non-substantive values treated as missing.</w:t>
            </w:r>
          </w:p>
        </w:tc>
        <w:tc>
          <w:tcPr>
            <w:tcW w:type="dxa" w:w="4968"/>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Core reproductive covariate; does not capture infertility treatment or miscarriage.</w:t>
            </w:r>
          </w:p>
        </w:tc>
      </w:tr>
      <w:tr>
        <w:tc>
          <w:tcPr>
            <w:tcW w:type="dxa" w:w="2376"/>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left"/>
            </w:pPr>
            <w:r/>
            <w:r>
              <w:rPr>
                <w:rFonts w:ascii="Times New Roman" w:hAnsi="Times New Roman" w:cs="Times New Roman" w:eastAsia="Arial Unicode MS"/>
                <w:b w:val="0"/>
                <w:i w:val="0"/>
                <w:color w:val="2F3437"/>
                <w:sz w:val="16"/>
              </w:rPr>
              <w:t>Gravidity</w:t>
            </w:r>
          </w:p>
        </w:tc>
        <w:tc>
          <w:tcPr>
            <w:tcW w:type="dxa" w:w="1512"/>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HW_PG_FQ</w:t>
            </w:r>
          </w:p>
        </w:tc>
        <w:tc>
          <w:tcPr>
            <w:tcW w:type="dxa" w:w="4536"/>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Exact Korean metadata label: '</w:t>
            </w:r>
            <w:r>
              <w:rPr>
                <w:rFonts w:ascii="Nanum Myeongjo" w:hAnsi="Nanum Myeongjo" w:cs="Nanum Myeongjo" w:eastAsia="Nanum Myeongjo"/>
                <w:b w:val="0"/>
                <w:i w:val="0"/>
                <w:color w:val="2F3437"/>
                <w:sz w:val="16"/>
                <w:lang w:val="ko-KR" w:eastAsia="ko-KR"/>
              </w:rPr>
              <w:t>임신횟수</w:t>
            </w:r>
            <w:r>
              <w:rPr>
                <w:rFonts w:ascii="Times New Roman" w:hAnsi="Times New Roman" w:cs="Times New Roman" w:eastAsia="Arial Unicode MS"/>
                <w:b w:val="0"/>
                <w:i w:val="0"/>
                <w:color w:val="2F3437"/>
                <w:sz w:val="16"/>
              </w:rPr>
              <w:t>' (number of pregnancies); grouped as 0-2, 3-4, &gt;=5, or unavailable.</w:t>
            </w:r>
          </w:p>
        </w:tc>
        <w:tc>
          <w:tcPr>
            <w:tcW w:type="dxa" w:w="4968"/>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Reviewer-requested sensitivity covariate.</w:t>
            </w:r>
          </w:p>
        </w:tc>
      </w:tr>
      <w:tr>
        <w:tc>
          <w:tcPr>
            <w:tcW w:type="dxa" w:w="2376"/>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left"/>
            </w:pPr>
            <w:r/>
            <w:r>
              <w:rPr>
                <w:rFonts w:ascii="Times New Roman" w:hAnsi="Times New Roman" w:cs="Times New Roman" w:eastAsia="Arial Unicode MS"/>
                <w:b w:val="0"/>
                <w:i w:val="0"/>
                <w:color w:val="2F3437"/>
                <w:sz w:val="16"/>
              </w:rPr>
              <w:t>Lifetime thyroid disorder</w:t>
            </w:r>
          </w:p>
        </w:tc>
        <w:tc>
          <w:tcPr>
            <w:tcW w:type="dxa" w:w="1512"/>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DE2_lt</w:t>
            </w:r>
          </w:p>
        </w:tc>
        <w:tc>
          <w:tcPr>
            <w:tcW w:type="dxa" w:w="4536"/>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Exact Korean metadata label: '</w:t>
            </w:r>
            <w:r>
              <w:rPr>
                <w:rFonts w:ascii="Nanum Myeongjo" w:hAnsi="Nanum Myeongjo" w:cs="Nanum Myeongjo" w:eastAsia="Nanum Myeongjo"/>
                <w:b w:val="0"/>
                <w:i w:val="0"/>
                <w:color w:val="2F3437"/>
                <w:sz w:val="16"/>
                <w:lang w:val="ko-KR" w:eastAsia="ko-KR"/>
              </w:rPr>
              <w:t>갑상선 장애 유병여부</w:t>
            </w:r>
            <w:r>
              <w:rPr>
                <w:rFonts w:ascii="Times New Roman" w:hAnsi="Times New Roman" w:cs="Times New Roman" w:eastAsia="Arial Unicode MS"/>
                <w:b w:val="0"/>
                <w:i w:val="0"/>
                <w:color w:val="2F3437"/>
                <w:sz w:val="16"/>
              </w:rPr>
              <w:t>' (lifetime thyroid disorder); code 1=yes; negative/not-applicable codes classified as no.</w:t>
            </w:r>
          </w:p>
        </w:tc>
        <w:tc>
          <w:tcPr>
            <w:tcW w:type="dxa" w:w="4968"/>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Broad umbrella outcome without disease subtype or laboratory confirmation.</w:t>
            </w:r>
          </w:p>
        </w:tc>
      </w:tr>
      <w:tr>
        <w:tc>
          <w:tcPr>
            <w:tcW w:type="dxa" w:w="2376"/>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left"/>
            </w:pPr>
            <w:r/>
            <w:r>
              <w:rPr>
                <w:rFonts w:ascii="Times New Roman" w:hAnsi="Times New Roman" w:cs="Times New Roman" w:eastAsia="Arial Unicode MS"/>
                <w:b w:val="0"/>
                <w:i w:val="0"/>
                <w:color w:val="2F3437"/>
                <w:sz w:val="16"/>
              </w:rPr>
              <w:t>Doctor-diagnosed thyroid disorder</w:t>
            </w:r>
          </w:p>
        </w:tc>
        <w:tc>
          <w:tcPr>
            <w:tcW w:type="dxa" w:w="1512"/>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DE2_dg</w:t>
            </w:r>
          </w:p>
        </w:tc>
        <w:tc>
          <w:tcPr>
            <w:tcW w:type="dxa" w:w="4536"/>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Exact Korean metadata label: '</w:t>
            </w:r>
            <w:r>
              <w:rPr>
                <w:rFonts w:ascii="Nanum Myeongjo" w:hAnsi="Nanum Myeongjo" w:cs="Nanum Myeongjo" w:eastAsia="Nanum Myeongjo"/>
                <w:b w:val="0"/>
                <w:i w:val="0"/>
                <w:color w:val="2F3437"/>
                <w:sz w:val="16"/>
                <w:lang w:val="ko-KR" w:eastAsia="ko-KR"/>
              </w:rPr>
              <w:t>갑상선 장애 의사진단여부</w:t>
            </w:r>
            <w:r>
              <w:rPr>
                <w:rFonts w:ascii="Times New Roman" w:hAnsi="Times New Roman" w:cs="Times New Roman" w:eastAsia="Arial Unicode MS"/>
                <w:b w:val="0"/>
                <w:i w:val="0"/>
                <w:color w:val="2F3437"/>
                <w:sz w:val="16"/>
              </w:rPr>
              <w:t>' (doctor-diagnosed thyroid disorder); code 1=yes; negative/not-applicable codes classified as no.</w:t>
            </w:r>
          </w:p>
        </w:tc>
        <w:tc>
          <w:tcPr>
            <w:tcW w:type="dxa" w:w="4968"/>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Primary outcome; doctor diagnosis is reported by the participant.</w:t>
            </w:r>
          </w:p>
        </w:tc>
      </w:tr>
      <w:tr>
        <w:tc>
          <w:tcPr>
            <w:tcW w:type="dxa" w:w="2376"/>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left"/>
            </w:pPr>
            <w:r/>
            <w:r>
              <w:rPr>
                <w:rFonts w:ascii="Times New Roman" w:hAnsi="Times New Roman" w:cs="Times New Roman" w:eastAsia="Arial Unicode MS"/>
                <w:b w:val="0"/>
                <w:i w:val="0"/>
                <w:color w:val="2F3437"/>
                <w:sz w:val="16"/>
              </w:rPr>
              <w:t>Current thyroid disorder</w:t>
            </w:r>
          </w:p>
        </w:tc>
        <w:tc>
          <w:tcPr>
            <w:tcW w:type="dxa" w:w="1512"/>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DE2_pr</w:t>
            </w:r>
          </w:p>
        </w:tc>
        <w:tc>
          <w:tcPr>
            <w:tcW w:type="dxa" w:w="4536"/>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Exact Korean metadata label: '</w:t>
            </w:r>
            <w:r>
              <w:rPr>
                <w:rFonts w:ascii="Nanum Myeongjo" w:hAnsi="Nanum Myeongjo" w:cs="Nanum Myeongjo" w:eastAsia="Nanum Myeongjo"/>
                <w:b w:val="0"/>
                <w:i w:val="0"/>
                <w:color w:val="2F3437"/>
                <w:sz w:val="16"/>
                <w:lang w:val="ko-KR" w:eastAsia="ko-KR"/>
              </w:rPr>
              <w:t>갑상선 장애 현재 유병 여부</w:t>
            </w:r>
            <w:r>
              <w:rPr>
                <w:rFonts w:ascii="Times New Roman" w:hAnsi="Times New Roman" w:cs="Times New Roman" w:eastAsia="Arial Unicode MS"/>
                <w:b w:val="0"/>
                <w:i w:val="0"/>
                <w:color w:val="2F3437"/>
                <w:sz w:val="16"/>
              </w:rPr>
              <w:t>' (current thyroid disorder); code 1=yes; negative/not-applicable codes classified as no.</w:t>
            </w:r>
          </w:p>
        </w:tc>
        <w:tc>
          <w:tcPr>
            <w:tcW w:type="dxa" w:w="4968"/>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No laboratory, imaging, pathology, or disease subtype information.</w:t>
            </w:r>
          </w:p>
        </w:tc>
      </w:tr>
      <w:tr>
        <w:tc>
          <w:tcPr>
            <w:tcW w:type="dxa" w:w="2376"/>
            <w:vAlign w:val="center"/>
            <w:tcMar>
              <w:top w:w="65" w:type="dxa"/>
              <w:bottom w:w="65" w:type="dxa"/>
              <w:start w:w="80" w:type="dxa"/>
              <w:end w:w="80" w:type="dxa"/>
            </w:tcMar>
            <w:tcBorders>
              <w:top w:val="nil"/>
              <w:left w:val="nil"/>
              <w:bottom w:val="single" w:sz="10" w:space="0" w:color="75607F"/>
              <w:right w:val="nil"/>
              <w:insideH w:val="nil"/>
              <w:insideV w:val="nil"/>
            </w:tcBorders>
          </w:tcPr>
          <w:p>
            <w:pPr>
              <w:spacing w:before="0" w:after="0" w:line="240" w:lineRule="auto"/>
              <w:jc w:val="left"/>
            </w:pPr>
            <w:r/>
            <w:r>
              <w:rPr>
                <w:rFonts w:ascii="Times New Roman" w:hAnsi="Times New Roman" w:cs="Times New Roman" w:eastAsia="Arial Unicode MS"/>
                <w:b w:val="0"/>
                <w:i w:val="0"/>
                <w:color w:val="2F3437"/>
                <w:sz w:val="16"/>
              </w:rPr>
              <w:t>Thyroid treatment</w:t>
            </w:r>
          </w:p>
        </w:tc>
        <w:tc>
          <w:tcPr>
            <w:tcW w:type="dxa" w:w="1512"/>
            <w:vAlign w:val="center"/>
            <w:tcMar>
              <w:top w:w="65" w:type="dxa"/>
              <w:bottom w:w="65" w:type="dxa"/>
              <w:start w:w="80" w:type="dxa"/>
              <w:end w:w="80" w:type="dxa"/>
            </w:tcMar>
            <w:tcBorders>
              <w:top w:val="nil"/>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DE2_pt</w:t>
            </w:r>
          </w:p>
        </w:tc>
        <w:tc>
          <w:tcPr>
            <w:tcW w:type="dxa" w:w="4536"/>
            <w:vAlign w:val="center"/>
            <w:tcMar>
              <w:top w:w="65" w:type="dxa"/>
              <w:bottom w:w="65" w:type="dxa"/>
              <w:start w:w="80" w:type="dxa"/>
              <w:end w:w="80" w:type="dxa"/>
            </w:tcMar>
            <w:tcBorders>
              <w:top w:val="nil"/>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Exact Korean metadata label: '</w:t>
            </w:r>
            <w:r>
              <w:rPr>
                <w:rFonts w:ascii="Nanum Myeongjo" w:hAnsi="Nanum Myeongjo" w:cs="Nanum Myeongjo" w:eastAsia="Nanum Myeongjo"/>
                <w:b w:val="0"/>
                <w:i w:val="0"/>
                <w:color w:val="2F3437"/>
                <w:sz w:val="16"/>
                <w:lang w:val="ko-KR" w:eastAsia="ko-KR"/>
              </w:rPr>
              <w:t>갑상선 장애 치료</w:t>
            </w:r>
            <w:r>
              <w:rPr>
                <w:rFonts w:ascii="Times New Roman" w:hAnsi="Times New Roman" w:cs="Times New Roman" w:eastAsia="Arial Unicode MS"/>
                <w:b w:val="0"/>
                <w:i w:val="0"/>
                <w:color w:val="2F3437"/>
                <w:sz w:val="16"/>
              </w:rPr>
              <w:t>' (thyroid treatment); code 1=yes; negative/not-applicable codes classified as no.</w:t>
            </w:r>
          </w:p>
        </w:tc>
        <w:tc>
          <w:tcPr>
            <w:tcW w:type="dxa" w:w="4968"/>
            <w:vAlign w:val="center"/>
            <w:tcMar>
              <w:top w:w="65" w:type="dxa"/>
              <w:bottom w:w="65" w:type="dxa"/>
              <w:start w:w="80" w:type="dxa"/>
              <w:end w:w="80" w:type="dxa"/>
            </w:tcMar>
            <w:tcBorders>
              <w:top w:val="nil"/>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Indicates reported treatment status, not medication class or treatment option.</w:t>
            </w:r>
          </w:p>
        </w:tc>
      </w:tr>
    </w:tbl>
    <w:p>
      <w:pPr>
        <w:spacing w:before="60" w:after="80"/>
      </w:pPr>
      <w:r>
        <w:rPr>
          <w:rFonts w:ascii="Times New Roman" w:hAnsi="Times New Roman" w:cs="Times New Roman" w:eastAsia="Arial Unicode MS"/>
          <w:b w:val="0"/>
          <w:i/>
          <w:color w:val="5B6063"/>
          <w:sz w:val="16"/>
        </w:rPr>
        <w:t>The quoted Korean text reproduces the exact variable metadata labels in each 2007-2009 public-use file; the parenthetical English text is a literal translation. The public-use metadata did not include longer verbatim interviewer question stems, so no reconstructed question wording is presented. Across survey years, negative or structurally not-applicable outcome codes (0, 2, or 8, as present) were classified as negative; other non-substantive values were treated as missing.</w:t>
      </w:r>
    </w:p>
    <w:p>
      <w:pPr>
        <w:sectPr>
          <w:pgSz w:w="15840" w:h="12240" w:orient="landscape"/>
          <w:pgMar w:top="1008" w:right="1008" w:bottom="1008" w:left="1008" w:header="720" w:footer="720" w:gutter="0"/>
          <w:cols w:space="720"/>
          <w:docGrid w:linePitch="360"/>
        </w:sectPr>
      </w:pPr>
    </w:p>
    <w:p>
      <w:pPr>
        <w:spacing w:before="80" w:after="80"/>
        <w:ind w:left="1152" w:firstLine="0"/>
      </w:pPr>
      <w:r>
        <w:rPr>
          <w:rFonts w:ascii="Times New Roman" w:hAnsi="Times New Roman" w:cs="Times New Roman" w:eastAsia="Arial Unicode MS"/>
          <w:b/>
          <w:i w:val="0"/>
          <w:color w:val="75607F"/>
          <w:sz w:val="21"/>
        </w:rPr>
        <w:t>Supplementary Table S5. Gravidity-adjusted sensitivity analyses for doctor-diagnosed thyroid disorder.</w:t>
      </w:r>
    </w:p>
    <w:tbl>
      <w:tblPr>
        <w:tblW w:type="dxa" w:w="11232"/>
        <w:jc w:val="center"/>
        <w:tblLayout w:type="fixed"/>
        <w:tblLook w:firstColumn="1" w:firstRow="1" w:lastColumn="0" w:lastRow="0" w:noHBand="0" w:noVBand="1" w:val="04A0"/>
      </w:tblPr>
      <w:tblGrid>
        <w:gridCol w:w="4536"/>
        <w:gridCol w:w="792"/>
        <w:gridCol w:w="936"/>
        <w:gridCol w:w="1944"/>
        <w:gridCol w:w="2232"/>
        <w:gridCol w:w="792"/>
      </w:tblGrid>
      <w:tr>
        <w:trPr>
          <w:tblHeader w:val="true"/>
        </w:trPr>
        <w:tc>
          <w:tcPr>
            <w:tcW w:type="dxa" w:w="4536"/>
            <w:tcMar>
              <w:top w:w="65" w:type="dxa"/>
              <w:bottom w:w="65" w:type="dxa"/>
              <w:start w:w="80" w:type="dxa"/>
              <w:end w:w="80" w:type="dxa"/>
            </w:tcMar>
            <w:vAlign w:val="center"/>
            <w:tcBorders>
              <w:top w:val="single" w:sz="10" w:space="0" w:color="75607F"/>
              <w:left w:val="nil"/>
              <w:bottom w:val="single" w:sz="10" w:space="0" w:color="75607F"/>
              <w:right w:val="nil"/>
              <w:insideH w:val="nil"/>
              <w:insideV w:val="nil"/>
            </w:tcBorders>
          </w:tcPr>
          <w:p>
            <w:pPr>
              <w:spacing w:before="0" w:after="0" w:line="240" w:lineRule="auto"/>
              <w:jc w:val="left"/>
            </w:pPr>
            <w:r/>
            <w:r>
              <w:rPr>
                <w:rFonts w:ascii="Times New Roman" w:hAnsi="Times New Roman" w:cs="Times New Roman" w:eastAsia="Arial Unicode MS"/>
                <w:b/>
                <w:i w:val="0"/>
                <w:color w:val="75607F"/>
                <w:sz w:val="16"/>
              </w:rPr>
              <w:t>Analysis</w:t>
            </w:r>
          </w:p>
        </w:tc>
        <w:tc>
          <w:tcPr>
            <w:tcW w:type="dxa" w:w="792"/>
            <w:tcMar>
              <w:top w:w="65" w:type="dxa"/>
              <w:bottom w:w="65" w:type="dxa"/>
              <w:start w:w="80" w:type="dxa"/>
              <w:end w:w="80" w:type="dxa"/>
            </w:tcMar>
            <w:vAlign w:val="center"/>
            <w:tcBorders>
              <w:top w:val="single" w:sz="10" w:space="0" w:color="75607F"/>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i w:val="0"/>
                <w:color w:val="75607F"/>
                <w:sz w:val="16"/>
              </w:rPr>
              <w:t>N</w:t>
            </w:r>
          </w:p>
        </w:tc>
        <w:tc>
          <w:tcPr>
            <w:tcW w:type="dxa" w:w="936"/>
            <w:tcMar>
              <w:top w:w="65" w:type="dxa"/>
              <w:bottom w:w="65" w:type="dxa"/>
              <w:start w:w="80" w:type="dxa"/>
              <w:end w:w="80" w:type="dxa"/>
            </w:tcMar>
            <w:vAlign w:val="center"/>
            <w:tcBorders>
              <w:top w:val="single" w:sz="10" w:space="0" w:color="75607F"/>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i w:val="0"/>
                <w:color w:val="75607F"/>
                <w:sz w:val="16"/>
              </w:rPr>
              <w:t>Events</w:t>
            </w:r>
          </w:p>
        </w:tc>
        <w:tc>
          <w:tcPr>
            <w:tcW w:type="dxa" w:w="1944"/>
            <w:tcMar>
              <w:top w:w="65" w:type="dxa"/>
              <w:bottom w:w="65" w:type="dxa"/>
              <w:start w:w="80" w:type="dxa"/>
              <w:end w:w="80" w:type="dxa"/>
            </w:tcMar>
            <w:vAlign w:val="center"/>
            <w:tcBorders>
              <w:top w:val="single" w:sz="10" w:space="0" w:color="75607F"/>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i w:val="0"/>
                <w:color w:val="75607F"/>
                <w:sz w:val="16"/>
              </w:rPr>
              <w:t>Female hormone therapy</w:t>
              <w:br/>
              <w:t>history events/N</w:t>
            </w:r>
          </w:p>
        </w:tc>
        <w:tc>
          <w:tcPr>
            <w:tcW w:type="dxa" w:w="2232"/>
            <w:tcMar>
              <w:top w:w="65" w:type="dxa"/>
              <w:bottom w:w="65" w:type="dxa"/>
              <w:start w:w="80" w:type="dxa"/>
              <w:end w:w="80" w:type="dxa"/>
            </w:tcMar>
            <w:vAlign w:val="center"/>
            <w:tcBorders>
              <w:top w:val="single" w:sz="10" w:space="0" w:color="75607F"/>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i w:val="0"/>
                <w:color w:val="75607F"/>
                <w:sz w:val="16"/>
              </w:rPr>
              <w:t>Adjusted OR (95% CI)</w:t>
            </w:r>
          </w:p>
        </w:tc>
        <w:tc>
          <w:tcPr>
            <w:tcW w:type="dxa" w:w="792"/>
            <w:tcMar>
              <w:top w:w="65" w:type="dxa"/>
              <w:bottom w:w="65" w:type="dxa"/>
              <w:start w:w="80" w:type="dxa"/>
              <w:end w:w="80" w:type="dxa"/>
            </w:tcMar>
            <w:vAlign w:val="center"/>
            <w:tcBorders>
              <w:top w:val="single" w:sz="10" w:space="0" w:color="75607F"/>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i w:val="0"/>
                <w:color w:val="75607F"/>
                <w:sz w:val="16"/>
              </w:rPr>
              <w:t>p</w:t>
            </w:r>
          </w:p>
        </w:tc>
      </w:tr>
      <w:tr>
        <w:tc>
          <w:tcPr>
            <w:tcW w:type="dxa" w:w="4536"/>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left"/>
            </w:pPr>
            <w:r/>
            <w:r>
              <w:rPr>
                <w:rFonts w:ascii="Times New Roman" w:hAnsi="Times New Roman" w:cs="Times New Roman" w:eastAsia="Arial Unicode MS"/>
                <w:b w:val="0"/>
                <w:i w:val="0"/>
                <w:color w:val="2F3437"/>
                <w:sz w:val="16"/>
              </w:rPr>
              <w:t>Primary sample; gravidity category with an unavailable category</w:t>
            </w:r>
          </w:p>
        </w:tc>
        <w:tc>
          <w:tcPr>
            <w:tcW w:type="dxa" w:w="792"/>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3974</w:t>
            </w:r>
          </w:p>
        </w:tc>
        <w:tc>
          <w:tcPr>
            <w:tcW w:type="dxa" w:w="936"/>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265</w:t>
            </w:r>
          </w:p>
        </w:tc>
        <w:tc>
          <w:tcPr>
            <w:tcW w:type="dxa" w:w="1944"/>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54/582</w:t>
            </w:r>
          </w:p>
        </w:tc>
        <w:tc>
          <w:tcPr>
            <w:tcW w:type="dxa" w:w="2232"/>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1.52 (1.05-2.20)</w:t>
            </w:r>
          </w:p>
        </w:tc>
        <w:tc>
          <w:tcPr>
            <w:tcW w:type="dxa" w:w="792"/>
            <w:vAlign w:val="center"/>
            <w:tcMar>
              <w:top w:w="65" w:type="dxa"/>
              <w:bottom w:w="65" w:type="dxa"/>
              <w:start w:w="80" w:type="dxa"/>
              <w:end w:w="80" w:type="dxa"/>
            </w:tcMar>
            <w:tcBorders>
              <w:top w:val="nil"/>
              <w:left w:val="nil"/>
              <w:bottom w:val="nil"/>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0.025</w:t>
            </w:r>
          </w:p>
        </w:tc>
      </w:tr>
      <w:tr>
        <w:tc>
          <w:tcPr>
            <w:tcW w:type="dxa" w:w="4536"/>
            <w:vAlign w:val="center"/>
            <w:tcMar>
              <w:top w:w="65" w:type="dxa"/>
              <w:bottom w:w="65" w:type="dxa"/>
              <w:start w:w="80" w:type="dxa"/>
              <w:end w:w="80" w:type="dxa"/>
            </w:tcMar>
            <w:tcBorders>
              <w:top w:val="nil"/>
              <w:left w:val="nil"/>
              <w:bottom w:val="single" w:sz="10" w:space="0" w:color="75607F"/>
              <w:right w:val="nil"/>
              <w:insideH w:val="nil"/>
              <w:insideV w:val="nil"/>
            </w:tcBorders>
          </w:tcPr>
          <w:p>
            <w:pPr>
              <w:spacing w:before="0" w:after="0" w:line="240" w:lineRule="auto"/>
              <w:jc w:val="left"/>
            </w:pPr>
            <w:r/>
            <w:r>
              <w:rPr>
                <w:rFonts w:ascii="Times New Roman" w:hAnsi="Times New Roman" w:cs="Times New Roman" w:eastAsia="Arial Unicode MS"/>
                <w:b w:val="0"/>
                <w:i w:val="0"/>
                <w:color w:val="2F3437"/>
                <w:sz w:val="16"/>
              </w:rPr>
              <w:t>Complete reported gravidity sensitivity</w:t>
            </w:r>
          </w:p>
        </w:tc>
        <w:tc>
          <w:tcPr>
            <w:tcW w:type="dxa" w:w="792"/>
            <w:vAlign w:val="center"/>
            <w:tcMar>
              <w:top w:w="65" w:type="dxa"/>
              <w:bottom w:w="65" w:type="dxa"/>
              <w:start w:w="80" w:type="dxa"/>
              <w:end w:w="80" w:type="dxa"/>
            </w:tcMar>
            <w:tcBorders>
              <w:top w:val="nil"/>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3315</w:t>
            </w:r>
          </w:p>
        </w:tc>
        <w:tc>
          <w:tcPr>
            <w:tcW w:type="dxa" w:w="936"/>
            <w:vAlign w:val="center"/>
            <w:tcMar>
              <w:top w:w="65" w:type="dxa"/>
              <w:bottom w:w="65" w:type="dxa"/>
              <w:start w:w="80" w:type="dxa"/>
              <w:end w:w="80" w:type="dxa"/>
            </w:tcMar>
            <w:tcBorders>
              <w:top w:val="nil"/>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238</w:t>
            </w:r>
          </w:p>
        </w:tc>
        <w:tc>
          <w:tcPr>
            <w:tcW w:type="dxa" w:w="1944"/>
            <w:vAlign w:val="center"/>
            <w:tcMar>
              <w:top w:w="65" w:type="dxa"/>
              <w:bottom w:w="65" w:type="dxa"/>
              <w:start w:w="80" w:type="dxa"/>
              <w:end w:w="80" w:type="dxa"/>
            </w:tcMar>
            <w:tcBorders>
              <w:top w:val="nil"/>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53/526</w:t>
            </w:r>
          </w:p>
        </w:tc>
        <w:tc>
          <w:tcPr>
            <w:tcW w:type="dxa" w:w="2232"/>
            <w:vAlign w:val="center"/>
            <w:tcMar>
              <w:top w:w="65" w:type="dxa"/>
              <w:bottom w:w="65" w:type="dxa"/>
              <w:start w:w="80" w:type="dxa"/>
              <w:end w:w="80" w:type="dxa"/>
            </w:tcMar>
            <w:tcBorders>
              <w:top w:val="nil"/>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1.63 (1.11-2.38)</w:t>
            </w:r>
          </w:p>
        </w:tc>
        <w:tc>
          <w:tcPr>
            <w:tcW w:type="dxa" w:w="792"/>
            <w:vAlign w:val="center"/>
            <w:tcMar>
              <w:top w:w="65" w:type="dxa"/>
              <w:bottom w:w="65" w:type="dxa"/>
              <w:start w:w="80" w:type="dxa"/>
              <w:end w:w="80" w:type="dxa"/>
            </w:tcMar>
            <w:tcBorders>
              <w:top w:val="nil"/>
              <w:left w:val="nil"/>
              <w:bottom w:val="single" w:sz="10" w:space="0" w:color="75607F"/>
              <w:right w:val="nil"/>
              <w:insideH w:val="nil"/>
              <w:insideV w:val="nil"/>
            </w:tcBorders>
          </w:tcPr>
          <w:p>
            <w:pPr>
              <w:spacing w:before="0" w:after="0" w:line="240" w:lineRule="auto"/>
              <w:jc w:val="center"/>
            </w:pPr>
            <w:r/>
            <w:r>
              <w:rPr>
                <w:rFonts w:ascii="Times New Roman" w:hAnsi="Times New Roman" w:cs="Times New Roman" w:eastAsia="Arial Unicode MS"/>
                <w:b w:val="0"/>
                <w:i w:val="0"/>
                <w:color w:val="2F3437"/>
                <w:sz w:val="16"/>
              </w:rPr>
              <w:t>0.012</w:t>
            </w:r>
          </w:p>
        </w:tc>
      </w:tr>
    </w:tbl>
    <w:p>
      <w:pPr>
        <w:spacing w:before="60" w:after="80"/>
      </w:pPr>
      <w:r>
        <w:rPr>
          <w:rFonts w:ascii="Times New Roman" w:hAnsi="Times New Roman" w:cs="Times New Roman" w:eastAsia="Arial Unicode MS"/>
          <w:b w:val="0"/>
          <w:i/>
          <w:color w:val="5B6063"/>
          <w:sz w:val="16"/>
        </w:rPr>
        <w:t>Survey-weighted models used doctor-diagnosed thyroid disorder as the outcome and adjusted for female hormone therapy history, age, income, education, body mass index, current smoking, diabetes, menopause type, gravidity category, and survey year. The full-sample model included an unavailable gravidity category; the complete-gravidity analysis excluded participants without a reported pregnancy count. OR, odds ratio; CI, confidence interval.</w:t>
      </w:r>
    </w:p>
    <w:sectPr w:rsidR="00FC693F" w:rsidRPr="0006063C" w:rsidSect="00034616">
      <w:pgSz w:w="15840" w:h="12240" w:orient="landscape"/>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 Jin</dc:creator>
  <cp:keywords/>
  <cp:lastModifiedBy>Na Jin</cp:lastModifiedBy>
  <cp:revision>1</cp:revision>
  <dcterms:created xsi:type="dcterms:W3CDTF">2026-08-21T08:00:00Z</dcterms:created>
  <dcterms:modified xsi:type="dcterms:W3CDTF">2026-08-21T12:00:00Z</dcterms:modified>
  <cp:category/>
</cp:coreProperties>
</file>