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102DCE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Supplementary data </w:t>
      </w:r>
    </w:p>
    <w:p w14:paraId="24EE425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FigureS1. Flowchart of the cohort</w:t>
      </w:r>
    </w:p>
    <w:p w14:paraId="55906261">
      <w:pPr>
        <w:pStyle w:val="2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5287010" cy="2405380"/>
            <wp:effectExtent l="0" t="0" r="4445" b="508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87010" cy="2405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3F71252">
      <w:pPr>
        <w:rPr>
          <w:rFonts w:hint="default"/>
          <w:lang w:val="en-US" w:eastAsia="zh-CN"/>
        </w:rPr>
      </w:pPr>
    </w:p>
    <w:p w14:paraId="24F3F2C4">
      <w:r>
        <w:t xml:space="preserve">Table </w:t>
      </w:r>
      <w:r>
        <w:rPr>
          <w:rFonts w:hint="eastAsia"/>
          <w:lang w:val="en-US" w:eastAsia="zh-CN"/>
        </w:rPr>
        <w:t>S1</w:t>
      </w:r>
      <w:r>
        <w:t>. Knosp subgroup analysis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00"/>
        <w:gridCol w:w="2400"/>
        <w:gridCol w:w="2400"/>
        <w:gridCol w:w="2400"/>
      </w:tblGrid>
      <w:tr w14:paraId="10D199C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E6964">
            <w:pPr>
              <w:jc w:val="left"/>
            </w:pPr>
            <w:r>
              <w:t>Variable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872B6">
            <w:r>
              <w:t>Knosp 0-2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CC603">
            <w:r>
              <w:t>Knosp 3-4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A91B3">
            <w:r>
              <w:t>P value</w:t>
            </w:r>
          </w:p>
        </w:tc>
      </w:tr>
      <w:tr w14:paraId="33DD697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CC942">
            <w:pPr>
              <w:jc w:val="left"/>
            </w:pPr>
            <w:r>
              <w:t>Follow-up PRL normalization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038494">
            <w:r>
              <w:t>36/51 (70.6%)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67691">
            <w:r>
              <w:t>39/57 (68.4%)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7C7B7">
            <w:r>
              <w:t>0.837</w:t>
            </w:r>
          </w:p>
        </w:tc>
      </w:tr>
      <w:tr w14:paraId="0B40F9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FA628">
            <w:pPr>
              <w:jc w:val="left"/>
            </w:pPr>
            <w:r>
              <w:t>Follow-up PRL normalization plus testosterone recovery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CB3911">
            <w:r>
              <w:t>30/51 (58.8%)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4E4844">
            <w:r>
              <w:t>29/57 (50.9%)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28DD69">
            <w:r>
              <w:t>0.443</w:t>
            </w:r>
          </w:p>
        </w:tc>
      </w:tr>
      <w:tr w14:paraId="6215A7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4805D">
            <w:pPr>
              <w:jc w:val="left"/>
            </w:pPr>
            <w:r>
              <w:t>Structural response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DA9811">
            <w:r>
              <w:t>41/51 (80.4%)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250F11">
            <w:r>
              <w:t>45/57 (78.9%)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B54A1">
            <w:r>
              <w:t>1.000</w:t>
            </w:r>
          </w:p>
        </w:tc>
      </w:tr>
      <w:tr w14:paraId="646A1B5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6A9A1B">
            <w:pPr>
              <w:jc w:val="left"/>
            </w:pPr>
            <w:r>
              <w:t>Good response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614259">
            <w:r>
              <w:t>28/51 (54.9%)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5409C3">
            <w:r>
              <w:t>33/57 (57.9%)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5E6197">
            <w:r>
              <w:t>0.846</w:t>
            </w:r>
          </w:p>
        </w:tc>
      </w:tr>
      <w:tr w14:paraId="222B368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CC9BE7">
            <w:pPr>
              <w:jc w:val="left"/>
            </w:pPr>
            <w:r>
              <w:t>Clinical good response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9EA748">
            <w:r>
              <w:t>24/51 (47.1%)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6D6ED">
            <w:r>
              <w:t>23/57 (40.4%)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9C054">
            <w:r>
              <w:t>0.561</w:t>
            </w:r>
          </w:p>
        </w:tc>
      </w:tr>
      <w:tr w14:paraId="21B0AA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E31FB8">
            <w:pPr>
              <w:jc w:val="left"/>
            </w:pPr>
            <w:r>
              <w:t>Tumor disappearance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50C90">
            <w:r>
              <w:t>10/51 (19.6%)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7301CF">
            <w:r>
              <w:t>0/57 (0.0%)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B8EFC">
            <w:r>
              <w:t>&lt;0.001</w:t>
            </w:r>
          </w:p>
        </w:tc>
      </w:tr>
      <w:tr w14:paraId="36E0482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EFF50">
            <w:pPr>
              <w:jc w:val="left"/>
            </w:pPr>
            <w:r>
              <w:t>Follow-up PRL, ng/mL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A9A80">
            <w:r>
              <w:t>12.60 (7.85, 18.23)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F20F36">
            <w:r>
              <w:t>12.80 (5.98, 45.40)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58EA6">
            <w:r>
              <w:t>0.990</w:t>
            </w:r>
          </w:p>
        </w:tc>
      </w:tr>
      <w:tr w14:paraId="19CB7D4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BA850E">
            <w:pPr>
              <w:jc w:val="left"/>
            </w:pPr>
            <w:r>
              <w:t>Follow-up tumor volume, mm</w:t>
            </w:r>
            <w:r>
              <w:rPr>
                <w:vertAlign w:val="superscript"/>
              </w:rPr>
              <w:t>3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DFAB2">
            <w:r>
              <w:t>27.00 (9.78, 186.77)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73487">
            <w:r>
              <w:t>1890.00 (728.00, 4356.00)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655F3">
            <w:r>
              <w:t>&lt;0.001</w:t>
            </w:r>
          </w:p>
        </w:tc>
      </w:tr>
    </w:tbl>
    <w:p w14:paraId="09ECD9C0"/>
    <w:p w14:paraId="3BD4BBF2"/>
    <w:p w14:paraId="66D2638B">
      <w:r>
        <w:t xml:space="preserve">Table </w:t>
      </w:r>
      <w:r>
        <w:rPr>
          <w:rFonts w:hint="eastAsia"/>
          <w:lang w:val="en-US" w:eastAsia="zh-CN"/>
        </w:rPr>
        <w:t>S2</w:t>
      </w:r>
      <w:r>
        <w:t>. Baseline features of patients with tumor disappearance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00"/>
        <w:gridCol w:w="2400"/>
        <w:gridCol w:w="2400"/>
        <w:gridCol w:w="2400"/>
      </w:tblGrid>
      <w:tr w14:paraId="5D8F10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B99CF3">
            <w:pPr>
              <w:jc w:val="left"/>
            </w:pPr>
            <w:r>
              <w:t>Variable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358D8">
            <w:pPr>
              <w:jc w:val="left"/>
            </w:pPr>
            <w:r>
              <w:t>Tumor disappearance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ECA0EC">
            <w:pPr>
              <w:jc w:val="left"/>
            </w:pPr>
            <w:r>
              <w:t>No tumor disappearance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286B02">
            <w:pPr>
              <w:jc w:val="left"/>
            </w:pPr>
            <w:r>
              <w:t>P value</w:t>
            </w:r>
          </w:p>
        </w:tc>
      </w:tr>
      <w:tr w14:paraId="2B687E3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2486A">
            <w:pPr>
              <w:jc w:val="left"/>
            </w:pPr>
            <w:r>
              <w:t>Age at diagnosis, years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CBBC10">
            <w:pPr>
              <w:jc w:val="left"/>
            </w:pPr>
            <w:r>
              <w:t>36.00 (30.50, 39.25)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779E28">
            <w:pPr>
              <w:jc w:val="left"/>
            </w:pPr>
            <w:r>
              <w:t>40.00 (31.00, 54.75)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4C36A">
            <w:pPr>
              <w:jc w:val="left"/>
            </w:pPr>
            <w:r>
              <w:t>0.272</w:t>
            </w:r>
          </w:p>
        </w:tc>
      </w:tr>
      <w:tr w14:paraId="6A5BA20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CD5190">
            <w:pPr>
              <w:jc w:val="left"/>
            </w:pPr>
            <w:r>
              <w:t>Baseline PRL, ng/mL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8736D6">
            <w:pPr>
              <w:jc w:val="left"/>
            </w:pPr>
            <w:r>
              <w:t>155.00 (106.10, 1458.00)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EC53C">
            <w:pPr>
              <w:jc w:val="left"/>
            </w:pPr>
            <w:r>
              <w:t>1138.50 (470.00, 4700.00)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B1DEC6">
            <w:pPr>
              <w:jc w:val="left"/>
            </w:pPr>
            <w:r>
              <w:t>0.013</w:t>
            </w:r>
          </w:p>
        </w:tc>
      </w:tr>
      <w:tr w14:paraId="74EB2E0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0A90D7">
            <w:pPr>
              <w:jc w:val="left"/>
            </w:pPr>
            <w:r>
              <w:t>Baseline tumor diameter, mm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5B0D6">
            <w:pPr>
              <w:jc w:val="left"/>
            </w:pPr>
            <w:r>
              <w:t>6.00 (3.50, 17.75)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EC1CC">
            <w:pPr>
              <w:jc w:val="left"/>
            </w:pPr>
            <w:r>
              <w:t>23.50 (13.25, 35.00)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952535">
            <w:pPr>
              <w:jc w:val="left"/>
            </w:pPr>
            <w:r>
              <w:t>0.001</w:t>
            </w:r>
          </w:p>
        </w:tc>
      </w:tr>
      <w:tr w14:paraId="02DB599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CC91E">
            <w:pPr>
              <w:jc w:val="left"/>
            </w:pPr>
            <w:r>
              <w:t>Baseline tumor volume, mm3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26BD7B">
            <w:pPr>
              <w:jc w:val="left"/>
            </w:pPr>
            <w:r>
              <w:t>53.50 (17.62, 1520.25)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AF8A7B">
            <w:pPr>
              <w:jc w:val="left"/>
            </w:pPr>
            <w:r>
              <w:t>3318.75 (677.00, 9342.00)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1809C">
            <w:pPr>
              <w:jc w:val="left"/>
            </w:pPr>
            <w:r>
              <w:t>0.001</w:t>
            </w:r>
          </w:p>
        </w:tc>
      </w:tr>
      <w:tr w14:paraId="7E8121C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FD0F7">
            <w:r>
              <w:t>Baseline testosterone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1C793">
            <w:pPr>
              <w:jc w:val="left"/>
            </w:pPr>
            <w:r>
              <w:t>5.24 (2.02, 6.96)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3F76D4">
            <w:pPr>
              <w:jc w:val="left"/>
            </w:pPr>
            <w:r>
              <w:t>4.34 (2.43, 6.42)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34489">
            <w:pPr>
              <w:jc w:val="left"/>
            </w:pPr>
            <w:r>
              <w:t>0.832</w:t>
            </w:r>
          </w:p>
        </w:tc>
      </w:tr>
      <w:tr w14:paraId="53F1627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5ACB43">
            <w:pPr>
              <w:jc w:val="left"/>
            </w:pPr>
            <w:r>
              <w:t>BMI, kg/m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D862C">
            <w:r>
              <w:t>24.04 (22.63, 26.55)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53BA8">
            <w:r>
              <w:t>26.52 (24.22, 28.08)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E19431">
            <w:r>
              <w:t>0.105</w:t>
            </w:r>
          </w:p>
        </w:tc>
      </w:tr>
      <w:tr w14:paraId="6FD3CA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AABBC">
            <w:pPr>
              <w:jc w:val="left"/>
            </w:pPr>
            <w:r>
              <w:t>Microadenoma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A1A3ED">
            <w:r>
              <w:t>7/10 (70.0%)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21C0CF">
            <w:r>
              <w:t>18/98 (18.4%)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71FA7">
            <w:r>
              <w:t>0.001</w:t>
            </w:r>
          </w:p>
        </w:tc>
      </w:tr>
      <w:tr w14:paraId="62AF778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CC6761">
            <w:pPr>
              <w:jc w:val="left"/>
            </w:pPr>
            <w:r>
              <w:t>Knosp grade 3-4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B3CD2">
            <w:r>
              <w:t>0/10 (0.0%)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23C07E">
            <w:r>
              <w:t>57/98 (58.2%)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AB9D6">
            <w:r>
              <w:t>&lt;0.001</w:t>
            </w:r>
          </w:p>
        </w:tc>
      </w:tr>
      <w:tr w14:paraId="0DDC4AD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A8661">
            <w:pPr>
              <w:jc w:val="left"/>
            </w:pPr>
            <w:r>
              <w:t>Baseline HPG-axis deficiency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3B77D">
            <w:r>
              <w:t>9/10 (90.0%)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EF677">
            <w:r>
              <w:t>86/98 (87.8%)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A4396">
            <w:r>
              <w:t>1.000</w:t>
            </w:r>
          </w:p>
        </w:tc>
      </w:tr>
    </w:tbl>
    <w:p w14:paraId="1F47617C"/>
    <w:p w14:paraId="4712FF7A">
      <w:r>
        <w:t xml:space="preserve">Table </w:t>
      </w:r>
      <w:r>
        <w:rPr>
          <w:rFonts w:hint="eastAsia"/>
          <w:lang w:val="en-US" w:eastAsia="zh-CN"/>
        </w:rPr>
        <w:t>S3</w:t>
      </w:r>
      <w:r>
        <w:t>. Features associated with clinical good response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00"/>
        <w:gridCol w:w="2400"/>
        <w:gridCol w:w="2400"/>
        <w:gridCol w:w="2400"/>
      </w:tblGrid>
      <w:tr w14:paraId="2F3676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A185E">
            <w:pPr>
              <w:jc w:val="left"/>
            </w:pPr>
            <w:r>
              <w:t>Variable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81130">
            <w:pPr>
              <w:jc w:val="left"/>
            </w:pPr>
            <w:r>
              <w:t>Clinical good response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211A9">
            <w:pPr>
              <w:jc w:val="left"/>
            </w:pPr>
            <w:r>
              <w:t>No clinical good response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2B3BE">
            <w:pPr>
              <w:jc w:val="left"/>
            </w:pPr>
            <w:r>
              <w:t>P value</w:t>
            </w:r>
          </w:p>
        </w:tc>
      </w:tr>
      <w:tr w14:paraId="1AE70FB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4EF4CE">
            <w:pPr>
              <w:jc w:val="left"/>
            </w:pPr>
            <w:r>
              <w:t>Age at diagnosis, years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A0A659">
            <w:pPr>
              <w:jc w:val="left"/>
            </w:pPr>
            <w:r>
              <w:t>43.00 (34.00, 56.50)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52E8A9">
            <w:pPr>
              <w:jc w:val="left"/>
            </w:pPr>
            <w:r>
              <w:t>35.00 (30.00, 45.00)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8F384">
            <w:pPr>
              <w:jc w:val="left"/>
            </w:pPr>
            <w:r>
              <w:t>0.047</w:t>
            </w:r>
          </w:p>
        </w:tc>
      </w:tr>
      <w:tr w14:paraId="447F2B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2841A0">
            <w:pPr>
              <w:jc w:val="left"/>
            </w:pPr>
            <w:r>
              <w:t>Baseline PRL, ng/mL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A893A">
            <w:pPr>
              <w:jc w:val="left"/>
            </w:pPr>
            <w:r>
              <w:t>986.00 (396.00, 4191.50)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9C0A6">
            <w:pPr>
              <w:jc w:val="left"/>
            </w:pPr>
            <w:r>
              <w:t>1077.00 (320.00, 4700.00)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A93F3">
            <w:pPr>
              <w:jc w:val="left"/>
            </w:pPr>
            <w:r>
              <w:t>0.868</w:t>
            </w:r>
          </w:p>
        </w:tc>
      </w:tr>
      <w:tr w14:paraId="10CBFE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C46D6E">
            <w:pPr>
              <w:jc w:val="left"/>
            </w:pPr>
            <w:r>
              <w:t>Baseline tumor diameter, mm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779F61">
            <w:pPr>
              <w:jc w:val="left"/>
            </w:pPr>
            <w:r>
              <w:t>21.00 (11.00, 31.50)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794E0">
            <w:pPr>
              <w:jc w:val="left"/>
            </w:pPr>
            <w:r>
              <w:t>23.00 (12.00, 34.00)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65E12">
            <w:pPr>
              <w:jc w:val="left"/>
            </w:pPr>
            <w:r>
              <w:t>0.790</w:t>
            </w:r>
          </w:p>
        </w:tc>
      </w:tr>
      <w:tr w14:paraId="4D9E3C3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264D08">
            <w:pPr>
              <w:jc w:val="left"/>
            </w:pPr>
            <w:r>
              <w:t>Baseline tumor volume, mm</w:t>
            </w:r>
            <w:r>
              <w:rPr>
                <w:vertAlign w:val="superscript"/>
              </w:rPr>
              <w:t>3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48500D">
            <w:pPr>
              <w:jc w:val="left"/>
            </w:pPr>
            <w:r>
              <w:t>2499.00 (354.00, 7689.75)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50C35A">
            <w:pPr>
              <w:jc w:val="left"/>
            </w:pPr>
            <w:r>
              <w:t>3277.50 (520.00, 8910.00)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09766E">
            <w:pPr>
              <w:jc w:val="left"/>
            </w:pPr>
            <w:r>
              <w:t>0.544</w:t>
            </w:r>
          </w:p>
        </w:tc>
      </w:tr>
      <w:tr w14:paraId="3CA5EA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DA8609">
            <w:pPr>
              <w:jc w:val="left"/>
            </w:pPr>
            <w:r>
              <w:t>Baseline testosterone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1904E7">
            <w:pPr>
              <w:jc w:val="left"/>
            </w:pPr>
            <w:r>
              <w:t>6.14 (3.66, 7.66)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E6437">
            <w:pPr>
              <w:jc w:val="left"/>
            </w:pPr>
            <w:r>
              <w:t>3.67 (2.04, 5.70)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7C30BA">
            <w:pPr>
              <w:jc w:val="left"/>
            </w:pPr>
            <w:r>
              <w:t>0.001</w:t>
            </w:r>
          </w:p>
        </w:tc>
      </w:tr>
      <w:tr w14:paraId="7B7F68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7002E">
            <w:pPr>
              <w:jc w:val="left"/>
            </w:pPr>
            <w:r>
              <w:t>BMI, kg/m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89623">
            <w:pPr>
              <w:jc w:val="left"/>
            </w:pPr>
            <w:r>
              <w:t>25.16 (23.46, 26.95)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0A7915">
            <w:pPr>
              <w:jc w:val="left"/>
            </w:pPr>
            <w:r>
              <w:t>26.94 (24.80, 28.76)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D7823E">
            <w:pPr>
              <w:jc w:val="left"/>
            </w:pPr>
            <w:r>
              <w:t>0.004</w:t>
            </w:r>
          </w:p>
        </w:tc>
      </w:tr>
      <w:tr w14:paraId="0440CF3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876170">
            <w:pPr>
              <w:jc w:val="left"/>
            </w:pPr>
            <w:r>
              <w:t>3-month PRL, ng/mL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13C78">
            <w:pPr>
              <w:jc w:val="left"/>
            </w:pPr>
            <w:r>
              <w:t>14.65 (4.52, 44.90)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39C543">
            <w:pPr>
              <w:jc w:val="left"/>
            </w:pPr>
            <w:r>
              <w:t>77.90 (28.00, 235.00)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36A447">
            <w:pPr>
              <w:jc w:val="left"/>
            </w:pPr>
            <w:r>
              <w:t>&lt;0.001</w:t>
            </w:r>
          </w:p>
        </w:tc>
      </w:tr>
      <w:tr w14:paraId="392D78F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4E470D">
            <w:pPr>
              <w:jc w:val="left"/>
            </w:pPr>
            <w:r>
              <w:t>1-year PRL, ng/mL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42675">
            <w:pPr>
              <w:jc w:val="left"/>
            </w:pPr>
            <w:r>
              <w:t>10.40 (5.02, 15.00)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78DFD7">
            <w:pPr>
              <w:jc w:val="left"/>
            </w:pPr>
            <w:r>
              <w:t>38.00 (14.80, 92.50)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30158">
            <w:pPr>
              <w:jc w:val="left"/>
            </w:pPr>
            <w:r>
              <w:t>&lt;0.001</w:t>
            </w:r>
          </w:p>
        </w:tc>
      </w:tr>
      <w:tr w14:paraId="3B2A6A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33D2AD">
            <w:pPr>
              <w:jc w:val="left"/>
            </w:pPr>
            <w:r>
              <w:t>1-year testosterone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2AAAA">
            <w:pPr>
              <w:jc w:val="left"/>
            </w:pPr>
            <w:r>
              <w:t>10.00 (8.27, 11.97)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30EBAA">
            <w:pPr>
              <w:jc w:val="left"/>
            </w:pPr>
            <w:r>
              <w:t>6.41 (3.99, 8.90)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CC621">
            <w:pPr>
              <w:jc w:val="left"/>
            </w:pPr>
            <w:r>
              <w:t>&lt;0.001</w:t>
            </w:r>
          </w:p>
        </w:tc>
      </w:tr>
      <w:tr w14:paraId="524A4E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2A0147">
            <w:pPr>
              <w:jc w:val="left"/>
            </w:pPr>
            <w:r>
              <w:t>1-year tumor-volume reduction ratio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88DC1F">
            <w:pPr>
              <w:jc w:val="left"/>
            </w:pPr>
            <w:r>
              <w:t>0.74 (0.50, 0.92)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C81F6">
            <w:pPr>
              <w:jc w:val="left"/>
            </w:pPr>
            <w:r>
              <w:t>0.68 (0.31, 0.81)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49D3A9">
            <w:pPr>
              <w:jc w:val="left"/>
            </w:pPr>
            <w:r>
              <w:t>0.085</w:t>
            </w:r>
          </w:p>
        </w:tc>
      </w:tr>
      <w:tr w14:paraId="60A533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D9793">
            <w:pPr>
              <w:jc w:val="left"/>
            </w:pPr>
            <w:r>
              <w:t>Microadenoma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E6542">
            <w:pPr>
              <w:jc w:val="left"/>
            </w:pPr>
            <w:r>
              <w:t>12/47 (25.5%)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FB4828">
            <w:pPr>
              <w:jc w:val="left"/>
            </w:pPr>
            <w:r>
              <w:t>13/61 (21.3%)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688A5">
            <w:pPr>
              <w:jc w:val="left"/>
            </w:pPr>
            <w:r>
              <w:t>0.650</w:t>
            </w:r>
          </w:p>
        </w:tc>
      </w:tr>
      <w:tr w14:paraId="19A1736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149D8">
            <w:pPr>
              <w:jc w:val="left"/>
            </w:pPr>
            <w:r>
              <w:t>Knosp grade 3-4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8D6D2">
            <w:pPr>
              <w:jc w:val="left"/>
            </w:pPr>
            <w:r>
              <w:t>23/47 (48.9%)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8AFD87">
            <w:pPr>
              <w:jc w:val="left"/>
            </w:pPr>
            <w:r>
              <w:t>34/61 (55.7%)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082BA">
            <w:pPr>
              <w:jc w:val="left"/>
            </w:pPr>
            <w:r>
              <w:t>0.561</w:t>
            </w:r>
          </w:p>
        </w:tc>
      </w:tr>
      <w:tr w14:paraId="6620F65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49F6C">
            <w:pPr>
              <w:jc w:val="left"/>
            </w:pPr>
            <w:r>
              <w:t>Baseline HPG-axis deficiency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18927">
            <w:pPr>
              <w:jc w:val="left"/>
            </w:pPr>
            <w:r>
              <w:t>37/47 (78.7%)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54C6D0">
            <w:pPr>
              <w:jc w:val="left"/>
            </w:pPr>
            <w:r>
              <w:t>58/61 (95.1%)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2CBE88">
            <w:pPr>
              <w:jc w:val="left"/>
            </w:pPr>
            <w:r>
              <w:t>0.015</w:t>
            </w:r>
          </w:p>
        </w:tc>
      </w:tr>
      <w:tr w14:paraId="76339D4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2F0D36">
            <w:pPr>
              <w:jc w:val="left"/>
            </w:pPr>
            <w:r>
              <w:t>3-month PRL normalization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E69BF">
            <w:pPr>
              <w:jc w:val="left"/>
            </w:pPr>
            <w:r>
              <w:t>25/46 (54.3%)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FAA8A">
            <w:pPr>
              <w:jc w:val="left"/>
            </w:pPr>
            <w:r>
              <w:t>11/61 (18.0%)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982CB">
            <w:pPr>
              <w:jc w:val="left"/>
            </w:pPr>
            <w:r>
              <w:t>&lt;0.001</w:t>
            </w:r>
          </w:p>
        </w:tc>
      </w:tr>
      <w:tr w14:paraId="4BB0933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9A179D">
            <w:pPr>
              <w:jc w:val="left"/>
            </w:pPr>
            <w:r>
              <w:t>1-year PRL normalization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E2AFF3">
            <w:pPr>
              <w:jc w:val="left"/>
            </w:pPr>
            <w:r>
              <w:t>39/47 (83.0%)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D2B67">
            <w:pPr>
              <w:jc w:val="left"/>
            </w:pPr>
            <w:r>
              <w:t>21/61 (34.4%)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85054">
            <w:pPr>
              <w:jc w:val="left"/>
            </w:pPr>
            <w:r>
              <w:t>&lt;0.001</w:t>
            </w:r>
          </w:p>
        </w:tc>
      </w:tr>
      <w:tr w14:paraId="3778480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DA7DD">
            <w:pPr>
              <w:jc w:val="left"/>
            </w:pPr>
            <w:r>
              <w:t>1-year testosterone normalization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7B2884">
            <w:pPr>
              <w:jc w:val="left"/>
            </w:pPr>
            <w:r>
              <w:t>39/46 (84.8%)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7C523">
            <w:pPr>
              <w:jc w:val="left"/>
            </w:pPr>
            <w:r>
              <w:t>23/60 (38.3%)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F88E9D">
            <w:pPr>
              <w:jc w:val="left"/>
            </w:pPr>
            <w:r>
              <w:t>&lt;0.001</w:t>
            </w:r>
          </w:p>
        </w:tc>
      </w:tr>
    </w:tbl>
    <w:p w14:paraId="21DADB91">
      <w:pPr>
        <w:jc w:val="left"/>
        <w:rPr>
          <w:rFonts w:hint="default"/>
          <w:lang w:val="en-US" w:eastAsia="zh-CN"/>
        </w:rPr>
      </w:pPr>
    </w:p>
    <w:p w14:paraId="51996391">
      <w:pPr>
        <w:rPr>
          <w:rFonts w:hint="eastAsia" w:eastAsiaTheme="minorEastAsia"/>
          <w:lang w:val="en-US" w:eastAsia="zh-CN"/>
        </w:rPr>
      </w:pPr>
      <w:r>
        <w:t xml:space="preserve">Table </w:t>
      </w:r>
      <w:r>
        <w:rPr>
          <w:rFonts w:hint="eastAsia"/>
          <w:lang w:val="en-US" w:eastAsia="zh-CN"/>
        </w:rPr>
        <w:t>S4</w:t>
      </w:r>
      <w:r>
        <w:t>. Outcomes in giant versus non-giant prolactinomas</w:t>
      </w:r>
    </w:p>
    <w:tbl>
      <w:tblPr>
        <w:tblStyle w:val="3"/>
        <w:tblW w:w="0" w:type="auto"/>
        <w:tblInd w:w="0" w:type="dxa"/>
        <w:tblBorders>
          <w:top w:val="single" w:color="B7B7B7" w:sz="4" w:space="0"/>
          <w:left w:val="single" w:color="B7B7B7" w:sz="4" w:space="0"/>
          <w:bottom w:val="single" w:color="B7B7B7" w:sz="4" w:space="0"/>
          <w:right w:val="single" w:color="B7B7B7" w:sz="4" w:space="0"/>
          <w:insideH w:val="single" w:color="B7B7B7" w:sz="4" w:space="0"/>
          <w:insideV w:val="single" w:color="B7B7B7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5"/>
        <w:gridCol w:w="2555"/>
        <w:gridCol w:w="2555"/>
        <w:gridCol w:w="2555"/>
      </w:tblGrid>
      <w:tr w14:paraId="65F83190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15C5E7A8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Variable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15202D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Giant adenoma (n=20)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81C0E0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Non-giant adenoma (n=88)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67D3AB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P value</w:t>
            </w:r>
          </w:p>
        </w:tc>
      </w:tr>
      <w:tr w14:paraId="64521086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CD3E6A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Baseline PRL, ng/mL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6B2A17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4700.00 (4700.00, 4700.00)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3707C1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481.50 (193.50, 2100.00)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60855E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&lt;0.001</w:t>
            </w:r>
          </w:p>
        </w:tc>
      </w:tr>
      <w:tr w14:paraId="30FED3E3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EC8ACE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Baseline maximum tumor diameter, mm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30E947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46.50 (41.75, 54.75)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77FBC0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19.00 (8.00, 27.25)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AA1A17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&lt;0.001</w:t>
            </w:r>
          </w:p>
        </w:tc>
      </w:tr>
      <w:tr w14:paraId="3A5B5EBB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FAC529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Baseline tumor volume, mm</w:t>
            </w:r>
            <w:r>
              <w:rPr>
                <w:b w:val="0"/>
                <w:color w:val="000000"/>
                <w:vertAlign w:val="superscript"/>
              </w:rPr>
              <w:t>3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0C16A5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25022.25 (16487.00, 48481.88)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117BDF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1461.00 (94.50, 5334.38)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FAC836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&lt;0.001</w:t>
            </w:r>
          </w:p>
        </w:tc>
      </w:tr>
      <w:tr w14:paraId="5E15A502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D7C711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Knosp grade 3-4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2143B2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20/20 (100.0%)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62D2CE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37/88 (42.0%)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67203C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&lt;0.001</w:t>
            </w:r>
          </w:p>
        </w:tc>
      </w:tr>
      <w:tr w14:paraId="425EE5DD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DA1380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Cabergoline at last follow-up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56A9D6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9/20 (45.0%)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7FC1E3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25/88 (28.4%)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263B9E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0.184</w:t>
            </w:r>
          </w:p>
        </w:tc>
      </w:tr>
      <w:tr w14:paraId="2CD2CE0F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591C46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Follow-up duration, years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F4F7DB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2.00 (1.44, 3.03)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CBD37A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2.50 (1.50, 4.00)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F957D5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0.175</w:t>
            </w:r>
          </w:p>
        </w:tc>
      </w:tr>
      <w:tr w14:paraId="12A1C091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D52241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PRL normalization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B28AF9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14/20 (70.0%)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3D4A5F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61/88 (69.3%)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3C644B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1.000</w:t>
            </w:r>
          </w:p>
        </w:tc>
      </w:tr>
      <w:tr w14:paraId="1B51F134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AAB039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Testosterone normalization (laboratory range)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048633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11/20 (55.0%)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DACAA5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58/88 (65.9%)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F7B591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0.441</w:t>
            </w:r>
          </w:p>
        </w:tc>
      </w:tr>
      <w:tr w14:paraId="625443C4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DC1531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Tumor-volume reduction ratio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6DAD2F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0.90 (0.66, 0.96)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8C8362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0.76 (0.55, 0.95)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59E943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0.348</w:t>
            </w:r>
          </w:p>
        </w:tc>
      </w:tr>
      <w:tr w14:paraId="31C24E74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522FFD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Structural response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10009D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19/20 (95.0%)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25816E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67/88 (76.1%)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53E7EE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0.069</w:t>
            </w:r>
          </w:p>
        </w:tc>
      </w:tr>
      <w:tr w14:paraId="735A4E7B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5C0A74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Good response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1F8AF5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14/20 (70.0%)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F0CC59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47/88 (53.4%)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783392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0.217</w:t>
            </w:r>
          </w:p>
        </w:tc>
      </w:tr>
      <w:tr w14:paraId="07ACADE6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8D804B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Clinical good response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6544BC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8/20 (40.0%)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E59B70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39/88 (44.3%)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A69C7D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0.806</w:t>
            </w:r>
          </w:p>
        </w:tc>
      </w:tr>
      <w:tr w14:paraId="6F97B18E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F4DA6A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Tumor disappearance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D7FE20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0/20 (0.0%)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B80C08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10/88 (11.4%)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C72608">
            <w:pPr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0.203</w:t>
            </w:r>
          </w:p>
        </w:tc>
      </w:tr>
    </w:tbl>
    <w:p w14:paraId="4DE87629"/>
    <w:p w14:paraId="4201044E"/>
    <w:p w14:paraId="130440C5">
      <w:r>
        <w:t>Table S</w:t>
      </w:r>
      <w:r>
        <w:rPr>
          <w:rFonts w:hint="eastAsia"/>
          <w:lang w:val="en-US" w:eastAsia="zh-CN"/>
        </w:rPr>
        <w:t>5</w:t>
      </w:r>
      <w:r>
        <w:t xml:space="preserve">. Descriptive comparison according to </w:t>
      </w:r>
      <w:r>
        <w:rPr>
          <w:rFonts w:hint="eastAsia"/>
          <w:lang w:val="en-US" w:eastAsia="zh-CN"/>
        </w:rPr>
        <w:t xml:space="preserve">different type of </w:t>
      </w:r>
      <w:r>
        <w:t>dopamine agonist used at the last follow-up</w:t>
      </w:r>
    </w:p>
    <w:tbl>
      <w:tblPr>
        <w:tblStyle w:val="3"/>
        <w:tblW w:w="10204" w:type="dxa"/>
        <w:tblInd w:w="0" w:type="dxa"/>
        <w:tblBorders>
          <w:top w:val="single" w:color="B7B7B7" w:sz="4" w:space="0"/>
          <w:left w:val="single" w:color="B7B7B7" w:sz="4" w:space="0"/>
          <w:bottom w:val="single" w:color="B7B7B7" w:sz="4" w:space="0"/>
          <w:right w:val="single" w:color="B7B7B7" w:sz="4" w:space="0"/>
          <w:insideH w:val="single" w:color="B7B7B7" w:sz="4" w:space="0"/>
          <w:insideV w:val="single" w:color="B7B7B7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2551"/>
        <w:gridCol w:w="2551"/>
        <w:gridCol w:w="2551"/>
      </w:tblGrid>
      <w:tr w14:paraId="19115175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737B1958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Variable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1BBFBF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Bromocriptine (n=74)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7B45A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Cabergoline (n=34)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CB5123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P value</w:t>
            </w:r>
          </w:p>
        </w:tc>
      </w:tr>
      <w:tr w14:paraId="766BAB3A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3DBC36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Initial cabergoline recorded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9BC2E7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0/74 (0.0%)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A586D8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1/34 (2.9%)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0500B5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0.315</w:t>
            </w:r>
          </w:p>
        </w:tc>
      </w:tr>
      <w:tr w14:paraId="502D5930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1AB5EC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Macroadenoma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AA8D8F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53/74 (71.6%)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AF0777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30/34 (88.2%)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D4DA51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0.084</w:t>
            </w:r>
          </w:p>
        </w:tc>
      </w:tr>
      <w:tr w14:paraId="37E2D375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700F9C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Giant adenoma (maximum diameter &gt;=40 mm)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4010CD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11/74 (14.9%)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AA06DD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9/34 (26.5%)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96111C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0.184</w:t>
            </w:r>
          </w:p>
        </w:tc>
      </w:tr>
      <w:tr w14:paraId="0645D894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49A6AE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Knosp grade 3-4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D9E7B6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33/74 (44.6%)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156C63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24/34 (70.6%)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EAAE97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0.014</w:t>
            </w:r>
          </w:p>
        </w:tc>
      </w:tr>
      <w:tr w14:paraId="53A44613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93D8C3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Baseline PRL, ng/mL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E2BC8F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631.50 (180.50, 3628.75)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FF29A2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2064.00 (473.50, 4700.00)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C90FCF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0.013</w:t>
            </w:r>
          </w:p>
        </w:tc>
      </w:tr>
      <w:tr w14:paraId="7D01701F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00F65C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Baseline maximum tumor diameter, mm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9F6A40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19.50 (8.00, 30.00)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06E16B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26.00 (19.25, 38.75)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6D90F0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0.018</w:t>
            </w:r>
          </w:p>
        </w:tc>
      </w:tr>
      <w:tr w14:paraId="67FF34D7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D86B52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Baseline tumor volume, mm</w:t>
            </w:r>
            <w:r>
              <w:rPr>
                <w:b w:val="0"/>
                <w:color w:val="000000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4B1947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1606.00 (108.00, 7591.50)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F47BE4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5480.00 (1610.25, 9112.50)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F18003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0.019</w:t>
            </w:r>
          </w:p>
        </w:tc>
      </w:tr>
      <w:tr w14:paraId="70996A86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F19637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Follow-up duration, years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EE6584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2.75 (1.50, 4.15)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48CD42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2.10 (1.55, 3.15)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9981B2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0.291</w:t>
            </w:r>
          </w:p>
        </w:tc>
      </w:tr>
      <w:tr w14:paraId="04647FA4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A627FC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PRL normalization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4F8290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60/74 (81.1%)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EA4E95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15/34 (44.1%)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69BD43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&lt;0.001</w:t>
            </w:r>
          </w:p>
        </w:tc>
      </w:tr>
      <w:tr w14:paraId="6331803A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B4A1D3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Testosterone normalization (laboratory range)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7F9A74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55/74 (74.3%)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22CD66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14/34 (41.2%)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2FAFEE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0.001</w:t>
            </w:r>
          </w:p>
        </w:tc>
      </w:tr>
      <w:tr w14:paraId="0DBA5136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F76331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Tumor-volume reduction ratio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1A5610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0.81 (0.66, 0.96)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FD73A5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0.63 (0.28, 0.95)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56BC89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0.059</w:t>
            </w:r>
          </w:p>
        </w:tc>
      </w:tr>
      <w:tr w14:paraId="6A664D8F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</w:tblPrEx>
        <w:trPr>
          <w:trHeight w:val="312" w:hRule="atLeast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8EBE42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Structural response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9F5883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64/74 (86.5%)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8FDF40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22/34 (64.7%)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042E91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0.019</w:t>
            </w:r>
          </w:p>
        </w:tc>
      </w:tr>
      <w:tr w14:paraId="3C5DF5F5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68FF26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Good response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82F30E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51/74 (68.9%)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289809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10/34 (29.4%)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211A7B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&lt;0.001</w:t>
            </w:r>
          </w:p>
        </w:tc>
      </w:tr>
      <w:tr w14:paraId="4DA54066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218BE6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Clinical good response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51EEF0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42/74 (56.8%)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BB5EB8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5/34 (14.7%)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1AB3D4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&lt;0.001</w:t>
            </w:r>
          </w:p>
        </w:tc>
      </w:tr>
      <w:tr w14:paraId="057DCB7F">
        <w:tblPrEx>
          <w:tblBorders>
            <w:top w:val="single" w:color="B7B7B7" w:sz="4" w:space="0"/>
            <w:left w:val="single" w:color="B7B7B7" w:sz="4" w:space="0"/>
            <w:bottom w:val="single" w:color="B7B7B7" w:sz="4" w:space="0"/>
            <w:right w:val="single" w:color="B7B7B7" w:sz="4" w:space="0"/>
            <w:insideH w:val="single" w:color="B7B7B7" w:sz="4" w:space="0"/>
            <w:insideV w:val="single" w:color="B7B7B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556B07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Tumor disappearance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46368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8/74 (10.8%)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EEB486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2/34 (5.9%)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898710">
            <w:pPr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0.500</w:t>
            </w:r>
          </w:p>
        </w:tc>
      </w:tr>
    </w:tbl>
    <w:p w14:paraId="152C90DF"/>
    <w:p w14:paraId="3F84ED5D">
      <w:bookmarkStart w:id="0" w:name="_GoBack"/>
      <w:bookmarkEnd w:id="0"/>
      <w:r>
        <w:t>Table S</w:t>
      </w:r>
      <w:r>
        <w:rPr>
          <w:rFonts w:hint="eastAsia"/>
          <w:lang w:val="en-US" w:eastAsia="zh-CN"/>
        </w:rPr>
        <w:t>6</w:t>
      </w:r>
      <w:r>
        <w:t>. Internal validation of models predicting final good response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57"/>
        <w:gridCol w:w="1854"/>
        <w:gridCol w:w="2073"/>
        <w:gridCol w:w="1961"/>
        <w:gridCol w:w="2167"/>
      </w:tblGrid>
      <w:tr w14:paraId="7BDDE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</w:tcPr>
          <w:p w14:paraId="181F8DF0">
            <w:r>
              <w:t>Model predicting final good response</w:t>
            </w:r>
          </w:p>
        </w:tc>
        <w:tc>
          <w:tcPr>
            <w:tcW w:w="2400" w:type="dxa"/>
          </w:tcPr>
          <w:p w14:paraId="2A58CFC2">
            <w:r>
              <w:t>N</w:t>
            </w:r>
          </w:p>
        </w:tc>
        <w:tc>
          <w:tcPr>
            <w:tcW w:w="2400" w:type="dxa"/>
          </w:tcPr>
          <w:p w14:paraId="5D767A16">
            <w:r>
              <w:t>Good-response events</w:t>
            </w:r>
          </w:p>
        </w:tc>
        <w:tc>
          <w:tcPr>
            <w:tcW w:w="2400" w:type="dxa"/>
          </w:tcPr>
          <w:p w14:paraId="3FDA00ED">
            <w:r>
              <w:t>Apparent AUC</w:t>
            </w:r>
          </w:p>
        </w:tc>
        <w:tc>
          <w:tcPr>
            <w:tcW w:w="2400" w:type="dxa"/>
          </w:tcPr>
          <w:p w14:paraId="233D6AC3">
            <w:r>
              <w:t>Optimism-corrected AUC</w:t>
            </w:r>
          </w:p>
        </w:tc>
      </w:tr>
      <w:tr w14:paraId="22699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</w:tcPr>
          <w:p w14:paraId="3C972393">
            <w:r>
              <w:t>Baseline: BMI</w:t>
            </w:r>
          </w:p>
        </w:tc>
        <w:tc>
          <w:tcPr>
            <w:tcW w:w="2400" w:type="dxa"/>
          </w:tcPr>
          <w:p w14:paraId="11F66192">
            <w:r>
              <w:t>108</w:t>
            </w:r>
          </w:p>
        </w:tc>
        <w:tc>
          <w:tcPr>
            <w:tcW w:w="2400" w:type="dxa"/>
          </w:tcPr>
          <w:p w14:paraId="5FB8FD7D">
            <w:r>
              <w:t>61</w:t>
            </w:r>
          </w:p>
        </w:tc>
        <w:tc>
          <w:tcPr>
            <w:tcW w:w="2400" w:type="dxa"/>
          </w:tcPr>
          <w:p w14:paraId="0E428959">
            <w:r>
              <w:t>0.665</w:t>
            </w:r>
          </w:p>
        </w:tc>
        <w:tc>
          <w:tcPr>
            <w:tcW w:w="2400" w:type="dxa"/>
          </w:tcPr>
          <w:p w14:paraId="0E3F24C4">
            <w:r>
              <w:t>0.666</w:t>
            </w:r>
          </w:p>
        </w:tc>
      </w:tr>
      <w:tr w14:paraId="73FCA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</w:tcPr>
          <w:p w14:paraId="4573089A">
            <w:r>
              <w:t>3 months: PRL reduction, per 10%</w:t>
            </w:r>
          </w:p>
        </w:tc>
        <w:tc>
          <w:tcPr>
            <w:tcW w:w="2400" w:type="dxa"/>
          </w:tcPr>
          <w:p w14:paraId="3AFFC116">
            <w:r>
              <w:t>107</w:t>
            </w:r>
          </w:p>
        </w:tc>
        <w:tc>
          <w:tcPr>
            <w:tcW w:w="2400" w:type="dxa"/>
          </w:tcPr>
          <w:p w14:paraId="5C63ACFE">
            <w:r>
              <w:t>60</w:t>
            </w:r>
          </w:p>
        </w:tc>
        <w:tc>
          <w:tcPr>
            <w:tcW w:w="2400" w:type="dxa"/>
          </w:tcPr>
          <w:p w14:paraId="3B77C716">
            <w:r>
              <w:t>0.802</w:t>
            </w:r>
          </w:p>
        </w:tc>
        <w:tc>
          <w:tcPr>
            <w:tcW w:w="2400" w:type="dxa"/>
          </w:tcPr>
          <w:p w14:paraId="218E64F9">
            <w:r>
              <w:t>0.806</w:t>
            </w:r>
          </w:p>
        </w:tc>
      </w:tr>
      <w:tr w14:paraId="2558C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</w:tcPr>
          <w:p w14:paraId="141BE7FC">
            <w:r>
              <w:t>1 year: PRL normalization + tumor-volume reduction</w:t>
            </w:r>
          </w:p>
        </w:tc>
        <w:tc>
          <w:tcPr>
            <w:tcW w:w="2400" w:type="dxa"/>
          </w:tcPr>
          <w:p w14:paraId="2C2273A3">
            <w:r>
              <w:t>94</w:t>
            </w:r>
          </w:p>
        </w:tc>
        <w:tc>
          <w:tcPr>
            <w:tcW w:w="2400" w:type="dxa"/>
          </w:tcPr>
          <w:p w14:paraId="7FAF5325">
            <w:r>
              <w:t>57</w:t>
            </w:r>
          </w:p>
        </w:tc>
        <w:tc>
          <w:tcPr>
            <w:tcW w:w="2400" w:type="dxa"/>
          </w:tcPr>
          <w:p w14:paraId="71570341">
            <w:r>
              <w:t>0.844</w:t>
            </w:r>
          </w:p>
        </w:tc>
        <w:tc>
          <w:tcPr>
            <w:tcW w:w="2400" w:type="dxa"/>
          </w:tcPr>
          <w:p w14:paraId="11F84AF3">
            <w:r>
              <w:t>0.834</w:t>
            </w:r>
          </w:p>
        </w:tc>
      </w:tr>
    </w:tbl>
    <w:p w14:paraId="29FBFDA5"/>
    <w:p w14:paraId="767EB862">
      <w:r>
        <w:t>Table S</w:t>
      </w:r>
      <w:r>
        <w:rPr>
          <w:rFonts w:hint="eastAsia"/>
          <w:lang w:val="en-US" w:eastAsia="zh-CN"/>
        </w:rPr>
        <w:t>7</w:t>
      </w:r>
      <w:r>
        <w:t>. Sensitivity analyses for the 1-year final good-response model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79"/>
        <w:gridCol w:w="1795"/>
        <w:gridCol w:w="2053"/>
        <w:gridCol w:w="1934"/>
        <w:gridCol w:w="2151"/>
      </w:tblGrid>
      <w:tr w14:paraId="5B414AD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C9194F">
            <w:r>
              <w:t>Sensitivity analysis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BCA78A">
            <w:r>
              <w:t>N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2F32D">
            <w:r>
              <w:t>Good-response events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16427">
            <w:r>
              <w:t>Apparent AUC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CE34C">
            <w:r>
              <w:t>Optimism-corrected AUC</w:t>
            </w:r>
          </w:p>
        </w:tc>
      </w:tr>
      <w:tr w14:paraId="7FBE128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64BD6">
            <w:r>
              <w:t>Macroadenoma-only; 1-year model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CAABF">
            <w:r>
              <w:t>72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6864E">
            <w:r>
              <w:t>46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DAE0F">
            <w:r>
              <w:t>0.884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C0CF79">
            <w:r>
              <w:t>0.871</w:t>
            </w:r>
          </w:p>
        </w:tc>
      </w:tr>
      <w:tr w14:paraId="04CA25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CCDCBA">
            <w:r>
              <w:t>Follow-up &gt;=2 years; 1-year model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7EB28">
            <w:r>
              <w:t>66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27EFE">
            <w:r>
              <w:t>43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A039D">
            <w:r>
              <w:t>0.851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06BB6A">
            <w:r>
              <w:t>0.845</w:t>
            </w:r>
          </w:p>
        </w:tc>
      </w:tr>
    </w:tbl>
    <w:p w14:paraId="581F5546">
      <w:pPr>
        <w:jc w:val="left"/>
      </w:pPr>
      <w:r>
        <w:t xml:space="preserve">The 1-year model included PRL normalization and tumor-volume reduction per 10 percentage points. </w:t>
      </w:r>
    </w:p>
    <w:p w14:paraId="6398CB19">
      <w:pPr>
        <w:keepLines/>
        <w:spacing w:before="80" w:after="140"/>
      </w:pPr>
    </w:p>
    <w:sectPr>
      <w:pgSz w:w="11906" w:h="16838"/>
      <w:pgMar w:top="964" w:right="907" w:bottom="964" w:left="90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40384DEB"/>
    <w:rsid w:val="1D9D3563"/>
    <w:rsid w:val="2B6A1C14"/>
    <w:rsid w:val="40384DEB"/>
    <w:rsid w:val="41BA22E4"/>
    <w:rsid w:val="59B73DF9"/>
    <w:rsid w:val="5C5F1E19"/>
    <w:rsid w:val="6C0C2520"/>
    <w:rsid w:val="7865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/>
      <w:jc w:val="both"/>
    </w:pPr>
    <w:rPr>
      <w:rFonts w:asciiTheme="minorHAnsi" w:hAnsiTheme="minorHAnsi" w:eastAsiaTheme="minorEastAsia" w:cstheme="minorBidi"/>
      <w:sz w:val="18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744</Words>
  <Characters>4664</Characters>
  <Lines>0</Lines>
  <Paragraphs>0</Paragraphs>
  <TotalTime>0</TotalTime>
  <ScaleCrop>false</ScaleCrop>
  <LinksUpToDate>false</LinksUpToDate>
  <CharactersWithSpaces>5101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2026-05-31T11:58:00Z</dcterms:created>
  <dc:creator>季立津</dc:creator>
  <cp:lastModifiedBy>季立津</cp:lastModifiedBy>
  <dcterms:modified xsi:type="dcterms:W3CDTF">2026-09-25T13:03:12Z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E73FA9A1431647CCB1B5B0A11DDC0BEE_13</vt:lpwstr>
  </property>
</Properties>
</file>