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74C33">
      <w:pPr>
        <w:pStyle w:val="4"/>
        <w:keepLines w:val="0"/>
        <w:pageBreakBefore w:val="0"/>
        <w:widowControl/>
        <w:kinsoku/>
        <w:wordWrap/>
        <w:overflowPunct/>
        <w:topLinePunct w:val="0"/>
        <w:autoSpaceDE/>
        <w:autoSpaceDN/>
        <w:bidi w:val="0"/>
        <w:adjustRightInd/>
        <w:snapToGrid/>
        <w:spacing w:line="360" w:lineRule="auto"/>
        <w:textAlignment w:val="auto"/>
      </w:pPr>
      <w:r>
        <w:t>Additional file 1</w:t>
      </w:r>
      <w:bookmarkStart w:id="0" w:name="_GoBack"/>
      <w:bookmarkEnd w:id="0"/>
    </w:p>
    <w:p w14:paraId="79A69292">
      <w:pPr>
        <w:pStyle w:val="2"/>
        <w:keepLines w:val="0"/>
        <w:pageBreakBefore w:val="0"/>
        <w:widowControl/>
        <w:kinsoku/>
        <w:wordWrap/>
        <w:overflowPunct/>
        <w:topLinePunct w:val="0"/>
        <w:autoSpaceDE/>
        <w:autoSpaceDN/>
        <w:bidi w:val="0"/>
        <w:adjustRightInd/>
        <w:snapToGrid/>
        <w:spacing w:line="360" w:lineRule="auto"/>
        <w:textAlignment w:val="auto"/>
      </w:pPr>
      <w:r>
        <w:t>Supplementary methods, tables and figures</w:t>
      </w:r>
    </w:p>
    <w:p w14:paraId="49B65924">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Thyroid dysfunction after PD-1 inhibitor therapy: selection into post-treatment monitoring and thyroid-axis trajectories in a single-centre real-world cohort study</w:t>
      </w:r>
    </w:p>
    <w:p w14:paraId="3230EA3E">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The primary analysis uses 240 monitored patients from a 627-patient target population with 365-day administrative opportunity. The separate 273-patient broader monitored cohort contributes 34 events by Day 365 and 35 during all follow-up. Post hoc sensitivity analyses and monitoring summaries are presented below.</w:t>
      </w:r>
    </w:p>
    <w:p w14:paraId="6703C297">
      <w:pPr>
        <w:pStyle w:val="2"/>
        <w:keepNext/>
        <w:keepLines w:val="0"/>
        <w:pageBreakBefore w:val="0"/>
        <w:widowControl/>
        <w:kinsoku/>
        <w:wordWrap/>
        <w:overflowPunct/>
        <w:topLinePunct w:val="0"/>
        <w:autoSpaceDE/>
        <w:autoSpaceDN/>
        <w:bidi w:val="0"/>
        <w:adjustRightInd/>
        <w:snapToGrid/>
        <w:spacing w:line="360" w:lineRule="auto"/>
        <w:textAlignment w:val="auto"/>
      </w:pPr>
      <w:r>
        <w:t>Supplementary methods</w:t>
      </w:r>
    </w:p>
    <w:p w14:paraId="3A3743F2">
      <w:pPr>
        <w:pStyle w:val="3"/>
        <w:keepNext/>
        <w:keepLines w:val="0"/>
        <w:pageBreakBefore w:val="0"/>
        <w:widowControl/>
        <w:kinsoku/>
        <w:wordWrap/>
        <w:overflowPunct/>
        <w:topLinePunct w:val="0"/>
        <w:autoSpaceDE/>
        <w:autoSpaceDN/>
        <w:bidi w:val="0"/>
        <w:adjustRightInd/>
        <w:snapToGrid/>
        <w:spacing w:line="360" w:lineRule="auto"/>
        <w:textAlignment w:val="auto"/>
      </w:pPr>
      <w:r>
        <w:t>Baseline and monitoring windows</w:t>
      </w:r>
    </w:p>
    <w:p w14:paraId="1DAD1A36">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The baseline window was Days −90 to 0 by laboratory report date. A TSH and FT4 pair required the same patient and identical report timestamp. Baseline status was assigned from the most recent qualifying pre-infusion pair in that window, and both values had to be within the institutional reference ranges. The source field was report-release time and the drug-start field was actual administration. Day 0 reports were eligible only after investigator verification that specimen collection preceded the first infusion; analytes in a same-day panel were likewise confirmed to share the collection time. Individual specimen-collection timestamps were not present in the analytical export, so Day 0 eligibility was not based on a reproducible exported timestamp rule. Report release after infusion did not by itself indicate post-treatment collection. All ICI Day 0 records are excluded from post-treatment laboratory windows. A separate sensitivity analysis excludes Day 0 baseline reports and applies the same most-recent-pair rule on Days −90 to −1. The primary monitoring indicator is at least one numerical TSH retest on Days 1–365, matching the selection model. Among 245 target patients with any post-treatment retest, five first retested after Day 365. One of the remaining 240 had TSH-only monitoring; a paired TSH/FT4 sensitivity analysis excludes that patient.</w:t>
      </w:r>
    </w:p>
    <w:p w14:paraId="267BAC7D">
      <w:pPr>
        <w:pStyle w:val="3"/>
        <w:keepNext/>
        <w:keepLines w:val="0"/>
        <w:pageBreakBefore w:val="0"/>
        <w:widowControl/>
        <w:kinsoku/>
        <w:wordWrap/>
        <w:overflowPunct/>
        <w:topLinePunct w:val="0"/>
        <w:autoSpaceDE/>
        <w:autoSpaceDN/>
        <w:bidi w:val="0"/>
        <w:adjustRightInd/>
        <w:snapToGrid/>
        <w:spacing w:line="360" w:lineRule="auto"/>
        <w:textAlignment w:val="auto"/>
      </w:pPr>
      <w:r>
        <w:t>Laboratory methods and antibody coding</w:t>
      </w:r>
    </w:p>
    <w:p w14:paraId="621B0F16">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Thyroid-function tests used electrochemiluminescence immunoassay. TgAb/TPOAb/TRAb were routinely ordered as part of clinical care and measured using Roche electrochemiluminescence immunoassay on a Cobas platform; testing was not study-mandated or governed by a protocol-based systematic screening schedule. Reference intervals were TSH 0.75–5.60 mIU/L, FT4 12.8–21.3 pmol/L, FT3 3.85–6.30 pmol/L, TgAb 0–115 IU/mL, TPOAb 0–34 IU/mL and TRAb 0–1.75 IU/L. Positivity required TgAb &gt;115 or TPOAb &gt;34 IU/mL; values equal to the upper boundary were not positive. Any positive result in the baseline window defined positivity. If at least one was measured and all measured values were non-positive, the extraction assigned negative status; neither measured was not tested. All antibody-tested patients in both the 627-patient target and 240-patient monitored cohort had both TgAb and TPOAb recorded in the baseline window, so no single-antibody negative assignment occurred. Routine clinical ordering did not imply complete results or uniform subsequent thyroid surveillance.</w:t>
      </w:r>
    </w:p>
    <w:p w14:paraId="766E86CD">
      <w:pPr>
        <w:pStyle w:val="3"/>
        <w:keepNext/>
        <w:keepLines w:val="0"/>
        <w:pageBreakBefore w:val="0"/>
        <w:widowControl/>
        <w:kinsoku/>
        <w:wordWrap/>
        <w:overflowPunct/>
        <w:topLinePunct w:val="0"/>
        <w:autoSpaceDE/>
        <w:autoSpaceDN/>
        <w:bidi w:val="0"/>
        <w:adjustRightInd/>
        <w:snapToGrid/>
        <w:spacing w:line="360" w:lineRule="auto"/>
        <w:textAlignment w:val="auto"/>
      </w:pPr>
      <w:r>
        <w:t>Clinical adjudication and evidence hierarchy</w:t>
      </w:r>
    </w:p>
    <w:p w14:paraId="51741C3D">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Clinical review involved investigator assessment followed by final endocrinologist adjudication. The 35 confirmed events and one unconfirmed candidate were retained; laboratory evidence and timing were audited without automated reclassification. Only a sample of 20 screening-negative patients had chart review, with no missed study-defined event in that sample; this is not an independent diagnostic-accuracy validation. Same-report biochemical definitions, repeat results and available medication, illness and prior-treatment information were reviewed. For adjudicated primary hypothyroidism, clinical acceptance required fulfilment of the same-report biochemical definition and no available record of a prespecified exclusion, including pre-existing thyroid/pituitary disease or a clearly discordant or central-axis pattern. TKI/corticosteroid exposure and systemic illness were contextual evidence and did not by themselves establish causation or automatically exclude a biochemically qualifying event. Record-level coding does not substitute for a documented clinical alternative-cause assessment. Adjudicators could see baseline TgAb/TPOAb and were not blinded. Antibody positivity was not used as supporting evidence or a classification criterion. Awareness of the result could nevertheless introduce classification bias.</w:t>
      </w:r>
    </w:p>
    <w:p w14:paraId="51B09695">
      <w:pPr>
        <w:pStyle w:val="3"/>
        <w:keepNext/>
        <w:keepLines w:val="0"/>
        <w:pageBreakBefore w:val="0"/>
        <w:widowControl/>
        <w:kinsoku/>
        <w:wordWrap/>
        <w:overflowPunct/>
        <w:topLinePunct w:val="0"/>
        <w:autoSpaceDE/>
        <w:autoSpaceDN/>
        <w:bidi w:val="0"/>
        <w:adjustRightInd/>
        <w:snapToGrid/>
        <w:spacing w:line="360" w:lineRule="auto"/>
        <w:textAlignment w:val="auto"/>
      </w:pPr>
      <w:r>
        <w:t>Event time and later supporting observations</w:t>
      </w:r>
    </w:p>
    <w:p w14:paraId="16DF7452">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The first qualifying biochemical report defines the event date. Later observations, including those after Day 365, could inform support or subtype without shifting the event date. Thyroiditis requires at least one thyrotoxic-to-hypothyroid report pair separated by 7–168 elapsed days; a still-earlier thyrotoxic report can be the first event. In one primary trajectory, the first thyrotoxic-to-hypothyroid span was 197 calendar days, but an intervening thyrotoxic report formed the qualifying 7–168-day pair; all qualifying report values and exact elapsed intervals are provided in Table S13B. All six primary trajectories had qualifying hypothyroid reports by Day 365; none required a post-Day-365 phase transition. Both supported TSH &gt;10 cases had their repeat support within the first year. The two FT4 values were normal, not elevated: 14.61 and 13.64 pmol/L. Initial TSH values 11.63 and 10.08 mIU/L were followed by TSH 8.92 after 21 days and 5.64 after 42 days. Repeat TSH &gt;5.60, not necessarily &gt;10, was the support criterion. The four primary thyrotoxicosis cases without a recorded subsequent hypothyroid phase included two without subsequent thyroid testing; absence of a recorded phase is not evidence that it did not occur.</w:t>
      </w:r>
    </w:p>
    <w:p w14:paraId="0E53717C">
      <w:pPr>
        <w:pStyle w:val="3"/>
        <w:keepNext/>
        <w:keepLines w:val="0"/>
        <w:pageBreakBefore w:val="0"/>
        <w:widowControl/>
        <w:kinsoku/>
        <w:wordWrap/>
        <w:overflowPunct/>
        <w:topLinePunct w:val="0"/>
        <w:autoSpaceDE/>
        <w:autoSpaceDN/>
        <w:bidi w:val="0"/>
        <w:adjustRightInd/>
        <w:snapToGrid/>
        <w:spacing w:line="360" w:lineRule="auto"/>
        <w:textAlignment w:val="auto"/>
      </w:pPr>
      <w:r>
        <w:t>Alternative explanations and missing observation</w:t>
      </w:r>
    </w:p>
    <w:p w14:paraId="70A7A018">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TKI and corticosteroid records within ±14 days and systemic-illness laboratory data within ±3 days were contextual evidence. A ±14-day record may occur after an event and does not establish a preceding cause or treatment indication. Prior thyroid/pituitary disease, thyroid medication and surgical records were part of baseline screening. Discordant TSH/FT4 results and nonspecific low-T3 or central-axis patterns were not automatically attributed to PD-1 treatment. Mortality information was derived exclusively from institutional records, without external follow-up or death-registry linkage. Death-status/date fields therefore identified recorded deaths only. A blank death field cannot establish survival. No-recorded-event status does not establish an event-free year, including among patients with recorded deaths.</w:t>
      </w:r>
    </w:p>
    <w:p w14:paraId="5E37EE8E">
      <w:pPr>
        <w:pStyle w:val="3"/>
        <w:keepNext/>
        <w:keepLines w:val="0"/>
        <w:pageBreakBefore w:val="0"/>
        <w:widowControl/>
        <w:kinsoku/>
        <w:wordWrap/>
        <w:overflowPunct/>
        <w:topLinePunct w:val="0"/>
        <w:autoSpaceDE/>
        <w:autoSpaceDN/>
        <w:bidi w:val="0"/>
        <w:adjustRightInd/>
        <w:snapToGrid/>
        <w:spacing w:line="360" w:lineRule="auto"/>
        <w:textAlignment w:val="auto"/>
      </w:pPr>
      <w:r>
        <w:t>Exploratory hypothesis family</w:t>
      </w:r>
    </w:p>
    <w:p w14:paraId="468F0FB0">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BH adjustment uses ten univariable coefficient P values from eight variables: age, female versus male sex, BMI, baseline TSH, baseline FT4, antibody positive versus negative, digestive/HBP versus lung/thoracic, urologic/gynecologic versus lung/thoracic, HN/skin/other rare versus lung/thoracic, and baseline TKI record yes versus no. The tumour variable contributes three category comparisons, not one global test. Firth sensitivity tests and TSH functional-form comparisons are outside this family. The limited-adjustment model has five variables and seven slope parameters; no outcome-driven selection or prediction model was fitted. Baseline TKI is the first visible TKI record on or before first ICI, without reliable confirmation that treatment remained active.</w:t>
      </w:r>
    </w:p>
    <w:p w14:paraId="1B715542">
      <w:pPr>
        <w:pStyle w:val="3"/>
        <w:keepNext/>
        <w:keepLines w:val="0"/>
        <w:pageBreakBefore w:val="0"/>
        <w:widowControl/>
        <w:kinsoku/>
        <w:wordWrap/>
        <w:overflowPunct/>
        <w:topLinePunct w:val="0"/>
        <w:autoSpaceDE/>
        <w:autoSpaceDN/>
        <w:bidi w:val="0"/>
        <w:adjustRightInd/>
        <w:snapToGrid/>
        <w:spacing w:line="360" w:lineRule="auto"/>
        <w:textAlignment w:val="auto"/>
      </w:pPr>
      <w:r>
        <w:t>IPW target assumptions and formula</w:t>
      </w:r>
    </w:p>
    <w:p w14:paraId="38FD703F">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Let R indicate a qualifying retest on Days 1–365, X the baseline covariates, and Yobs a recorded study-defined event among monitored patients. A logistic model estimates pi(X)=P(R=1|X). The stabilized weight for a monitored patient is w=P(R=1)/pi(X), and the weighted proportion is sum(w*Yobs)/sum(w). The target is covariate standardization of recorded-event detection to the measured baseline distribution of eligible patients with administrative opportunity, not complete ascertainment of underlying thyroid dysfunction. Identifying this standardized detection target requires conditional outcome comparability, positive monitoring probabilities and adequate model specification. Weighting entry into monitoring cannot correct subsequent test frequency, cessation or missed events. The 1st/99th-percentile procedure caps weights at the monitored-sample cutpoints; it does not remove observations.</w:t>
      </w:r>
    </w:p>
    <w:p w14:paraId="1C29331E">
      <w:pPr>
        <w:pStyle w:val="3"/>
        <w:keepNext/>
        <w:keepLines w:val="0"/>
        <w:pageBreakBefore w:val="0"/>
        <w:widowControl/>
        <w:kinsoku/>
        <w:wordWrap/>
        <w:overflowPunct/>
        <w:topLinePunct w:val="0"/>
        <w:autoSpaceDE/>
        <w:autoSpaceDN/>
        <w:bidi w:val="0"/>
        <w:adjustRightInd/>
        <w:snapToGrid/>
        <w:spacing w:line="360" w:lineRule="auto"/>
        <w:textAlignment w:val="auto"/>
      </w:pPr>
      <w:r>
        <w:t>IPW missing covariates and uncertainty</w:t>
      </w:r>
    </w:p>
    <w:p w14:paraId="3E1988C3">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The main selection model includes categorical first-ICI year, age, sex, BMI, merged tumour group, baseline TSH, baseline FT4 and antibody status (negative, positive, not tested). In the 627-patient target there were 570 negative, 48 positive and nine untested patients. Monitored counts were 215, 24 and one; unmonitored counts were 355, 24 and eight. Missing antibodies were not recoded as negative. Nine BMI values were median-imputed using nonmissing target values. The BMI-missingness indicator was not fitted but was separately assessed for balance; all nine were unmonitored, limiting support. Bootstrap resamples 627 patients with replacement, repeats BMI median imputation and scaling, refits selection, recomputes the monitoring fraction and weight cap points, and estimates the weighted mean. The main analysis used 2,000 replicates, seed 20260917, with all successful and no fitting-warning replicates. In general a nonconverged, rank-deficient or invalid-probability replicate is marked unsuccessful; at least 95% success is required. CIs use the 2.5th/97.5th percentiles. SMDs compare the weighted monitored cohort with the full target, with BMI missingness reported separately. The BMI-observed sensitivity changes the target to 618 patients.</w:t>
      </w:r>
    </w:p>
    <w:p w14:paraId="460D2FFD">
      <w:pPr>
        <w:pStyle w:val="3"/>
        <w:keepNext/>
        <w:keepLines w:val="0"/>
        <w:pageBreakBefore w:val="0"/>
        <w:widowControl/>
        <w:kinsoku/>
        <w:wordWrap/>
        <w:overflowPunct/>
        <w:topLinePunct w:val="0"/>
        <w:autoSpaceDE/>
        <w:autoSpaceDN/>
        <w:bidi w:val="0"/>
        <w:adjustRightInd/>
        <w:snapToGrid/>
        <w:spacing w:line="360" w:lineRule="auto"/>
        <w:textAlignment w:val="auto"/>
      </w:pPr>
      <w:r>
        <w:t>Scenario and trajectory analyses</w:t>
      </w:r>
    </w:p>
    <w:p w14:paraId="5C69CC56">
      <w:pPr>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Scenario multipliers 0, 0.5, 1, 1.5 and 2 apply to the 387 patients without a qualifying first-year test. They are assumed values, not estimates of their outcomes; the transformed CIs do not include uncertainty in the multiplier or missed events among monitored patients. Each laboratory report timestamp counts as one panel. Event-centred curves first use each patient’s median in each window and then group median/IQR, giving equal patient contribution within a window; varying membership still precludes interpretation as typical within-person change. Event Day 0 belongs to the −4 to 0-week window. The individual display likewise uses patient-window values, not a record-frequency-weighted group line.</w:t>
      </w:r>
    </w:p>
    <w:p w14:paraId="78AA2381">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Operational event criteria</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3456"/>
        <w:gridCol w:w="5184"/>
        <w:gridCol w:w="6264"/>
      </w:tblGrid>
      <w:tr w14:paraId="1D634A4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3456" w:type="dxa"/>
            <w:tcBorders>
              <w:top w:val="single" w:color="auto" w:sz="12" w:space="0"/>
              <w:left w:val="nil"/>
              <w:bottom w:val="nil"/>
              <w:right w:val="nil"/>
            </w:tcBorders>
            <w:noWrap w:val="0"/>
            <w:tcMar>
              <w:top w:w="-1" w:type="dxa"/>
              <w:left w:w="-1" w:type="dxa"/>
              <w:bottom w:w="-1" w:type="dxa"/>
              <w:right w:w="-1" w:type="dxa"/>
            </w:tcMar>
            <w:vAlign w:val="center"/>
          </w:tcPr>
          <w:p w14:paraId="62E8B835">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Subtype</w:t>
            </w:r>
          </w:p>
        </w:tc>
        <w:tc>
          <w:tcPr>
            <w:tcW w:w="5184" w:type="dxa"/>
            <w:tcBorders>
              <w:top w:val="single" w:color="auto" w:sz="12" w:space="0"/>
              <w:left w:val="nil"/>
              <w:bottom w:val="nil"/>
              <w:right w:val="nil"/>
            </w:tcBorders>
            <w:noWrap w:val="0"/>
            <w:tcMar>
              <w:top w:w="-1" w:type="dxa"/>
              <w:left w:w="-1" w:type="dxa"/>
              <w:bottom w:w="-1" w:type="dxa"/>
              <w:right w:w="-1" w:type="dxa"/>
            </w:tcMar>
            <w:vAlign w:val="center"/>
          </w:tcPr>
          <w:p w14:paraId="48E4FC9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Biochemical requirement</w:t>
            </w:r>
          </w:p>
        </w:tc>
        <w:tc>
          <w:tcPr>
            <w:tcW w:w="6264" w:type="dxa"/>
            <w:tcBorders>
              <w:top w:val="single" w:color="auto" w:sz="12" w:space="0"/>
              <w:left w:val="nil"/>
              <w:bottom w:val="nil"/>
              <w:right w:val="nil"/>
            </w:tcBorders>
            <w:noWrap w:val="0"/>
            <w:tcMar>
              <w:top w:w="-1" w:type="dxa"/>
              <w:left w:w="-1" w:type="dxa"/>
              <w:bottom w:w="-1" w:type="dxa"/>
              <w:right w:w="-1" w:type="dxa"/>
            </w:tcMar>
            <w:vAlign w:val="center"/>
          </w:tcPr>
          <w:p w14:paraId="6B1DC7F4">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Support and timing</w:t>
            </w:r>
          </w:p>
        </w:tc>
      </w:tr>
      <w:tr w14:paraId="791592C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456" w:type="dxa"/>
            <w:tcBorders>
              <w:top w:val="single" w:color="auto" w:sz="4" w:space="0"/>
              <w:left w:val="nil"/>
              <w:bottom w:val="nil"/>
              <w:right w:val="nil"/>
            </w:tcBorders>
            <w:noWrap w:val="0"/>
            <w:tcMar>
              <w:top w:w="-1" w:type="dxa"/>
              <w:left w:w="-1" w:type="dxa"/>
              <w:bottom w:w="-1" w:type="dxa"/>
              <w:right w:w="-1" w:type="dxa"/>
            </w:tcMar>
            <w:vAlign w:val="center"/>
          </w:tcPr>
          <w:p w14:paraId="7C8688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Thyroiditis trajectory</w:t>
            </w:r>
          </w:p>
        </w:tc>
        <w:tc>
          <w:tcPr>
            <w:tcW w:w="5184" w:type="dxa"/>
            <w:tcBorders>
              <w:top w:val="single" w:color="auto" w:sz="4" w:space="0"/>
              <w:left w:val="nil"/>
              <w:bottom w:val="nil"/>
              <w:right w:val="nil"/>
            </w:tcBorders>
            <w:noWrap w:val="0"/>
            <w:tcMar>
              <w:top w:w="-1" w:type="dxa"/>
              <w:left w:w="-1" w:type="dxa"/>
              <w:bottom w:w="-1" w:type="dxa"/>
              <w:right w:w="-1" w:type="dxa"/>
            </w:tcMar>
            <w:vAlign w:val="center"/>
          </w:tcPr>
          <w:p w14:paraId="5E4FE7D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TSH &lt;0.75 with FT4 &gt;21.3 and/or FT3 &gt;6.30, followed by qualifying hypothyroidism</w:t>
            </w:r>
          </w:p>
        </w:tc>
        <w:tc>
          <w:tcPr>
            <w:tcW w:w="6264" w:type="dxa"/>
            <w:tcBorders>
              <w:top w:val="single" w:color="auto" w:sz="4" w:space="0"/>
              <w:left w:val="nil"/>
              <w:bottom w:val="nil"/>
              <w:right w:val="nil"/>
            </w:tcBorders>
            <w:noWrap w:val="0"/>
            <w:tcMar>
              <w:top w:w="-1" w:type="dxa"/>
              <w:left w:w="-1" w:type="dxa"/>
              <w:bottom w:w="-1" w:type="dxa"/>
              <w:right w:w="-1" w:type="dxa"/>
            </w:tcMar>
            <w:vAlign w:val="center"/>
          </w:tcPr>
          <w:p w14:paraId="66DF9DC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At least one report pair 7–168 elapsed days apart; first event date remains earliest qualifying biochemical presentation.</w:t>
            </w:r>
          </w:p>
        </w:tc>
      </w:tr>
      <w:tr w14:paraId="58D933A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456" w:type="dxa"/>
            <w:tcBorders>
              <w:top w:val="nil"/>
              <w:left w:val="nil"/>
              <w:bottom w:val="nil"/>
              <w:right w:val="nil"/>
            </w:tcBorders>
            <w:noWrap w:val="0"/>
            <w:tcMar>
              <w:top w:w="-1" w:type="dxa"/>
              <w:left w:w="-1" w:type="dxa"/>
              <w:bottom w:w="-1" w:type="dxa"/>
              <w:right w:w="-1" w:type="dxa"/>
            </w:tcMar>
            <w:vAlign w:val="center"/>
          </w:tcPr>
          <w:p w14:paraId="7320371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Thyrotoxicosis without recorded subsequent hypothyroidism</w:t>
            </w:r>
          </w:p>
        </w:tc>
        <w:tc>
          <w:tcPr>
            <w:tcW w:w="5184" w:type="dxa"/>
            <w:tcBorders>
              <w:top w:val="nil"/>
              <w:left w:val="nil"/>
              <w:bottom w:val="nil"/>
              <w:right w:val="nil"/>
            </w:tcBorders>
            <w:noWrap w:val="0"/>
            <w:tcMar>
              <w:top w:w="-1" w:type="dxa"/>
              <w:left w:w="-1" w:type="dxa"/>
              <w:bottom w:w="-1" w:type="dxa"/>
              <w:right w:w="-1" w:type="dxa"/>
            </w:tcMar>
            <w:vAlign w:val="center"/>
          </w:tcPr>
          <w:p w14:paraId="01AEC03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TSH &lt;0.75 with FT4 &gt;21.3 and/or FT3 &gt;6.30</w:t>
            </w:r>
          </w:p>
        </w:tc>
        <w:tc>
          <w:tcPr>
            <w:tcW w:w="6264" w:type="dxa"/>
            <w:tcBorders>
              <w:top w:val="nil"/>
              <w:left w:val="nil"/>
              <w:bottom w:val="nil"/>
              <w:right w:val="nil"/>
            </w:tcBorders>
            <w:noWrap w:val="0"/>
            <w:tcMar>
              <w:top w:w="-1" w:type="dxa"/>
              <w:left w:w="-1" w:type="dxa"/>
              <w:bottom w:w="-1" w:type="dxa"/>
              <w:right w:w="-1" w:type="dxa"/>
            </w:tcMar>
            <w:vAlign w:val="center"/>
          </w:tcPr>
          <w:p w14:paraId="09A8352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Clinical review; no recorded qualifying transition. Short/absent subsequent testing is a classification limitation.</w:t>
            </w:r>
          </w:p>
        </w:tc>
      </w:tr>
      <w:tr w14:paraId="5D296D3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456" w:type="dxa"/>
            <w:tcBorders>
              <w:top w:val="nil"/>
              <w:left w:val="nil"/>
              <w:bottom w:val="nil"/>
              <w:right w:val="nil"/>
            </w:tcBorders>
            <w:noWrap w:val="0"/>
            <w:tcMar>
              <w:top w:w="-1" w:type="dxa"/>
              <w:left w:w="-1" w:type="dxa"/>
              <w:bottom w:w="-1" w:type="dxa"/>
              <w:right w:w="-1" w:type="dxa"/>
            </w:tcMar>
            <w:vAlign w:val="center"/>
          </w:tcPr>
          <w:p w14:paraId="3A013CD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Adjudicated primary hypothyroidism</w:t>
            </w:r>
          </w:p>
        </w:tc>
        <w:tc>
          <w:tcPr>
            <w:tcW w:w="5184" w:type="dxa"/>
            <w:tcBorders>
              <w:top w:val="nil"/>
              <w:left w:val="nil"/>
              <w:bottom w:val="nil"/>
              <w:right w:val="nil"/>
            </w:tcBorders>
            <w:noWrap w:val="0"/>
            <w:tcMar>
              <w:top w:w="-1" w:type="dxa"/>
              <w:left w:w="-1" w:type="dxa"/>
              <w:bottom w:w="-1" w:type="dxa"/>
              <w:right w:w="-1" w:type="dxa"/>
            </w:tcMar>
            <w:vAlign w:val="center"/>
          </w:tcPr>
          <w:p w14:paraId="703B240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TSH &gt;5.60 and FT4 &lt;12.8 in same report timestamp</w:t>
            </w:r>
          </w:p>
        </w:tc>
        <w:tc>
          <w:tcPr>
            <w:tcW w:w="6264" w:type="dxa"/>
            <w:tcBorders>
              <w:top w:val="nil"/>
              <w:left w:val="nil"/>
              <w:bottom w:val="nil"/>
              <w:right w:val="nil"/>
            </w:tcBorders>
            <w:noWrap w:val="0"/>
            <w:tcMar>
              <w:top w:w="-1" w:type="dxa"/>
              <w:left w:w="-1" w:type="dxa"/>
              <w:bottom w:w="-1" w:type="dxa"/>
              <w:right w:w="-1" w:type="dxa"/>
            </w:tcMar>
            <w:vAlign w:val="center"/>
          </w:tcPr>
          <w:p w14:paraId="1F4F49FA">
            <w:pPr>
              <w:keepLines w:val="0"/>
              <w:pageBreakBefore w:val="0"/>
              <w:widowControl/>
              <w:kinsoku/>
              <w:wordWrap/>
              <w:overflowPunct/>
              <w:topLinePunct w:val="0"/>
              <w:autoSpaceDE/>
              <w:autoSpaceDN/>
              <w:bidi w:val="0"/>
              <w:adjustRightInd/>
              <w:snapToGrid/>
              <w:spacing w:line="360" w:lineRule="auto"/>
              <w:ind w:left="0" w:leftChars="0" w:firstLine="0" w:firstLineChars="0"/>
              <w:textAlignment w:val="auto"/>
              <w:rPr>
                <w:sz w:val="20"/>
                <w:szCs w:val="20"/>
              </w:rPr>
            </w:pPr>
            <w:r>
              <w:rPr>
                <w:sz w:val="20"/>
                <w:szCs w:val="20"/>
              </w:rPr>
              <w:t>Clinical review; same-report definition met and no available record of a prespecified exclusion. Repeat results used if available but not universally required. No qualifying preceding trajectory.</w:t>
            </w:r>
          </w:p>
        </w:tc>
      </w:tr>
      <w:tr w14:paraId="6E33DCC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456" w:type="dxa"/>
            <w:tcBorders>
              <w:top w:val="nil"/>
              <w:left w:val="nil"/>
              <w:bottom w:val="single" w:color="auto" w:sz="12" w:space="0"/>
              <w:right w:val="nil"/>
            </w:tcBorders>
            <w:noWrap w:val="0"/>
            <w:tcMar>
              <w:top w:w="-1" w:type="dxa"/>
              <w:left w:w="-1" w:type="dxa"/>
              <w:bottom w:w="-1" w:type="dxa"/>
              <w:right w:w="-1" w:type="dxa"/>
            </w:tcMar>
            <w:vAlign w:val="center"/>
          </w:tcPr>
          <w:p w14:paraId="486CD00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Supported TSH &gt;10 with normal FT4</w:t>
            </w:r>
          </w:p>
        </w:tc>
        <w:tc>
          <w:tcPr>
            <w:tcW w:w="5184" w:type="dxa"/>
            <w:tcBorders>
              <w:top w:val="nil"/>
              <w:left w:val="nil"/>
              <w:bottom w:val="single" w:color="auto" w:sz="12" w:space="0"/>
              <w:right w:val="nil"/>
            </w:tcBorders>
            <w:noWrap w:val="0"/>
            <w:tcMar>
              <w:top w:w="-1" w:type="dxa"/>
              <w:left w:w="-1" w:type="dxa"/>
              <w:bottom w:w="-1" w:type="dxa"/>
              <w:right w:w="-1" w:type="dxa"/>
            </w:tcMar>
            <w:vAlign w:val="center"/>
          </w:tcPr>
          <w:p w14:paraId="76AB202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TSH &gt;10 and FT4 12.8–21.3 in same report timestamp</w:t>
            </w:r>
          </w:p>
        </w:tc>
        <w:tc>
          <w:tcPr>
            <w:tcW w:w="6264" w:type="dxa"/>
            <w:tcBorders>
              <w:top w:val="nil"/>
              <w:left w:val="nil"/>
              <w:bottom w:val="single" w:color="auto" w:sz="12" w:space="0"/>
              <w:right w:val="nil"/>
            </w:tcBorders>
            <w:noWrap w:val="0"/>
            <w:tcMar>
              <w:top w:w="-1" w:type="dxa"/>
              <w:left w:w="-1" w:type="dxa"/>
              <w:bottom w:w="-1" w:type="dxa"/>
              <w:right w:w="-1" w:type="dxa"/>
            </w:tcMar>
            <w:vAlign w:val="center"/>
          </w:tcPr>
          <w:p w14:paraId="4D1AF7A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val="0"/>
                <w:color w:val="000000"/>
                <w:sz w:val="20"/>
                <w:szCs w:val="20"/>
              </w:rPr>
              <w:t>Repeat TSH &gt;5.60 at 7–84 days or documented LT4 initiation within 84 days; both included cases had repeat support.</w:t>
            </w:r>
          </w:p>
        </w:tc>
      </w:tr>
    </w:tbl>
    <w:p w14:paraId="2C878E1F">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TSH units are mIU/L; FT4 and FT3 units are pmol/L. Same-report pairing allows no interval between different timestamps. Elevated FT4 with elevated TSH does not qualify for the supported-normal-FT4 category. Event classification was clinical; these rules describe the evidence requirements rather than a causal attribution algorithm.</w:t>
      </w:r>
    </w:p>
    <w:p w14:paraId="79690D73">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 Comparison with selected published cohorts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1381"/>
        <w:gridCol w:w="1381"/>
        <w:gridCol w:w="1381"/>
        <w:gridCol w:w="1381"/>
        <w:gridCol w:w="1381"/>
        <w:gridCol w:w="1381"/>
        <w:gridCol w:w="1381"/>
        <w:gridCol w:w="1381"/>
        <w:gridCol w:w="1381"/>
        <w:gridCol w:w="1381"/>
        <w:gridCol w:w="1381"/>
      </w:tblGrid>
      <w:tr w14:paraId="1604BDD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1296" w:type="dxa"/>
            <w:tcBorders>
              <w:top w:val="single" w:color="auto" w:sz="12" w:space="0"/>
              <w:left w:val="nil"/>
              <w:bottom w:val="nil"/>
              <w:right w:val="nil"/>
            </w:tcBorders>
            <w:noWrap w:val="0"/>
            <w:tcMar>
              <w:top w:w="70" w:type="dxa"/>
              <w:left w:w="70" w:type="dxa"/>
              <w:bottom w:w="70" w:type="dxa"/>
              <w:right w:w="70" w:type="dxa"/>
            </w:tcMar>
            <w:vAlign w:val="center"/>
          </w:tcPr>
          <w:p w14:paraId="35845097">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Cohort</w:t>
            </w:r>
          </w:p>
        </w:tc>
        <w:tc>
          <w:tcPr>
            <w:tcW w:w="1037" w:type="dxa"/>
            <w:tcBorders>
              <w:top w:val="single" w:color="auto" w:sz="12" w:space="0"/>
              <w:left w:val="nil"/>
              <w:bottom w:val="nil"/>
              <w:right w:val="nil"/>
            </w:tcBorders>
            <w:noWrap w:val="0"/>
            <w:tcMar>
              <w:top w:w="70" w:type="dxa"/>
              <w:left w:w="70" w:type="dxa"/>
              <w:bottom w:w="70" w:type="dxa"/>
              <w:right w:w="70" w:type="dxa"/>
            </w:tcMar>
            <w:vAlign w:val="center"/>
          </w:tcPr>
          <w:p w14:paraId="18016B97">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N</w:t>
            </w:r>
          </w:p>
        </w:tc>
        <w:tc>
          <w:tcPr>
            <w:tcW w:w="1080" w:type="dxa"/>
            <w:tcBorders>
              <w:top w:val="single" w:color="auto" w:sz="12" w:space="0"/>
              <w:left w:val="nil"/>
              <w:bottom w:val="nil"/>
              <w:right w:val="nil"/>
            </w:tcBorders>
            <w:noWrap w:val="0"/>
            <w:tcMar>
              <w:top w:w="70" w:type="dxa"/>
              <w:left w:w="70" w:type="dxa"/>
              <w:bottom w:w="70" w:type="dxa"/>
              <w:right w:w="70" w:type="dxa"/>
            </w:tcMar>
            <w:vAlign w:val="center"/>
          </w:tcPr>
          <w:p w14:paraId="5F353403">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Cancer</w:t>
            </w:r>
          </w:p>
        </w:tc>
        <w:tc>
          <w:tcPr>
            <w:tcW w:w="1037" w:type="dxa"/>
            <w:tcBorders>
              <w:top w:val="single" w:color="auto" w:sz="12" w:space="0"/>
              <w:left w:val="nil"/>
              <w:bottom w:val="nil"/>
              <w:right w:val="nil"/>
            </w:tcBorders>
            <w:noWrap w:val="0"/>
            <w:tcMar>
              <w:top w:w="70" w:type="dxa"/>
              <w:left w:w="70" w:type="dxa"/>
              <w:bottom w:w="70" w:type="dxa"/>
              <w:right w:w="70" w:type="dxa"/>
            </w:tcMar>
            <w:vAlign w:val="center"/>
          </w:tcPr>
          <w:p w14:paraId="04A29BF6">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ICI</w:t>
            </w:r>
          </w:p>
        </w:tc>
        <w:tc>
          <w:tcPr>
            <w:tcW w:w="1656" w:type="dxa"/>
            <w:tcBorders>
              <w:top w:val="single" w:color="auto" w:sz="12" w:space="0"/>
              <w:left w:val="nil"/>
              <w:bottom w:val="nil"/>
              <w:right w:val="nil"/>
            </w:tcBorders>
            <w:noWrap w:val="0"/>
            <w:tcMar>
              <w:top w:w="70" w:type="dxa"/>
              <w:left w:w="70" w:type="dxa"/>
              <w:bottom w:w="70" w:type="dxa"/>
              <w:right w:w="70" w:type="dxa"/>
            </w:tcMar>
            <w:vAlign w:val="center"/>
          </w:tcPr>
          <w:p w14:paraId="3C3B2FF6">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Baseline thyroid requirement</w:t>
            </w:r>
          </w:p>
        </w:tc>
        <w:tc>
          <w:tcPr>
            <w:tcW w:w="1512" w:type="dxa"/>
            <w:tcBorders>
              <w:top w:val="single" w:color="auto" w:sz="12" w:space="0"/>
              <w:left w:val="nil"/>
              <w:bottom w:val="nil"/>
              <w:right w:val="nil"/>
            </w:tcBorders>
            <w:noWrap w:val="0"/>
            <w:tcMar>
              <w:top w:w="70" w:type="dxa"/>
              <w:left w:w="70" w:type="dxa"/>
              <w:bottom w:w="70" w:type="dxa"/>
              <w:right w:w="70" w:type="dxa"/>
            </w:tcMar>
            <w:vAlign w:val="center"/>
          </w:tcPr>
          <w:p w14:paraId="2D598B8E">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Monitoring</w:t>
            </w:r>
          </w:p>
        </w:tc>
        <w:tc>
          <w:tcPr>
            <w:tcW w:w="1656" w:type="dxa"/>
            <w:tcBorders>
              <w:top w:val="single" w:color="auto" w:sz="12" w:space="0"/>
              <w:left w:val="nil"/>
              <w:bottom w:val="nil"/>
              <w:right w:val="nil"/>
            </w:tcBorders>
            <w:noWrap w:val="0"/>
            <w:tcMar>
              <w:top w:w="70" w:type="dxa"/>
              <w:left w:w="70" w:type="dxa"/>
              <w:bottom w:w="70" w:type="dxa"/>
              <w:right w:w="70" w:type="dxa"/>
            </w:tcMar>
            <w:vAlign w:val="center"/>
          </w:tcPr>
          <w:p w14:paraId="6C69772F">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Event definition</w:t>
            </w:r>
          </w:p>
        </w:tc>
        <w:tc>
          <w:tcPr>
            <w:tcW w:w="1224" w:type="dxa"/>
            <w:tcBorders>
              <w:top w:val="single" w:color="auto" w:sz="12" w:space="0"/>
              <w:left w:val="nil"/>
              <w:bottom w:val="nil"/>
              <w:right w:val="nil"/>
            </w:tcBorders>
            <w:noWrap w:val="0"/>
            <w:tcMar>
              <w:top w:w="70" w:type="dxa"/>
              <w:left w:w="70" w:type="dxa"/>
              <w:bottom w:w="70" w:type="dxa"/>
              <w:right w:w="70" w:type="dxa"/>
            </w:tcMar>
            <w:vAlign w:val="center"/>
          </w:tcPr>
          <w:p w14:paraId="24CBDBD8">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Window</w:t>
            </w:r>
          </w:p>
        </w:tc>
        <w:tc>
          <w:tcPr>
            <w:tcW w:w="1512" w:type="dxa"/>
            <w:tcBorders>
              <w:top w:val="single" w:color="auto" w:sz="12" w:space="0"/>
              <w:left w:val="nil"/>
              <w:bottom w:val="nil"/>
              <w:right w:val="nil"/>
            </w:tcBorders>
            <w:noWrap w:val="0"/>
            <w:tcMar>
              <w:top w:w="70" w:type="dxa"/>
              <w:left w:w="70" w:type="dxa"/>
              <w:bottom w:w="70" w:type="dxa"/>
              <w:right w:w="70" w:type="dxa"/>
            </w:tcMar>
            <w:vAlign w:val="center"/>
          </w:tcPr>
          <w:p w14:paraId="7640BF81">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Reported event measure</w:t>
            </w:r>
          </w:p>
        </w:tc>
        <w:tc>
          <w:tcPr>
            <w:tcW w:w="1872" w:type="dxa"/>
            <w:tcBorders>
              <w:top w:val="single" w:color="auto" w:sz="12" w:space="0"/>
              <w:left w:val="nil"/>
              <w:bottom w:val="nil"/>
              <w:right w:val="nil"/>
            </w:tcBorders>
            <w:noWrap w:val="0"/>
            <w:tcMar>
              <w:top w:w="70" w:type="dxa"/>
              <w:left w:w="70" w:type="dxa"/>
              <w:bottom w:w="70" w:type="dxa"/>
              <w:right w:w="70" w:type="dxa"/>
            </w:tcMar>
            <w:vAlign w:val="center"/>
          </w:tcPr>
          <w:p w14:paraId="0C407586">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Subtype findings</w:t>
            </w:r>
          </w:p>
        </w:tc>
        <w:tc>
          <w:tcPr>
            <w:tcW w:w="1800" w:type="dxa"/>
            <w:tcBorders>
              <w:top w:val="single" w:color="auto" w:sz="12" w:space="0"/>
              <w:left w:val="nil"/>
              <w:bottom w:val="nil"/>
              <w:right w:val="nil"/>
            </w:tcBorders>
            <w:noWrap w:val="0"/>
            <w:tcMar>
              <w:top w:w="70" w:type="dxa"/>
              <w:left w:w="70" w:type="dxa"/>
              <w:bottom w:w="70" w:type="dxa"/>
              <w:right w:w="70" w:type="dxa"/>
            </w:tcMar>
            <w:vAlign w:val="center"/>
          </w:tcPr>
          <w:p w14:paraId="1C10A47B">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i w:val="0"/>
                <w:color w:val="000000"/>
                <w:sz w:val="18"/>
                <w:szCs w:val="18"/>
              </w:rPr>
              <w:t>Antibody findings</w:t>
            </w:r>
          </w:p>
        </w:tc>
      </w:tr>
      <w:tr w14:paraId="5B501E6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296" w:type="dxa"/>
            <w:tcBorders>
              <w:top w:val="single" w:color="auto" w:sz="4" w:space="0"/>
              <w:left w:val="nil"/>
              <w:bottom w:val="nil"/>
              <w:right w:val="nil"/>
            </w:tcBorders>
            <w:noWrap w:val="0"/>
            <w:tcMar>
              <w:top w:w="70" w:type="dxa"/>
              <w:left w:w="70" w:type="dxa"/>
              <w:bottom w:w="70" w:type="dxa"/>
              <w:right w:w="70" w:type="dxa"/>
            </w:tcMar>
            <w:vAlign w:val="center"/>
          </w:tcPr>
          <w:p w14:paraId="7362A9E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b w:val="0"/>
                <w:color w:val="000000"/>
                <w:sz w:val="18"/>
                <w:szCs w:val="18"/>
              </w:rPr>
              <w:t>Current study (China)</w:t>
            </w:r>
          </w:p>
        </w:tc>
        <w:tc>
          <w:tcPr>
            <w:tcW w:w="1037" w:type="dxa"/>
            <w:tcBorders>
              <w:top w:val="single" w:color="auto" w:sz="4" w:space="0"/>
              <w:left w:val="nil"/>
              <w:bottom w:val="nil"/>
              <w:right w:val="nil"/>
            </w:tcBorders>
            <w:noWrap w:val="0"/>
            <w:tcMar>
              <w:top w:w="70" w:type="dxa"/>
              <w:left w:w="70" w:type="dxa"/>
              <w:bottom w:w="70" w:type="dxa"/>
              <w:right w:w="70" w:type="dxa"/>
            </w:tcMar>
            <w:vAlign w:val="center"/>
          </w:tcPr>
          <w:p w14:paraId="62F3E33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b w:val="0"/>
                <w:color w:val="000000"/>
                <w:sz w:val="18"/>
                <w:szCs w:val="18"/>
              </w:rPr>
              <w:t>240 patients in the primary 365-day monitored cohort (source 2634; strict baseline-eligible 812; 365-day target population 627)</w:t>
            </w:r>
          </w:p>
        </w:tc>
        <w:tc>
          <w:tcPr>
            <w:tcW w:w="1080" w:type="dxa"/>
            <w:tcBorders>
              <w:top w:val="single" w:color="auto" w:sz="4" w:space="0"/>
              <w:left w:val="nil"/>
              <w:bottom w:val="nil"/>
              <w:right w:val="nil"/>
            </w:tcBorders>
            <w:noWrap w:val="0"/>
            <w:tcMar>
              <w:top w:w="70" w:type="dxa"/>
              <w:left w:w="70" w:type="dxa"/>
              <w:bottom w:w="70" w:type="dxa"/>
              <w:right w:w="70" w:type="dxa"/>
            </w:tcMar>
            <w:vAlign w:val="center"/>
          </w:tcPr>
          <w:p w14:paraId="702985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Pan-cancer</w:t>
            </w:r>
          </w:p>
        </w:tc>
        <w:tc>
          <w:tcPr>
            <w:tcW w:w="1037" w:type="dxa"/>
            <w:tcBorders>
              <w:top w:val="single" w:color="auto" w:sz="4" w:space="0"/>
              <w:left w:val="nil"/>
              <w:bottom w:val="nil"/>
              <w:right w:val="nil"/>
            </w:tcBorders>
            <w:noWrap w:val="0"/>
            <w:tcMar>
              <w:top w:w="70" w:type="dxa"/>
              <w:left w:w="70" w:type="dxa"/>
              <w:bottom w:w="70" w:type="dxa"/>
              <w:right w:w="70" w:type="dxa"/>
            </w:tcMar>
            <w:vAlign w:val="center"/>
          </w:tcPr>
          <w:p w14:paraId="599EF58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PD-1 inhibitor</w:t>
            </w:r>
          </w:p>
        </w:tc>
        <w:tc>
          <w:tcPr>
            <w:tcW w:w="1656" w:type="dxa"/>
            <w:tcBorders>
              <w:top w:val="single" w:color="auto" w:sz="4" w:space="0"/>
              <w:left w:val="nil"/>
              <w:bottom w:val="nil"/>
              <w:right w:val="nil"/>
            </w:tcBorders>
            <w:noWrap w:val="0"/>
            <w:tcMar>
              <w:top w:w="70" w:type="dxa"/>
              <w:left w:w="70" w:type="dxa"/>
              <w:bottom w:w="70" w:type="dxa"/>
              <w:right w:w="70" w:type="dxa"/>
            </w:tcMar>
            <w:vAlign w:val="center"/>
          </w:tcPr>
          <w:p w14:paraId="763ADFE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Most recent qualifying pre-infusion TSH+FT4 pair normal in Days −90 to 0; no prior thyroid/pituitary evidence</w:t>
            </w:r>
          </w:p>
        </w:tc>
        <w:tc>
          <w:tcPr>
            <w:tcW w:w="1512" w:type="dxa"/>
            <w:tcBorders>
              <w:top w:val="single" w:color="auto" w:sz="4" w:space="0"/>
              <w:left w:val="nil"/>
              <w:bottom w:val="nil"/>
              <w:right w:val="nil"/>
            </w:tcBorders>
            <w:noWrap w:val="0"/>
            <w:tcMar>
              <w:top w:w="70" w:type="dxa"/>
              <w:left w:w="70" w:type="dxa"/>
              <w:bottom w:w="70" w:type="dxa"/>
              <w:right w:w="70" w:type="dxa"/>
            </w:tcMar>
            <w:vAlign w:val="center"/>
          </w:tcPr>
          <w:p w14:paraId="0726993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Real-world, irregular; full 365-day administrative follow-up opportunity required for the target population</w:t>
            </w:r>
          </w:p>
        </w:tc>
        <w:tc>
          <w:tcPr>
            <w:tcW w:w="1656" w:type="dxa"/>
            <w:tcBorders>
              <w:top w:val="single" w:color="auto" w:sz="4" w:space="0"/>
              <w:left w:val="nil"/>
              <w:bottom w:val="nil"/>
              <w:right w:val="nil"/>
            </w:tcBorders>
            <w:noWrap w:val="0"/>
            <w:tcMar>
              <w:top w:w="70" w:type="dxa"/>
              <w:left w:w="70" w:type="dxa"/>
              <w:bottom w:w="70" w:type="dxa"/>
              <w:right w:w="70" w:type="dxa"/>
            </w:tcMar>
            <w:vAlign w:val="center"/>
          </w:tcPr>
          <w:p w14:paraId="4BE783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Prespecified clinical-biochemical screening followed by clinical adjudication; four mutually exclusive adjudicated subtypes</w:t>
            </w:r>
          </w:p>
        </w:tc>
        <w:tc>
          <w:tcPr>
            <w:tcW w:w="1224" w:type="dxa"/>
            <w:tcBorders>
              <w:top w:val="single" w:color="auto" w:sz="4" w:space="0"/>
              <w:left w:val="nil"/>
              <w:bottom w:val="nil"/>
              <w:right w:val="nil"/>
            </w:tcBorders>
            <w:noWrap w:val="0"/>
            <w:tcMar>
              <w:top w:w="70" w:type="dxa"/>
              <w:left w:w="70" w:type="dxa"/>
              <w:bottom w:w="70" w:type="dxa"/>
              <w:right w:w="70" w:type="dxa"/>
            </w:tcMar>
            <w:vAlign w:val="center"/>
          </w:tcPr>
          <w:p w14:paraId="0CFE611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Primary Days 1–365 in the primary monitored cohort; all follow-up in the broader monitored cohort</w:t>
            </w:r>
          </w:p>
        </w:tc>
        <w:tc>
          <w:tcPr>
            <w:tcW w:w="1512" w:type="dxa"/>
            <w:tcBorders>
              <w:top w:val="single" w:color="auto" w:sz="4" w:space="0"/>
              <w:left w:val="nil"/>
              <w:bottom w:val="nil"/>
              <w:right w:val="nil"/>
            </w:tcBorders>
            <w:noWrap w:val="0"/>
            <w:tcMar>
              <w:top w:w="70" w:type="dxa"/>
              <w:left w:w="70" w:type="dxa"/>
              <w:bottom w:w="70" w:type="dxa"/>
              <w:right w:w="70" w:type="dxa"/>
            </w:tcMar>
            <w:vAlign w:val="center"/>
          </w:tcPr>
          <w:p w14:paraId="5D807C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Observed primary 365-day event proportion: 30/240 (12.5%); all-follow-up: 35/273 (12.8%)</w:t>
            </w:r>
          </w:p>
        </w:tc>
        <w:tc>
          <w:tcPr>
            <w:tcW w:w="1872" w:type="dxa"/>
            <w:tcBorders>
              <w:top w:val="single" w:color="auto" w:sz="4" w:space="0"/>
              <w:left w:val="nil"/>
              <w:bottom w:val="nil"/>
              <w:right w:val="nil"/>
            </w:tcBorders>
            <w:noWrap w:val="0"/>
            <w:tcMar>
              <w:top w:w="70" w:type="dxa"/>
              <w:left w:w="70" w:type="dxa"/>
              <w:bottom w:w="70" w:type="dxa"/>
              <w:right w:w="70" w:type="dxa"/>
            </w:tcMar>
            <w:vAlign w:val="center"/>
          </w:tcPr>
          <w:p w14:paraId="0268E1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Primary 365-day subtypes: primary hypothyroidism 18; thyrotoxicosis without a recorded subsequent hypothyroid phase 4; supported TSH &gt;10 hypothyroidism 2; thyroiditis trajectory 6</w:t>
            </w:r>
          </w:p>
        </w:tc>
        <w:tc>
          <w:tcPr>
            <w:tcW w:w="1800" w:type="dxa"/>
            <w:tcBorders>
              <w:top w:val="single" w:color="auto" w:sz="4" w:space="0"/>
              <w:left w:val="nil"/>
              <w:bottom w:val="nil"/>
              <w:right w:val="nil"/>
            </w:tcBorders>
            <w:noWrap w:val="0"/>
            <w:tcMar>
              <w:top w:w="70" w:type="dxa"/>
              <w:left w:w="70" w:type="dxa"/>
              <w:bottom w:w="70" w:type="dxa"/>
              <w:right w:w="70" w:type="dxa"/>
            </w:tcMar>
            <w:vAlign w:val="center"/>
          </w:tcPr>
          <w:p w14:paraId="00EBFA0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b w:val="0"/>
                <w:color w:val="000000"/>
                <w:sz w:val="18"/>
                <w:szCs w:val="18"/>
              </w:rPr>
              <w:t>Pre-ICI TgAb/TPOAb: 24/239 positive; univariable OR 8.73</w:t>
            </w:r>
          </w:p>
        </w:tc>
      </w:tr>
      <w:tr w14:paraId="379BBB7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296" w:type="dxa"/>
            <w:tcBorders>
              <w:top w:val="nil"/>
              <w:left w:val="nil"/>
              <w:bottom w:val="nil"/>
              <w:right w:val="nil"/>
            </w:tcBorders>
            <w:noWrap w:val="0"/>
            <w:tcMar>
              <w:top w:w="70" w:type="dxa"/>
              <w:left w:w="70" w:type="dxa"/>
              <w:bottom w:w="70" w:type="dxa"/>
              <w:right w:w="70" w:type="dxa"/>
            </w:tcMar>
            <w:vAlign w:val="center"/>
          </w:tcPr>
          <w:p w14:paraId="3E9F24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Kennedy et al., UK, 2024</w:t>
            </w:r>
          </w:p>
        </w:tc>
        <w:tc>
          <w:tcPr>
            <w:tcW w:w="1037" w:type="dxa"/>
            <w:tcBorders>
              <w:top w:val="nil"/>
              <w:left w:val="nil"/>
              <w:bottom w:val="nil"/>
              <w:right w:val="nil"/>
            </w:tcBorders>
            <w:noWrap w:val="0"/>
            <w:tcMar>
              <w:top w:w="70" w:type="dxa"/>
              <w:left w:w="70" w:type="dxa"/>
              <w:bottom w:w="70" w:type="dxa"/>
              <w:right w:w="70" w:type="dxa"/>
            </w:tcMar>
            <w:vAlign w:val="center"/>
          </w:tcPr>
          <w:p w14:paraId="0AE742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1349</w:t>
            </w:r>
          </w:p>
        </w:tc>
        <w:tc>
          <w:tcPr>
            <w:tcW w:w="1080" w:type="dxa"/>
            <w:tcBorders>
              <w:top w:val="nil"/>
              <w:left w:val="nil"/>
              <w:bottom w:val="nil"/>
              <w:right w:val="nil"/>
            </w:tcBorders>
            <w:noWrap w:val="0"/>
            <w:tcMar>
              <w:top w:w="70" w:type="dxa"/>
              <w:left w:w="70" w:type="dxa"/>
              <w:bottom w:w="70" w:type="dxa"/>
              <w:right w:w="70" w:type="dxa"/>
            </w:tcMar>
            <w:vAlign w:val="center"/>
          </w:tcPr>
          <w:p w14:paraId="7186CB9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Pan-cancer</w:t>
            </w:r>
          </w:p>
        </w:tc>
        <w:tc>
          <w:tcPr>
            <w:tcW w:w="1037" w:type="dxa"/>
            <w:tcBorders>
              <w:top w:val="nil"/>
              <w:left w:val="nil"/>
              <w:bottom w:val="nil"/>
              <w:right w:val="nil"/>
            </w:tcBorders>
            <w:noWrap w:val="0"/>
            <w:tcMar>
              <w:top w:w="70" w:type="dxa"/>
              <w:left w:w="70" w:type="dxa"/>
              <w:bottom w:w="70" w:type="dxa"/>
              <w:right w:w="70" w:type="dxa"/>
            </w:tcMar>
            <w:vAlign w:val="center"/>
          </w:tcPr>
          <w:p w14:paraId="6F99C49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Multiple ICI regimens</w:t>
            </w:r>
          </w:p>
        </w:tc>
        <w:tc>
          <w:tcPr>
            <w:tcW w:w="1656" w:type="dxa"/>
            <w:tcBorders>
              <w:top w:val="nil"/>
              <w:left w:val="nil"/>
              <w:bottom w:val="nil"/>
              <w:right w:val="nil"/>
            </w:tcBorders>
            <w:noWrap w:val="0"/>
            <w:tcMar>
              <w:top w:w="70" w:type="dxa"/>
              <w:left w:w="70" w:type="dxa"/>
              <w:bottom w:w="70" w:type="dxa"/>
              <w:right w:w="70" w:type="dxa"/>
            </w:tcMar>
            <w:vAlign w:val="center"/>
          </w:tcPr>
          <w:p w14:paraId="681B8F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Normal baseline TSH and fT4</w:t>
            </w:r>
          </w:p>
        </w:tc>
        <w:tc>
          <w:tcPr>
            <w:tcW w:w="1512" w:type="dxa"/>
            <w:tcBorders>
              <w:top w:val="nil"/>
              <w:left w:val="nil"/>
              <w:bottom w:val="nil"/>
              <w:right w:val="nil"/>
            </w:tcBorders>
            <w:noWrap w:val="0"/>
            <w:tcMar>
              <w:top w:w="70" w:type="dxa"/>
              <w:left w:w="70" w:type="dxa"/>
              <w:bottom w:w="70" w:type="dxa"/>
              <w:right w:w="70" w:type="dxa"/>
            </w:tcMar>
            <w:vAlign w:val="center"/>
          </w:tcPr>
          <w:p w14:paraId="0C3C3A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Before treatment and at visits; usually no less frequent than every 3 months</w:t>
            </w:r>
          </w:p>
        </w:tc>
        <w:tc>
          <w:tcPr>
            <w:tcW w:w="1656" w:type="dxa"/>
            <w:tcBorders>
              <w:top w:val="nil"/>
              <w:left w:val="nil"/>
              <w:bottom w:val="nil"/>
              <w:right w:val="nil"/>
            </w:tcBorders>
            <w:noWrap w:val="0"/>
            <w:tcMar>
              <w:top w:w="70" w:type="dxa"/>
              <w:left w:w="70" w:type="dxa"/>
              <w:bottom w:w="70" w:type="dxa"/>
              <w:right w:w="70" w:type="dxa"/>
            </w:tcMar>
            <w:vAlign w:val="center"/>
          </w:tcPr>
          <w:p w14:paraId="50BC4D1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Biochemical hyper-/hypothyroidism; overt status defined using fT4</w:t>
            </w:r>
          </w:p>
        </w:tc>
        <w:tc>
          <w:tcPr>
            <w:tcW w:w="1224" w:type="dxa"/>
            <w:tcBorders>
              <w:top w:val="nil"/>
              <w:left w:val="nil"/>
              <w:bottom w:val="nil"/>
              <w:right w:val="nil"/>
            </w:tcBorders>
            <w:noWrap w:val="0"/>
            <w:tcMar>
              <w:top w:w="70" w:type="dxa"/>
              <w:left w:w="70" w:type="dxa"/>
              <w:bottom w:w="70" w:type="dxa"/>
              <w:right w:w="70" w:type="dxa"/>
            </w:tcMar>
            <w:vAlign w:val="center"/>
          </w:tcPr>
          <w:p w14:paraId="7021D9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Median follow-up 22.2 months</w:t>
            </w:r>
          </w:p>
        </w:tc>
        <w:tc>
          <w:tcPr>
            <w:tcW w:w="1512" w:type="dxa"/>
            <w:tcBorders>
              <w:top w:val="nil"/>
              <w:left w:val="nil"/>
              <w:bottom w:val="nil"/>
              <w:right w:val="nil"/>
            </w:tcBorders>
            <w:noWrap w:val="0"/>
            <w:tcMar>
              <w:top w:w="70" w:type="dxa"/>
              <w:left w:w="70" w:type="dxa"/>
              <w:bottom w:w="70" w:type="dxa"/>
              <w:right w:w="70" w:type="dxa"/>
            </w:tcMar>
            <w:vAlign w:val="center"/>
          </w:tcPr>
          <w:p w14:paraId="461AF62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Any hyperthyroidism 34.2%; overt 10.3%; any hypothyroidism 28.2%</w:t>
            </w:r>
          </w:p>
        </w:tc>
        <w:tc>
          <w:tcPr>
            <w:tcW w:w="1872" w:type="dxa"/>
            <w:tcBorders>
              <w:top w:val="nil"/>
              <w:left w:val="nil"/>
              <w:bottom w:val="nil"/>
              <w:right w:val="nil"/>
            </w:tcBorders>
            <w:noWrap w:val="0"/>
            <w:tcMar>
              <w:top w:w="70" w:type="dxa"/>
              <w:left w:w="70" w:type="dxa"/>
              <w:bottom w:w="70" w:type="dxa"/>
              <w:right w:w="70" w:type="dxa"/>
            </w:tcMar>
            <w:vAlign w:val="center"/>
          </w:tcPr>
          <w:p w14:paraId="12F127E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Overt primary hypothyroidism 9.3%; secondary hypothyroidism 0.5%</w:t>
            </w:r>
          </w:p>
        </w:tc>
        <w:tc>
          <w:tcPr>
            <w:tcW w:w="1800" w:type="dxa"/>
            <w:tcBorders>
              <w:top w:val="nil"/>
              <w:left w:val="nil"/>
              <w:bottom w:val="nil"/>
              <w:right w:val="nil"/>
            </w:tcBorders>
            <w:noWrap w:val="0"/>
            <w:tcMar>
              <w:top w:w="70" w:type="dxa"/>
              <w:left w:w="70" w:type="dxa"/>
              <w:bottom w:w="70" w:type="dxa"/>
              <w:right w:w="70" w:type="dxa"/>
            </w:tcMar>
            <w:vAlign w:val="center"/>
          </w:tcPr>
          <w:p w14:paraId="0A11C50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Antibody-positive prevalence could not be estimated because testing was not systematic</w:t>
            </w:r>
          </w:p>
        </w:tc>
      </w:tr>
      <w:tr w14:paraId="55EF81D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296" w:type="dxa"/>
            <w:tcBorders>
              <w:top w:val="nil"/>
              <w:left w:val="nil"/>
              <w:bottom w:val="nil"/>
              <w:right w:val="nil"/>
            </w:tcBorders>
            <w:noWrap w:val="0"/>
            <w:tcMar>
              <w:top w:w="70" w:type="dxa"/>
              <w:left w:w="70" w:type="dxa"/>
              <w:bottom w:w="70" w:type="dxa"/>
              <w:right w:w="70" w:type="dxa"/>
            </w:tcMar>
            <w:vAlign w:val="center"/>
          </w:tcPr>
          <w:p w14:paraId="0B36DC2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Kimbara et al., Japan, 2018</w:t>
            </w:r>
          </w:p>
        </w:tc>
        <w:tc>
          <w:tcPr>
            <w:tcW w:w="1037" w:type="dxa"/>
            <w:tcBorders>
              <w:top w:val="nil"/>
              <w:left w:val="nil"/>
              <w:bottom w:val="nil"/>
              <w:right w:val="nil"/>
            </w:tcBorders>
            <w:noWrap w:val="0"/>
            <w:tcMar>
              <w:top w:w="70" w:type="dxa"/>
              <w:left w:w="70" w:type="dxa"/>
              <w:bottom w:w="70" w:type="dxa"/>
              <w:right w:w="70" w:type="dxa"/>
            </w:tcMar>
            <w:vAlign w:val="center"/>
          </w:tcPr>
          <w:p w14:paraId="3C9E36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168</w:t>
            </w:r>
          </w:p>
        </w:tc>
        <w:tc>
          <w:tcPr>
            <w:tcW w:w="1080" w:type="dxa"/>
            <w:tcBorders>
              <w:top w:val="nil"/>
              <w:left w:val="nil"/>
              <w:bottom w:val="nil"/>
              <w:right w:val="nil"/>
            </w:tcBorders>
            <w:noWrap w:val="0"/>
            <w:tcMar>
              <w:top w:w="70" w:type="dxa"/>
              <w:left w:w="70" w:type="dxa"/>
              <w:bottom w:w="70" w:type="dxa"/>
              <w:right w:w="70" w:type="dxa"/>
            </w:tcMar>
            <w:vAlign w:val="center"/>
          </w:tcPr>
          <w:p w14:paraId="718987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Advanced/recurrent solid tumours</w:t>
            </w:r>
          </w:p>
        </w:tc>
        <w:tc>
          <w:tcPr>
            <w:tcW w:w="1037" w:type="dxa"/>
            <w:tcBorders>
              <w:top w:val="nil"/>
              <w:left w:val="nil"/>
              <w:bottom w:val="nil"/>
              <w:right w:val="nil"/>
            </w:tcBorders>
            <w:noWrap w:val="0"/>
            <w:tcMar>
              <w:top w:w="70" w:type="dxa"/>
              <w:left w:w="70" w:type="dxa"/>
              <w:bottom w:w="70" w:type="dxa"/>
              <w:right w:w="70" w:type="dxa"/>
            </w:tcMar>
            <w:vAlign w:val="center"/>
          </w:tcPr>
          <w:p w14:paraId="4E5E82B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Nivolumab</w:t>
            </w:r>
          </w:p>
        </w:tc>
        <w:tc>
          <w:tcPr>
            <w:tcW w:w="1656" w:type="dxa"/>
            <w:tcBorders>
              <w:top w:val="nil"/>
              <w:left w:val="nil"/>
              <w:bottom w:val="nil"/>
              <w:right w:val="nil"/>
            </w:tcBorders>
            <w:noWrap w:val="0"/>
            <w:tcMar>
              <w:top w:w="70" w:type="dxa"/>
              <w:left w:w="70" w:type="dxa"/>
              <w:bottom w:w="70" w:type="dxa"/>
              <w:right w:w="70" w:type="dxa"/>
            </w:tcMar>
            <w:vAlign w:val="center"/>
          </w:tcPr>
          <w:p w14:paraId="3C0D07E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Baseline thyroid function and antibodies measured; baseline thyroid dysfunction excluded</w:t>
            </w:r>
          </w:p>
        </w:tc>
        <w:tc>
          <w:tcPr>
            <w:tcW w:w="1512" w:type="dxa"/>
            <w:tcBorders>
              <w:top w:val="nil"/>
              <w:left w:val="nil"/>
              <w:bottom w:val="nil"/>
              <w:right w:val="nil"/>
            </w:tcBorders>
            <w:noWrap w:val="0"/>
            <w:tcMar>
              <w:top w:w="70" w:type="dxa"/>
              <w:left w:w="70" w:type="dxa"/>
              <w:bottom w:w="70" w:type="dxa"/>
              <w:right w:w="70" w:type="dxa"/>
            </w:tcMar>
            <w:vAlign w:val="center"/>
          </w:tcPr>
          <w:p w14:paraId="6D5A6FB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Thyroid function every 1–2 months</w:t>
            </w:r>
          </w:p>
        </w:tc>
        <w:tc>
          <w:tcPr>
            <w:tcW w:w="1656" w:type="dxa"/>
            <w:tcBorders>
              <w:top w:val="nil"/>
              <w:left w:val="nil"/>
              <w:bottom w:val="nil"/>
              <w:right w:val="nil"/>
            </w:tcBorders>
            <w:noWrap w:val="0"/>
            <w:tcMar>
              <w:top w:w="70" w:type="dxa"/>
              <w:left w:w="70" w:type="dxa"/>
              <w:bottom w:w="70" w:type="dxa"/>
              <w:right w:w="70" w:type="dxa"/>
            </w:tcMar>
            <w:vAlign w:val="center"/>
          </w:tcPr>
          <w:p w14:paraId="37E7E68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Overt thyroid dysfunction based on TSH with FT4/FT3 abnormality</w:t>
            </w:r>
          </w:p>
        </w:tc>
        <w:tc>
          <w:tcPr>
            <w:tcW w:w="1224" w:type="dxa"/>
            <w:tcBorders>
              <w:top w:val="nil"/>
              <w:left w:val="nil"/>
              <w:bottom w:val="nil"/>
              <w:right w:val="nil"/>
            </w:tcBorders>
            <w:noWrap w:val="0"/>
            <w:tcMar>
              <w:top w:w="70" w:type="dxa"/>
              <w:left w:w="70" w:type="dxa"/>
              <w:bottom w:w="70" w:type="dxa"/>
              <w:right w:w="70" w:type="dxa"/>
            </w:tcMar>
            <w:vAlign w:val="center"/>
          </w:tcPr>
          <w:p w14:paraId="43445C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During nivolumab treatment/follow-up</w:t>
            </w:r>
          </w:p>
        </w:tc>
        <w:tc>
          <w:tcPr>
            <w:tcW w:w="1512" w:type="dxa"/>
            <w:tcBorders>
              <w:top w:val="nil"/>
              <w:left w:val="nil"/>
              <w:bottom w:val="nil"/>
              <w:right w:val="nil"/>
            </w:tcBorders>
            <w:noWrap w:val="0"/>
            <w:tcMar>
              <w:top w:w="70" w:type="dxa"/>
              <w:left w:w="70" w:type="dxa"/>
              <w:bottom w:w="70" w:type="dxa"/>
              <w:right w:w="70" w:type="dxa"/>
            </w:tcMar>
            <w:vAlign w:val="center"/>
          </w:tcPr>
          <w:p w14:paraId="012873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23/168 (13.7%)</w:t>
            </w:r>
          </w:p>
        </w:tc>
        <w:tc>
          <w:tcPr>
            <w:tcW w:w="1872" w:type="dxa"/>
            <w:tcBorders>
              <w:top w:val="nil"/>
              <w:left w:val="nil"/>
              <w:bottom w:val="nil"/>
              <w:right w:val="nil"/>
            </w:tcBorders>
            <w:noWrap w:val="0"/>
            <w:tcMar>
              <w:top w:w="70" w:type="dxa"/>
              <w:left w:w="70" w:type="dxa"/>
              <w:bottom w:w="70" w:type="dxa"/>
              <w:right w:w="70" w:type="dxa"/>
            </w:tcMar>
            <w:vAlign w:val="center"/>
          </w:tcPr>
          <w:p w14:paraId="1EA819B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17 hypothyroidism; 20 thyrotoxicosis; 14 transitioned (categories overlap)</w:t>
            </w:r>
          </w:p>
        </w:tc>
        <w:tc>
          <w:tcPr>
            <w:tcW w:w="1800" w:type="dxa"/>
            <w:tcBorders>
              <w:top w:val="nil"/>
              <w:left w:val="nil"/>
              <w:bottom w:val="nil"/>
              <w:right w:val="nil"/>
            </w:tcBorders>
            <w:noWrap w:val="0"/>
            <w:tcMar>
              <w:top w:w="70" w:type="dxa"/>
              <w:left w:w="70" w:type="dxa"/>
              <w:bottom w:w="70" w:type="dxa"/>
              <w:right w:w="70" w:type="dxa"/>
            </w:tcMar>
            <w:vAlign w:val="center"/>
          </w:tcPr>
          <w:p w14:paraId="0B60AD1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Baseline thyroid autoantibodies 14/35 vs 9/133; reported OR 9.19</w:t>
            </w:r>
          </w:p>
        </w:tc>
      </w:tr>
      <w:tr w14:paraId="35F0580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296" w:type="dxa"/>
            <w:tcBorders>
              <w:top w:val="nil"/>
              <w:left w:val="nil"/>
              <w:bottom w:val="nil"/>
              <w:right w:val="nil"/>
            </w:tcBorders>
            <w:noWrap w:val="0"/>
            <w:tcMar>
              <w:top w:w="70" w:type="dxa"/>
              <w:left w:w="70" w:type="dxa"/>
              <w:bottom w:w="70" w:type="dxa"/>
              <w:right w:w="70" w:type="dxa"/>
            </w:tcMar>
            <w:vAlign w:val="center"/>
          </w:tcPr>
          <w:p w14:paraId="2057F7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Zhang et al., China, 2023</w:t>
            </w:r>
          </w:p>
        </w:tc>
        <w:tc>
          <w:tcPr>
            <w:tcW w:w="1037" w:type="dxa"/>
            <w:tcBorders>
              <w:top w:val="nil"/>
              <w:left w:val="nil"/>
              <w:bottom w:val="nil"/>
              <w:right w:val="nil"/>
            </w:tcBorders>
            <w:noWrap w:val="0"/>
            <w:tcMar>
              <w:top w:w="70" w:type="dxa"/>
              <w:left w:w="70" w:type="dxa"/>
              <w:bottom w:w="70" w:type="dxa"/>
              <w:right w:w="70" w:type="dxa"/>
            </w:tcMar>
            <w:vAlign w:val="center"/>
          </w:tcPr>
          <w:p w14:paraId="63292FF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560</w:t>
            </w:r>
          </w:p>
        </w:tc>
        <w:tc>
          <w:tcPr>
            <w:tcW w:w="1080" w:type="dxa"/>
            <w:tcBorders>
              <w:top w:val="nil"/>
              <w:left w:val="nil"/>
              <w:bottom w:val="nil"/>
              <w:right w:val="nil"/>
            </w:tcBorders>
            <w:noWrap w:val="0"/>
            <w:tcMar>
              <w:top w:w="70" w:type="dxa"/>
              <w:left w:w="70" w:type="dxa"/>
              <w:bottom w:w="70" w:type="dxa"/>
              <w:right w:w="70" w:type="dxa"/>
            </w:tcMar>
            <w:vAlign w:val="center"/>
          </w:tcPr>
          <w:p w14:paraId="3D18DA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Pan-cancer</w:t>
            </w:r>
          </w:p>
        </w:tc>
        <w:tc>
          <w:tcPr>
            <w:tcW w:w="1037" w:type="dxa"/>
            <w:tcBorders>
              <w:top w:val="nil"/>
              <w:left w:val="nil"/>
              <w:bottom w:val="nil"/>
              <w:right w:val="nil"/>
            </w:tcBorders>
            <w:noWrap w:val="0"/>
            <w:tcMar>
              <w:top w:w="70" w:type="dxa"/>
              <w:left w:w="70" w:type="dxa"/>
              <w:bottom w:w="70" w:type="dxa"/>
              <w:right w:w="70" w:type="dxa"/>
            </w:tcMar>
            <w:vAlign w:val="center"/>
          </w:tcPr>
          <w:p w14:paraId="562A8E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PD-1/PD-L1 inhibitors</w:t>
            </w:r>
          </w:p>
        </w:tc>
        <w:tc>
          <w:tcPr>
            <w:tcW w:w="1656" w:type="dxa"/>
            <w:tcBorders>
              <w:top w:val="nil"/>
              <w:left w:val="nil"/>
              <w:bottom w:val="nil"/>
              <w:right w:val="nil"/>
            </w:tcBorders>
            <w:noWrap w:val="0"/>
            <w:tcMar>
              <w:top w:w="70" w:type="dxa"/>
              <w:left w:w="70" w:type="dxa"/>
              <w:bottom w:w="70" w:type="dxa"/>
              <w:right w:w="70" w:type="dxa"/>
            </w:tcMar>
            <w:vAlign w:val="center"/>
          </w:tcPr>
          <w:p w14:paraId="3685C1F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Normal baseline thyroid function</w:t>
            </w:r>
          </w:p>
        </w:tc>
        <w:tc>
          <w:tcPr>
            <w:tcW w:w="1512" w:type="dxa"/>
            <w:tcBorders>
              <w:top w:val="nil"/>
              <w:left w:val="nil"/>
              <w:bottom w:val="nil"/>
              <w:right w:val="nil"/>
            </w:tcBorders>
            <w:noWrap w:val="0"/>
            <w:tcMar>
              <w:top w:w="70" w:type="dxa"/>
              <w:left w:w="70" w:type="dxa"/>
              <w:bottom w:w="70" w:type="dxa"/>
              <w:right w:w="70" w:type="dxa"/>
            </w:tcMar>
            <w:vAlign w:val="center"/>
          </w:tcPr>
          <w:p w14:paraId="3B24430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Every 2–3 weeks</w:t>
            </w:r>
          </w:p>
        </w:tc>
        <w:tc>
          <w:tcPr>
            <w:tcW w:w="1656" w:type="dxa"/>
            <w:tcBorders>
              <w:top w:val="nil"/>
              <w:left w:val="nil"/>
              <w:bottom w:val="nil"/>
              <w:right w:val="nil"/>
            </w:tcBorders>
            <w:noWrap w:val="0"/>
            <w:tcMar>
              <w:top w:w="70" w:type="dxa"/>
              <w:left w:w="70" w:type="dxa"/>
              <w:bottom w:w="70" w:type="dxa"/>
              <w:right w:w="70" w:type="dxa"/>
            </w:tcMar>
            <w:vAlign w:val="center"/>
          </w:tcPr>
          <w:p w14:paraId="3CDC9E4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Clinical and subclinical thyroid dysfunction based on TSH/FT4</w:t>
            </w:r>
          </w:p>
        </w:tc>
        <w:tc>
          <w:tcPr>
            <w:tcW w:w="1224" w:type="dxa"/>
            <w:tcBorders>
              <w:top w:val="nil"/>
              <w:left w:val="nil"/>
              <w:bottom w:val="nil"/>
              <w:right w:val="nil"/>
            </w:tcBorders>
            <w:noWrap w:val="0"/>
            <w:tcMar>
              <w:top w:w="70" w:type="dxa"/>
              <w:left w:w="70" w:type="dxa"/>
              <w:bottom w:w="70" w:type="dxa"/>
              <w:right w:w="70" w:type="dxa"/>
            </w:tcMar>
            <w:vAlign w:val="center"/>
          </w:tcPr>
          <w:p w14:paraId="1A4B1F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Study follow-up as reported</w:t>
            </w:r>
          </w:p>
        </w:tc>
        <w:tc>
          <w:tcPr>
            <w:tcW w:w="1512" w:type="dxa"/>
            <w:tcBorders>
              <w:top w:val="nil"/>
              <w:left w:val="nil"/>
              <w:bottom w:val="nil"/>
              <w:right w:val="nil"/>
            </w:tcBorders>
            <w:noWrap w:val="0"/>
            <w:tcMar>
              <w:top w:w="70" w:type="dxa"/>
              <w:left w:w="70" w:type="dxa"/>
              <w:bottom w:w="70" w:type="dxa"/>
              <w:right w:w="70" w:type="dxa"/>
            </w:tcMar>
            <w:vAlign w:val="center"/>
          </w:tcPr>
          <w:p w14:paraId="1A90043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284/560 (50.7%)</w:t>
            </w:r>
          </w:p>
        </w:tc>
        <w:tc>
          <w:tcPr>
            <w:tcW w:w="1872" w:type="dxa"/>
            <w:tcBorders>
              <w:top w:val="nil"/>
              <w:left w:val="nil"/>
              <w:bottom w:val="nil"/>
              <w:right w:val="nil"/>
            </w:tcBorders>
            <w:noWrap w:val="0"/>
            <w:tcMar>
              <w:top w:w="70" w:type="dxa"/>
              <w:left w:w="70" w:type="dxa"/>
              <w:bottom w:w="70" w:type="dxa"/>
              <w:right w:w="70" w:type="dxa"/>
            </w:tcMar>
            <w:vAlign w:val="center"/>
          </w:tcPr>
          <w:p w14:paraId="13C2299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Clinical hypo 62; subclinical hypo 117; clinical thyrotoxicosis 87; subclinical 18</w:t>
            </w:r>
          </w:p>
        </w:tc>
        <w:tc>
          <w:tcPr>
            <w:tcW w:w="1800" w:type="dxa"/>
            <w:tcBorders>
              <w:top w:val="nil"/>
              <w:left w:val="nil"/>
              <w:bottom w:val="nil"/>
              <w:right w:val="nil"/>
            </w:tcBorders>
            <w:noWrap w:val="0"/>
            <w:tcMar>
              <w:top w:w="70" w:type="dxa"/>
              <w:left w:w="70" w:type="dxa"/>
              <w:bottom w:w="70" w:type="dxa"/>
              <w:right w:w="70" w:type="dxa"/>
            </w:tcMar>
            <w:vAlign w:val="center"/>
          </w:tcPr>
          <w:p w14:paraId="4A6089F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Antibodies measured in 121: dysfunction 30/32 positive vs 21/89 negative</w:t>
            </w:r>
          </w:p>
        </w:tc>
      </w:tr>
      <w:tr w14:paraId="295AD67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296" w:type="dxa"/>
            <w:tcBorders>
              <w:top w:val="nil"/>
              <w:left w:val="nil"/>
              <w:bottom w:val="single" w:color="auto" w:sz="12" w:space="0"/>
              <w:right w:val="nil"/>
            </w:tcBorders>
            <w:noWrap w:val="0"/>
            <w:tcMar>
              <w:top w:w="70" w:type="dxa"/>
              <w:left w:w="70" w:type="dxa"/>
              <w:bottom w:w="70" w:type="dxa"/>
              <w:right w:w="70" w:type="dxa"/>
            </w:tcMar>
            <w:vAlign w:val="center"/>
          </w:tcPr>
          <w:p w14:paraId="195C3F3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Yoon et al., Korea, 2021</w:t>
            </w:r>
          </w:p>
        </w:tc>
        <w:tc>
          <w:tcPr>
            <w:tcW w:w="1037" w:type="dxa"/>
            <w:tcBorders>
              <w:top w:val="nil"/>
              <w:left w:val="nil"/>
              <w:bottom w:val="single" w:color="auto" w:sz="12" w:space="0"/>
              <w:right w:val="nil"/>
            </w:tcBorders>
            <w:noWrap w:val="0"/>
            <w:tcMar>
              <w:top w:w="70" w:type="dxa"/>
              <w:left w:w="70" w:type="dxa"/>
              <w:bottom w:w="70" w:type="dxa"/>
              <w:right w:w="70" w:type="dxa"/>
            </w:tcMar>
            <w:vAlign w:val="center"/>
          </w:tcPr>
          <w:p w14:paraId="486F00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i w:val="0"/>
                <w:color w:val="000000"/>
                <w:sz w:val="18"/>
                <w:szCs w:val="18"/>
              </w:rPr>
              <w:t>325</w:t>
            </w:r>
          </w:p>
        </w:tc>
        <w:tc>
          <w:tcPr>
            <w:tcW w:w="1080" w:type="dxa"/>
            <w:tcBorders>
              <w:top w:val="nil"/>
              <w:left w:val="nil"/>
              <w:bottom w:val="single" w:color="auto" w:sz="12" w:space="0"/>
              <w:right w:val="nil"/>
            </w:tcBorders>
            <w:noWrap w:val="0"/>
            <w:tcMar>
              <w:top w:w="70" w:type="dxa"/>
              <w:left w:w="70" w:type="dxa"/>
              <w:bottom w:w="70" w:type="dxa"/>
              <w:right w:w="70" w:type="dxa"/>
            </w:tcMar>
            <w:vAlign w:val="center"/>
          </w:tcPr>
          <w:p w14:paraId="4A8F29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Multiple solid tumours</w:t>
            </w:r>
          </w:p>
        </w:tc>
        <w:tc>
          <w:tcPr>
            <w:tcW w:w="1037" w:type="dxa"/>
            <w:tcBorders>
              <w:top w:val="nil"/>
              <w:left w:val="nil"/>
              <w:bottom w:val="single" w:color="auto" w:sz="12" w:space="0"/>
              <w:right w:val="nil"/>
            </w:tcBorders>
            <w:noWrap w:val="0"/>
            <w:tcMar>
              <w:top w:w="70" w:type="dxa"/>
              <w:left w:w="70" w:type="dxa"/>
              <w:bottom w:w="70" w:type="dxa"/>
              <w:right w:w="70" w:type="dxa"/>
            </w:tcMar>
            <w:vAlign w:val="center"/>
          </w:tcPr>
          <w:p w14:paraId="03B808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PD-1/PD-L1 inhibitors</w:t>
            </w:r>
          </w:p>
        </w:tc>
        <w:tc>
          <w:tcPr>
            <w:tcW w:w="1656" w:type="dxa"/>
            <w:tcBorders>
              <w:top w:val="nil"/>
              <w:left w:val="nil"/>
              <w:bottom w:val="single" w:color="auto" w:sz="12" w:space="0"/>
              <w:right w:val="nil"/>
            </w:tcBorders>
            <w:noWrap w:val="0"/>
            <w:tcMar>
              <w:top w:w="70" w:type="dxa"/>
              <w:left w:w="70" w:type="dxa"/>
              <w:bottom w:w="70" w:type="dxa"/>
              <w:right w:w="70" w:type="dxa"/>
            </w:tcMar>
            <w:vAlign w:val="center"/>
          </w:tcPr>
          <w:p w14:paraId="2299F12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Baseline TSH and fT4 available</w:t>
            </w:r>
          </w:p>
        </w:tc>
        <w:tc>
          <w:tcPr>
            <w:tcW w:w="1512" w:type="dxa"/>
            <w:tcBorders>
              <w:top w:val="nil"/>
              <w:left w:val="nil"/>
              <w:bottom w:val="single" w:color="auto" w:sz="12" w:space="0"/>
              <w:right w:val="nil"/>
            </w:tcBorders>
            <w:noWrap w:val="0"/>
            <w:tcMar>
              <w:top w:w="70" w:type="dxa"/>
              <w:left w:w="70" w:type="dxa"/>
              <w:bottom w:w="70" w:type="dxa"/>
              <w:right w:w="70" w:type="dxa"/>
            </w:tcMar>
            <w:vAlign w:val="center"/>
          </w:tcPr>
          <w:p w14:paraId="3DE3A18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Every 1–3 treatment cycles for 6 months</w:t>
            </w:r>
          </w:p>
        </w:tc>
        <w:tc>
          <w:tcPr>
            <w:tcW w:w="1656" w:type="dxa"/>
            <w:tcBorders>
              <w:top w:val="nil"/>
              <w:left w:val="nil"/>
              <w:bottom w:val="single" w:color="auto" w:sz="12" w:space="0"/>
              <w:right w:val="nil"/>
            </w:tcBorders>
            <w:noWrap w:val="0"/>
            <w:tcMar>
              <w:top w:w="70" w:type="dxa"/>
              <w:left w:w="70" w:type="dxa"/>
              <w:bottom w:w="70" w:type="dxa"/>
              <w:right w:w="70" w:type="dxa"/>
            </w:tcMar>
            <w:vAlign w:val="center"/>
          </w:tcPr>
          <w:p w14:paraId="256DB7A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Any thyroid test abnormality; overt subgroup by TSH and fT4</w:t>
            </w:r>
          </w:p>
        </w:tc>
        <w:tc>
          <w:tcPr>
            <w:tcW w:w="1224" w:type="dxa"/>
            <w:tcBorders>
              <w:top w:val="nil"/>
              <w:left w:val="nil"/>
              <w:bottom w:val="single" w:color="auto" w:sz="12" w:space="0"/>
              <w:right w:val="nil"/>
            </w:tcBorders>
            <w:noWrap w:val="0"/>
            <w:tcMar>
              <w:top w:w="70" w:type="dxa"/>
              <w:left w:w="70" w:type="dxa"/>
              <w:bottom w:w="70" w:type="dxa"/>
              <w:right w:w="70" w:type="dxa"/>
            </w:tcMar>
            <w:vAlign w:val="center"/>
          </w:tcPr>
          <w:p w14:paraId="0A8A22F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First 6 months emphasized</w:t>
            </w:r>
          </w:p>
        </w:tc>
        <w:tc>
          <w:tcPr>
            <w:tcW w:w="1512" w:type="dxa"/>
            <w:tcBorders>
              <w:top w:val="nil"/>
              <w:left w:val="nil"/>
              <w:bottom w:val="single" w:color="auto" w:sz="12" w:space="0"/>
              <w:right w:val="nil"/>
            </w:tcBorders>
            <w:noWrap w:val="0"/>
            <w:tcMar>
              <w:top w:w="70" w:type="dxa"/>
              <w:left w:w="70" w:type="dxa"/>
              <w:bottom w:w="70" w:type="dxa"/>
              <w:right w:w="70" w:type="dxa"/>
            </w:tcMar>
            <w:vAlign w:val="center"/>
          </w:tcPr>
          <w:p w14:paraId="5CB6C16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Any thyroid irAE 164/325 (50.5%); overt hypothyroidism 25/325 (7.7%)</w:t>
            </w:r>
          </w:p>
        </w:tc>
        <w:tc>
          <w:tcPr>
            <w:tcW w:w="1872" w:type="dxa"/>
            <w:tcBorders>
              <w:top w:val="nil"/>
              <w:left w:val="nil"/>
              <w:bottom w:val="single" w:color="auto" w:sz="12" w:space="0"/>
              <w:right w:val="nil"/>
            </w:tcBorders>
            <w:noWrap w:val="0"/>
            <w:tcMar>
              <w:top w:w="70" w:type="dxa"/>
              <w:left w:w="70" w:type="dxa"/>
              <w:bottom w:w="70" w:type="dxa"/>
              <w:right w:w="70" w:type="dxa"/>
            </w:tcMar>
            <w:vAlign w:val="center"/>
          </w:tcPr>
          <w:p w14:paraId="280DDF0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Overt and subclinical thyroid irAE categories reported</w:t>
            </w:r>
          </w:p>
        </w:tc>
        <w:tc>
          <w:tcPr>
            <w:tcW w:w="1800" w:type="dxa"/>
            <w:tcBorders>
              <w:top w:val="nil"/>
              <w:left w:val="nil"/>
              <w:bottom w:val="single" w:color="auto" w:sz="12" w:space="0"/>
              <w:right w:val="nil"/>
            </w:tcBorders>
            <w:noWrap w:val="0"/>
            <w:tcMar>
              <w:top w:w="70" w:type="dxa"/>
              <w:left w:w="70" w:type="dxa"/>
              <w:bottom w:w="70" w:type="dxa"/>
              <w:right w:w="70" w:type="dxa"/>
            </w:tcMar>
            <w:vAlign w:val="center"/>
          </w:tcPr>
          <w:p w14:paraId="260C019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i w:val="0"/>
                <w:color w:val="000000"/>
                <w:sz w:val="18"/>
                <w:szCs w:val="18"/>
              </w:rPr>
              <w:t>Baseline thyroid antibodies available in 99 patients</w:t>
            </w:r>
          </w:p>
        </w:tc>
      </w:tr>
    </w:tbl>
    <w:p w14:paraId="3437EC69">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Cross-cohort percentages are not directly comparable because baseline restrictions, monitoring coverage, windows, thresholds and subtype overlap differ. The main estimate is 30/240 (12.5%) under incomplete monitoring. Sources are cited in the main manuscript; guideline monitoring frequency is not an interval optimized by this study.</w:t>
      </w:r>
    </w:p>
    <w:p w14:paraId="43543F85">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S2. Cohort denominators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5760"/>
        <w:gridCol w:w="1008"/>
        <w:gridCol w:w="8136"/>
      </w:tblGrid>
      <w:tr w14:paraId="7465547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5760" w:type="dxa"/>
            <w:tcBorders>
              <w:top w:val="single" w:color="auto" w:sz="12" w:space="0"/>
              <w:left w:val="nil"/>
              <w:bottom w:val="nil"/>
              <w:right w:val="nil"/>
            </w:tcBorders>
            <w:noWrap w:val="0"/>
            <w:tcMar>
              <w:top w:w="-1" w:type="dxa"/>
              <w:left w:w="-1" w:type="dxa"/>
              <w:bottom w:w="-1" w:type="dxa"/>
              <w:right w:w="-1" w:type="dxa"/>
            </w:tcMar>
            <w:vAlign w:val="center"/>
          </w:tcPr>
          <w:p w14:paraId="38DAFA00">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Population or category</w:t>
            </w:r>
          </w:p>
        </w:tc>
        <w:tc>
          <w:tcPr>
            <w:tcW w:w="1008" w:type="dxa"/>
            <w:tcBorders>
              <w:top w:val="single" w:color="auto" w:sz="12" w:space="0"/>
              <w:left w:val="nil"/>
              <w:bottom w:val="nil"/>
              <w:right w:val="nil"/>
            </w:tcBorders>
            <w:noWrap w:val="0"/>
            <w:tcMar>
              <w:top w:w="-1" w:type="dxa"/>
              <w:left w:w="-1" w:type="dxa"/>
              <w:bottom w:w="-1" w:type="dxa"/>
              <w:right w:w="-1" w:type="dxa"/>
            </w:tcMar>
            <w:vAlign w:val="center"/>
          </w:tcPr>
          <w:p w14:paraId="0577F3A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N</w:t>
            </w:r>
          </w:p>
        </w:tc>
        <w:tc>
          <w:tcPr>
            <w:tcW w:w="8136" w:type="dxa"/>
            <w:tcBorders>
              <w:top w:val="single" w:color="auto" w:sz="12" w:space="0"/>
              <w:left w:val="nil"/>
              <w:bottom w:val="nil"/>
              <w:right w:val="nil"/>
            </w:tcBorders>
            <w:noWrap w:val="0"/>
            <w:tcMar>
              <w:top w:w="-1" w:type="dxa"/>
              <w:left w:w="-1" w:type="dxa"/>
              <w:bottom w:w="-1" w:type="dxa"/>
              <w:right w:w="-1" w:type="dxa"/>
            </w:tcMar>
            <w:vAlign w:val="center"/>
          </w:tcPr>
          <w:p w14:paraId="1BFE89F4">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20"/>
                <w:szCs w:val="20"/>
              </w:rPr>
            </w:pPr>
            <w:r>
              <w:rPr>
                <w:rFonts w:ascii="Times New Roman" w:hAnsi="Times New Roman"/>
                <w:b/>
                <w:color w:val="000000"/>
                <w:sz w:val="20"/>
                <w:szCs w:val="20"/>
              </w:rPr>
              <w:t>Definition</w:t>
            </w:r>
          </w:p>
        </w:tc>
      </w:tr>
      <w:tr w14:paraId="1D88977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single" w:color="auto" w:sz="4" w:space="0"/>
              <w:left w:val="nil"/>
              <w:bottom w:val="nil"/>
              <w:right w:val="nil"/>
            </w:tcBorders>
            <w:noWrap w:val="0"/>
            <w:tcMar>
              <w:top w:w="-1" w:type="dxa"/>
              <w:left w:w="-1" w:type="dxa"/>
              <w:bottom w:w="-1" w:type="dxa"/>
              <w:right w:w="-1" w:type="dxa"/>
            </w:tcMar>
            <w:vAlign w:val="center"/>
          </w:tcPr>
          <w:p w14:paraId="69572C6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ICI-exposed source population</w:t>
            </w:r>
          </w:p>
        </w:tc>
        <w:tc>
          <w:tcPr>
            <w:tcW w:w="1008" w:type="dxa"/>
            <w:tcBorders>
              <w:top w:val="single" w:color="auto" w:sz="4" w:space="0"/>
              <w:left w:val="nil"/>
              <w:bottom w:val="nil"/>
              <w:right w:val="nil"/>
            </w:tcBorders>
            <w:noWrap w:val="0"/>
            <w:tcMar>
              <w:top w:w="-1" w:type="dxa"/>
              <w:left w:w="-1" w:type="dxa"/>
              <w:bottom w:w="-1" w:type="dxa"/>
              <w:right w:w="-1" w:type="dxa"/>
            </w:tcMar>
            <w:vAlign w:val="center"/>
          </w:tcPr>
          <w:p w14:paraId="71C798C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2634</w:t>
            </w:r>
          </w:p>
        </w:tc>
        <w:tc>
          <w:tcPr>
            <w:tcW w:w="8136" w:type="dxa"/>
            <w:tcBorders>
              <w:top w:val="single" w:color="auto" w:sz="4" w:space="0"/>
              <w:left w:val="nil"/>
              <w:bottom w:val="nil"/>
              <w:right w:val="nil"/>
            </w:tcBorders>
            <w:noWrap w:val="0"/>
            <w:tcMar>
              <w:top w:w="-1" w:type="dxa"/>
              <w:left w:w="-1" w:type="dxa"/>
              <w:bottom w:w="-1" w:type="dxa"/>
              <w:right w:w="-1" w:type="dxa"/>
            </w:tcMar>
            <w:vAlign w:val="center"/>
          </w:tcPr>
          <w:p w14:paraId="5042FB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All identifiable first ICI records</w:t>
            </w:r>
          </w:p>
        </w:tc>
      </w:tr>
      <w:tr w14:paraId="6E4A0D5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041161C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 paired baseline TSH/FT4</w:t>
            </w:r>
          </w:p>
        </w:tc>
        <w:tc>
          <w:tcPr>
            <w:tcW w:w="1008" w:type="dxa"/>
            <w:tcBorders>
              <w:top w:val="nil"/>
              <w:left w:val="nil"/>
              <w:bottom w:val="nil"/>
              <w:right w:val="nil"/>
            </w:tcBorders>
            <w:noWrap w:val="0"/>
            <w:tcMar>
              <w:top w:w="-1" w:type="dxa"/>
              <w:left w:w="-1" w:type="dxa"/>
              <w:bottom w:w="-1" w:type="dxa"/>
              <w:right w:w="-1" w:type="dxa"/>
            </w:tcMar>
            <w:vAlign w:val="center"/>
          </w:tcPr>
          <w:p w14:paraId="3BC7280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1370</w:t>
            </w:r>
          </w:p>
        </w:tc>
        <w:tc>
          <w:tcPr>
            <w:tcW w:w="8136" w:type="dxa"/>
            <w:tcBorders>
              <w:top w:val="nil"/>
              <w:left w:val="nil"/>
              <w:bottom w:val="nil"/>
              <w:right w:val="nil"/>
            </w:tcBorders>
            <w:noWrap w:val="0"/>
            <w:tcMar>
              <w:top w:w="-1" w:type="dxa"/>
              <w:left w:w="-1" w:type="dxa"/>
              <w:bottom w:w="-1" w:type="dxa"/>
              <w:right w:w="-1" w:type="dxa"/>
            </w:tcMar>
            <w:vAlign w:val="center"/>
          </w:tcPr>
          <w:p w14:paraId="19AC81D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Hierarchical baseline exclusion</w:t>
            </w:r>
          </w:p>
        </w:tc>
      </w:tr>
      <w:tr w14:paraId="7C5D9DB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1A86AE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Most recent paired result not normal</w:t>
            </w:r>
          </w:p>
        </w:tc>
        <w:tc>
          <w:tcPr>
            <w:tcW w:w="1008" w:type="dxa"/>
            <w:tcBorders>
              <w:top w:val="nil"/>
              <w:left w:val="nil"/>
              <w:bottom w:val="nil"/>
              <w:right w:val="nil"/>
            </w:tcBorders>
            <w:noWrap w:val="0"/>
            <w:tcMar>
              <w:top w:w="-1" w:type="dxa"/>
              <w:left w:w="-1" w:type="dxa"/>
              <w:bottom w:w="-1" w:type="dxa"/>
              <w:right w:w="-1" w:type="dxa"/>
            </w:tcMar>
            <w:vAlign w:val="center"/>
          </w:tcPr>
          <w:p w14:paraId="0162233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431</w:t>
            </w:r>
          </w:p>
        </w:tc>
        <w:tc>
          <w:tcPr>
            <w:tcW w:w="8136" w:type="dxa"/>
            <w:tcBorders>
              <w:top w:val="nil"/>
              <w:left w:val="nil"/>
              <w:bottom w:val="nil"/>
              <w:right w:val="nil"/>
            </w:tcBorders>
            <w:noWrap w:val="0"/>
            <w:tcMar>
              <w:top w:w="-1" w:type="dxa"/>
              <w:left w:w="-1" w:type="dxa"/>
              <w:bottom w:w="-1" w:type="dxa"/>
              <w:right w:w="-1" w:type="dxa"/>
            </w:tcMar>
            <w:vAlign w:val="center"/>
          </w:tcPr>
          <w:p w14:paraId="09064D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Hierarchical baseline exclusion</w:t>
            </w:r>
          </w:p>
        </w:tc>
      </w:tr>
      <w:tr w14:paraId="2E0A6C8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4EBF2F0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Prior thyroid/pituitary or treatment evidence</w:t>
            </w:r>
          </w:p>
        </w:tc>
        <w:tc>
          <w:tcPr>
            <w:tcW w:w="1008" w:type="dxa"/>
            <w:tcBorders>
              <w:top w:val="nil"/>
              <w:left w:val="nil"/>
              <w:bottom w:val="nil"/>
              <w:right w:val="nil"/>
            </w:tcBorders>
            <w:noWrap w:val="0"/>
            <w:tcMar>
              <w:top w:w="-1" w:type="dxa"/>
              <w:left w:w="-1" w:type="dxa"/>
              <w:bottom w:w="-1" w:type="dxa"/>
              <w:right w:w="-1" w:type="dxa"/>
            </w:tcMar>
            <w:vAlign w:val="center"/>
          </w:tcPr>
          <w:p w14:paraId="606158A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21</w:t>
            </w:r>
          </w:p>
        </w:tc>
        <w:tc>
          <w:tcPr>
            <w:tcW w:w="8136" w:type="dxa"/>
            <w:tcBorders>
              <w:top w:val="nil"/>
              <w:left w:val="nil"/>
              <w:bottom w:val="nil"/>
              <w:right w:val="nil"/>
            </w:tcBorders>
            <w:noWrap w:val="0"/>
            <w:tcMar>
              <w:top w:w="-1" w:type="dxa"/>
              <w:left w:w="-1" w:type="dxa"/>
              <w:bottom w:w="-1" w:type="dxa"/>
              <w:right w:w="-1" w:type="dxa"/>
            </w:tcMar>
            <w:vAlign w:val="center"/>
          </w:tcPr>
          <w:p w14:paraId="3F4961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Despite a normal most recent pair</w:t>
            </w:r>
          </w:p>
        </w:tc>
      </w:tr>
      <w:tr w14:paraId="2085D89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726CB14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eligible</w:t>
            </w:r>
          </w:p>
        </w:tc>
        <w:tc>
          <w:tcPr>
            <w:tcW w:w="1008" w:type="dxa"/>
            <w:tcBorders>
              <w:top w:val="nil"/>
              <w:left w:val="nil"/>
              <w:bottom w:val="nil"/>
              <w:right w:val="nil"/>
            </w:tcBorders>
            <w:noWrap w:val="0"/>
            <w:tcMar>
              <w:top w:w="-1" w:type="dxa"/>
              <w:left w:w="-1" w:type="dxa"/>
              <w:bottom w:w="-1" w:type="dxa"/>
              <w:right w:w="-1" w:type="dxa"/>
            </w:tcMar>
            <w:vAlign w:val="center"/>
          </w:tcPr>
          <w:p w14:paraId="51646E5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812</w:t>
            </w:r>
          </w:p>
        </w:tc>
        <w:tc>
          <w:tcPr>
            <w:tcW w:w="8136" w:type="dxa"/>
            <w:tcBorders>
              <w:top w:val="nil"/>
              <w:left w:val="nil"/>
              <w:bottom w:val="nil"/>
              <w:right w:val="nil"/>
            </w:tcBorders>
            <w:noWrap w:val="0"/>
            <w:tcMar>
              <w:top w:w="-1" w:type="dxa"/>
              <w:left w:w="-1" w:type="dxa"/>
              <w:bottom w:w="-1" w:type="dxa"/>
              <w:right w:w="-1" w:type="dxa"/>
            </w:tcMar>
            <w:vAlign w:val="center"/>
          </w:tcPr>
          <w:p w14:paraId="07C4868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Days −90 to 0; most recent qualifying pre-infusion same-report TSH/FT4 pair both normal</w:t>
            </w:r>
          </w:p>
        </w:tc>
      </w:tr>
      <w:tr w14:paraId="1DB6D69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29921F7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Administrative opportunity &lt;365 days</w:t>
            </w:r>
          </w:p>
        </w:tc>
        <w:tc>
          <w:tcPr>
            <w:tcW w:w="1008" w:type="dxa"/>
            <w:tcBorders>
              <w:top w:val="nil"/>
              <w:left w:val="nil"/>
              <w:bottom w:val="nil"/>
              <w:right w:val="nil"/>
            </w:tcBorders>
            <w:noWrap w:val="0"/>
            <w:tcMar>
              <w:top w:w="-1" w:type="dxa"/>
              <w:left w:w="-1" w:type="dxa"/>
              <w:bottom w:w="-1" w:type="dxa"/>
              <w:right w:w="-1" w:type="dxa"/>
            </w:tcMar>
            <w:vAlign w:val="center"/>
          </w:tcPr>
          <w:p w14:paraId="2337826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185</w:t>
            </w:r>
          </w:p>
        </w:tc>
        <w:tc>
          <w:tcPr>
            <w:tcW w:w="8136" w:type="dxa"/>
            <w:tcBorders>
              <w:top w:val="nil"/>
              <w:left w:val="nil"/>
              <w:bottom w:val="nil"/>
              <w:right w:val="nil"/>
            </w:tcBorders>
            <w:noWrap w:val="0"/>
            <w:tcMar>
              <w:top w:w="-1" w:type="dxa"/>
              <w:left w:w="-1" w:type="dxa"/>
              <w:bottom w:w="-1" w:type="dxa"/>
              <w:right w:w="-1" w:type="dxa"/>
            </w:tcMar>
            <w:vAlign w:val="center"/>
          </w:tcPr>
          <w:p w14:paraId="248BAFA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after 31 July 2024</w:t>
            </w:r>
          </w:p>
        </w:tc>
      </w:tr>
      <w:tr w14:paraId="45A98D6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0013D2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One-year administrative opportunity</w:t>
            </w:r>
          </w:p>
        </w:tc>
        <w:tc>
          <w:tcPr>
            <w:tcW w:w="1008" w:type="dxa"/>
            <w:tcBorders>
              <w:top w:val="nil"/>
              <w:left w:val="nil"/>
              <w:bottom w:val="nil"/>
              <w:right w:val="nil"/>
            </w:tcBorders>
            <w:noWrap w:val="0"/>
            <w:tcMar>
              <w:top w:w="-1" w:type="dxa"/>
              <w:left w:w="-1" w:type="dxa"/>
              <w:bottom w:w="-1" w:type="dxa"/>
              <w:right w:w="-1" w:type="dxa"/>
            </w:tcMar>
            <w:vAlign w:val="center"/>
          </w:tcPr>
          <w:p w14:paraId="58B576C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627</w:t>
            </w:r>
          </w:p>
        </w:tc>
        <w:tc>
          <w:tcPr>
            <w:tcW w:w="8136" w:type="dxa"/>
            <w:tcBorders>
              <w:top w:val="nil"/>
              <w:left w:val="nil"/>
              <w:bottom w:val="nil"/>
              <w:right w:val="nil"/>
            </w:tcBorders>
            <w:noWrap w:val="0"/>
            <w:tcMar>
              <w:top w:w="-1" w:type="dxa"/>
              <w:left w:w="-1" w:type="dxa"/>
              <w:bottom w:w="-1" w:type="dxa"/>
              <w:right w:w="-1" w:type="dxa"/>
            </w:tcMar>
            <w:vAlign w:val="center"/>
          </w:tcPr>
          <w:p w14:paraId="0B076C4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Target for main selection analysis</w:t>
            </w:r>
          </w:p>
        </w:tc>
      </w:tr>
      <w:tr w14:paraId="7B45510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638855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 post-treatment retest at any follow-up</w:t>
            </w:r>
          </w:p>
        </w:tc>
        <w:tc>
          <w:tcPr>
            <w:tcW w:w="1008" w:type="dxa"/>
            <w:tcBorders>
              <w:top w:val="nil"/>
              <w:left w:val="nil"/>
              <w:bottom w:val="nil"/>
              <w:right w:val="nil"/>
            </w:tcBorders>
            <w:noWrap w:val="0"/>
            <w:tcMar>
              <w:top w:w="-1" w:type="dxa"/>
              <w:left w:w="-1" w:type="dxa"/>
              <w:bottom w:w="-1" w:type="dxa"/>
              <w:right w:w="-1" w:type="dxa"/>
            </w:tcMar>
            <w:vAlign w:val="center"/>
          </w:tcPr>
          <w:p w14:paraId="5A35B0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382</w:t>
            </w:r>
          </w:p>
        </w:tc>
        <w:tc>
          <w:tcPr>
            <w:tcW w:w="8136" w:type="dxa"/>
            <w:tcBorders>
              <w:top w:val="nil"/>
              <w:left w:val="nil"/>
              <w:bottom w:val="nil"/>
              <w:right w:val="nil"/>
            </w:tcBorders>
            <w:noWrap w:val="0"/>
            <w:tcMar>
              <w:top w:w="-1" w:type="dxa"/>
              <w:left w:w="-1" w:type="dxa"/>
              <w:bottom w:w="-1" w:type="dxa"/>
              <w:right w:w="-1" w:type="dxa"/>
            </w:tcMar>
            <w:vAlign w:val="center"/>
          </w:tcPr>
          <w:p w14:paraId="4B4B10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 laboratory outcome observation</w:t>
            </w:r>
          </w:p>
        </w:tc>
      </w:tr>
      <w:tr w14:paraId="1A1CD8B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10B03DE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retest only after Day 365</w:t>
            </w:r>
          </w:p>
        </w:tc>
        <w:tc>
          <w:tcPr>
            <w:tcW w:w="1008" w:type="dxa"/>
            <w:tcBorders>
              <w:top w:val="nil"/>
              <w:left w:val="nil"/>
              <w:bottom w:val="nil"/>
              <w:right w:val="nil"/>
            </w:tcBorders>
            <w:noWrap w:val="0"/>
            <w:tcMar>
              <w:top w:w="-1" w:type="dxa"/>
              <w:left w:w="-1" w:type="dxa"/>
              <w:bottom w:w="-1" w:type="dxa"/>
              <w:right w:w="-1" w:type="dxa"/>
            </w:tcMar>
            <w:vAlign w:val="center"/>
          </w:tcPr>
          <w:p w14:paraId="597B860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w:t>
            </w:r>
          </w:p>
        </w:tc>
        <w:tc>
          <w:tcPr>
            <w:tcW w:w="8136" w:type="dxa"/>
            <w:tcBorders>
              <w:top w:val="nil"/>
              <w:left w:val="nil"/>
              <w:bottom w:val="nil"/>
              <w:right w:val="nil"/>
            </w:tcBorders>
            <w:noWrap w:val="0"/>
            <w:tcMar>
              <w:top w:w="-1" w:type="dxa"/>
              <w:left w:w="-1" w:type="dxa"/>
              <w:bottom w:w="-1" w:type="dxa"/>
              <w:right w:w="-1" w:type="dxa"/>
            </w:tcMar>
            <w:vAlign w:val="center"/>
          </w:tcPr>
          <w:p w14:paraId="1D0CA12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Days 404, 435, 439, 448, 641</w:t>
            </w:r>
          </w:p>
        </w:tc>
      </w:tr>
      <w:tr w14:paraId="65FAA3C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5ED077F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 qualifying first-year retest</w:t>
            </w:r>
          </w:p>
        </w:tc>
        <w:tc>
          <w:tcPr>
            <w:tcW w:w="1008" w:type="dxa"/>
            <w:tcBorders>
              <w:top w:val="nil"/>
              <w:left w:val="nil"/>
              <w:bottom w:val="nil"/>
              <w:right w:val="nil"/>
            </w:tcBorders>
            <w:noWrap w:val="0"/>
            <w:tcMar>
              <w:top w:w="-1" w:type="dxa"/>
              <w:left w:w="-1" w:type="dxa"/>
              <w:bottom w:w="-1" w:type="dxa"/>
              <w:right w:w="-1" w:type="dxa"/>
            </w:tcMar>
            <w:vAlign w:val="center"/>
          </w:tcPr>
          <w:p w14:paraId="0D24E0A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387</w:t>
            </w:r>
          </w:p>
        </w:tc>
        <w:tc>
          <w:tcPr>
            <w:tcW w:w="8136" w:type="dxa"/>
            <w:tcBorders>
              <w:top w:val="nil"/>
              <w:left w:val="nil"/>
              <w:bottom w:val="nil"/>
              <w:right w:val="nil"/>
            </w:tcBorders>
            <w:noWrap w:val="0"/>
            <w:tcMar>
              <w:top w:w="-1" w:type="dxa"/>
              <w:left w:w="-1" w:type="dxa"/>
              <w:bottom w:w="-1" w:type="dxa"/>
              <w:right w:w="-1" w:type="dxa"/>
            </w:tcMar>
            <w:vAlign w:val="center"/>
          </w:tcPr>
          <w:p w14:paraId="07D7A8C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382 + 5; first-year outcome unobserved</w:t>
            </w:r>
          </w:p>
        </w:tc>
      </w:tr>
      <w:tr w14:paraId="5006B1C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4C6C91A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first-year monitored cohort</w:t>
            </w:r>
          </w:p>
        </w:tc>
        <w:tc>
          <w:tcPr>
            <w:tcW w:w="1008" w:type="dxa"/>
            <w:tcBorders>
              <w:top w:val="nil"/>
              <w:left w:val="nil"/>
              <w:bottom w:val="nil"/>
              <w:right w:val="nil"/>
            </w:tcBorders>
            <w:noWrap w:val="0"/>
            <w:tcMar>
              <w:top w:w="-1" w:type="dxa"/>
              <w:left w:w="-1" w:type="dxa"/>
              <w:bottom w:w="-1" w:type="dxa"/>
              <w:right w:w="-1" w:type="dxa"/>
            </w:tcMar>
            <w:vAlign w:val="center"/>
          </w:tcPr>
          <w:p w14:paraId="350B9E3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w:t>
            </w:r>
          </w:p>
        </w:tc>
        <w:tc>
          <w:tcPr>
            <w:tcW w:w="8136" w:type="dxa"/>
            <w:tcBorders>
              <w:top w:val="nil"/>
              <w:left w:val="nil"/>
              <w:bottom w:val="nil"/>
              <w:right w:val="nil"/>
            </w:tcBorders>
            <w:noWrap w:val="0"/>
            <w:tcMar>
              <w:top w:w="-1" w:type="dxa"/>
              <w:left w:w="-1" w:type="dxa"/>
              <w:bottom w:w="-1" w:type="dxa"/>
              <w:right w:w="-1" w:type="dxa"/>
            </w:tcMar>
            <w:vAlign w:val="center"/>
          </w:tcPr>
          <w:p w14:paraId="37A34A6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At least one TSH retest on Days 1–365</w:t>
            </w:r>
          </w:p>
        </w:tc>
      </w:tr>
      <w:tr w14:paraId="0A31DA5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0245147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Paired first-year TSH/FT4 cohort</w:t>
            </w:r>
          </w:p>
        </w:tc>
        <w:tc>
          <w:tcPr>
            <w:tcW w:w="1008" w:type="dxa"/>
            <w:tcBorders>
              <w:top w:val="nil"/>
              <w:left w:val="nil"/>
              <w:bottom w:val="nil"/>
              <w:right w:val="nil"/>
            </w:tcBorders>
            <w:noWrap w:val="0"/>
            <w:tcMar>
              <w:top w:w="-1" w:type="dxa"/>
              <w:left w:w="-1" w:type="dxa"/>
              <w:bottom w:w="-1" w:type="dxa"/>
              <w:right w:w="-1" w:type="dxa"/>
            </w:tcMar>
            <w:vAlign w:val="center"/>
          </w:tcPr>
          <w:p w14:paraId="0C158A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239</w:t>
            </w:r>
          </w:p>
        </w:tc>
        <w:tc>
          <w:tcPr>
            <w:tcW w:w="8136" w:type="dxa"/>
            <w:tcBorders>
              <w:top w:val="nil"/>
              <w:left w:val="nil"/>
              <w:bottom w:val="nil"/>
              <w:right w:val="nil"/>
            </w:tcBorders>
            <w:noWrap w:val="0"/>
            <w:tcMar>
              <w:top w:w="-1" w:type="dxa"/>
              <w:left w:w="-1" w:type="dxa"/>
              <w:bottom w:w="-1" w:type="dxa"/>
              <w:right w:w="-1" w:type="dxa"/>
            </w:tcMar>
            <w:vAlign w:val="center"/>
          </w:tcPr>
          <w:p w14:paraId="04118EF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Sensitivity cohort; one TSH-only patient excluded</w:t>
            </w:r>
          </w:p>
        </w:tc>
      </w:tr>
      <w:tr w14:paraId="7E6E670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29DA37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Recorded primary events</w:t>
            </w:r>
          </w:p>
        </w:tc>
        <w:tc>
          <w:tcPr>
            <w:tcW w:w="1008" w:type="dxa"/>
            <w:tcBorders>
              <w:top w:val="nil"/>
              <w:left w:val="nil"/>
              <w:bottom w:val="nil"/>
              <w:right w:val="nil"/>
            </w:tcBorders>
            <w:noWrap w:val="0"/>
            <w:tcMar>
              <w:top w:w="-1" w:type="dxa"/>
              <w:left w:w="-1" w:type="dxa"/>
              <w:bottom w:w="-1" w:type="dxa"/>
              <w:right w:w="-1" w:type="dxa"/>
            </w:tcMar>
            <w:vAlign w:val="center"/>
          </w:tcPr>
          <w:p w14:paraId="33E9424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30</w:t>
            </w:r>
          </w:p>
        </w:tc>
        <w:tc>
          <w:tcPr>
            <w:tcW w:w="8136" w:type="dxa"/>
            <w:tcBorders>
              <w:top w:val="nil"/>
              <w:left w:val="nil"/>
              <w:bottom w:val="nil"/>
              <w:right w:val="nil"/>
            </w:tcBorders>
            <w:noWrap w:val="0"/>
            <w:tcMar>
              <w:top w:w="-1" w:type="dxa"/>
              <w:left w:w="-1" w:type="dxa"/>
              <w:bottom w:w="-1" w:type="dxa"/>
              <w:right w:w="-1" w:type="dxa"/>
            </w:tcMar>
            <w:vAlign w:val="center"/>
          </w:tcPr>
          <w:p w14:paraId="505ECF3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Days 1–365 in the 240-patient cohort</w:t>
            </w:r>
          </w:p>
        </w:tc>
      </w:tr>
      <w:tr w14:paraId="1F89A21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6408A19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 recorded primary event</w:t>
            </w:r>
          </w:p>
        </w:tc>
        <w:tc>
          <w:tcPr>
            <w:tcW w:w="1008" w:type="dxa"/>
            <w:tcBorders>
              <w:top w:val="nil"/>
              <w:left w:val="nil"/>
              <w:bottom w:val="nil"/>
              <w:right w:val="nil"/>
            </w:tcBorders>
            <w:noWrap w:val="0"/>
            <w:tcMar>
              <w:top w:w="-1" w:type="dxa"/>
              <w:left w:w="-1" w:type="dxa"/>
              <w:bottom w:w="-1" w:type="dxa"/>
              <w:right w:w="-1" w:type="dxa"/>
            </w:tcMar>
            <w:vAlign w:val="center"/>
          </w:tcPr>
          <w:p w14:paraId="4021A97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210</w:t>
            </w:r>
          </w:p>
        </w:tc>
        <w:tc>
          <w:tcPr>
            <w:tcW w:w="8136" w:type="dxa"/>
            <w:tcBorders>
              <w:top w:val="nil"/>
              <w:left w:val="nil"/>
              <w:bottom w:val="nil"/>
              <w:right w:val="nil"/>
            </w:tcBorders>
            <w:noWrap w:val="0"/>
            <w:tcMar>
              <w:top w:w="-1" w:type="dxa"/>
              <w:left w:w="-1" w:type="dxa"/>
              <w:bottom w:w="-1" w:type="dxa"/>
              <w:right w:w="-1" w:type="dxa"/>
            </w:tcMar>
            <w:vAlign w:val="center"/>
          </w:tcPr>
          <w:p w14:paraId="0B8FDB9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Does not establish event-free follow-up</w:t>
            </w:r>
          </w:p>
        </w:tc>
      </w:tr>
      <w:tr w14:paraId="75E24BF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1D5BA59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Broader monitored descriptive cohort</w:t>
            </w:r>
          </w:p>
        </w:tc>
        <w:tc>
          <w:tcPr>
            <w:tcW w:w="1008" w:type="dxa"/>
            <w:tcBorders>
              <w:top w:val="nil"/>
              <w:left w:val="nil"/>
              <w:bottom w:val="nil"/>
              <w:right w:val="nil"/>
            </w:tcBorders>
            <w:noWrap w:val="0"/>
            <w:tcMar>
              <w:top w:w="-1" w:type="dxa"/>
              <w:left w:w="-1" w:type="dxa"/>
              <w:bottom w:w="-1" w:type="dxa"/>
              <w:right w:w="-1" w:type="dxa"/>
            </w:tcMar>
            <w:vAlign w:val="center"/>
          </w:tcPr>
          <w:p w14:paraId="1D895DB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273</w:t>
            </w:r>
          </w:p>
        </w:tc>
        <w:tc>
          <w:tcPr>
            <w:tcW w:w="8136" w:type="dxa"/>
            <w:tcBorders>
              <w:top w:val="nil"/>
              <w:left w:val="nil"/>
              <w:bottom w:val="nil"/>
              <w:right w:val="nil"/>
            </w:tcBorders>
            <w:noWrap w:val="0"/>
            <w:tcMar>
              <w:top w:w="-1" w:type="dxa"/>
              <w:left w:w="-1" w:type="dxa"/>
              <w:bottom w:w="-1" w:type="dxa"/>
              <w:right w:w="-1" w:type="dxa"/>
            </w:tcMar>
            <w:vAlign w:val="center"/>
          </w:tcPr>
          <w:p w14:paraId="489E706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Any follow-up; no full-year opportunity requirement</w:t>
            </w:r>
          </w:p>
        </w:tc>
      </w:tr>
      <w:tr w14:paraId="111EB63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65D7FE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Broader events by Day 365</w:t>
            </w:r>
          </w:p>
        </w:tc>
        <w:tc>
          <w:tcPr>
            <w:tcW w:w="1008" w:type="dxa"/>
            <w:tcBorders>
              <w:top w:val="nil"/>
              <w:left w:val="nil"/>
              <w:bottom w:val="nil"/>
              <w:right w:val="nil"/>
            </w:tcBorders>
            <w:noWrap w:val="0"/>
            <w:tcMar>
              <w:top w:w="-1" w:type="dxa"/>
              <w:left w:w="-1" w:type="dxa"/>
              <w:bottom w:w="-1" w:type="dxa"/>
              <w:right w:w="-1" w:type="dxa"/>
            </w:tcMar>
            <w:vAlign w:val="center"/>
          </w:tcPr>
          <w:p w14:paraId="256433D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w:t>
            </w:r>
          </w:p>
        </w:tc>
        <w:tc>
          <w:tcPr>
            <w:tcW w:w="8136" w:type="dxa"/>
            <w:tcBorders>
              <w:top w:val="nil"/>
              <w:left w:val="nil"/>
              <w:bottom w:val="nil"/>
              <w:right w:val="nil"/>
            </w:tcBorders>
            <w:noWrap w:val="0"/>
            <w:tcMar>
              <w:top w:w="-1" w:type="dxa"/>
              <w:left w:w="-1" w:type="dxa"/>
              <w:bottom w:w="-1" w:type="dxa"/>
              <w:right w:w="-1" w:type="dxa"/>
            </w:tcMar>
            <w:vAlign w:val="center"/>
          </w:tcPr>
          <w:p w14:paraId="7328E41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Clinical management descriptions</w:t>
            </w:r>
          </w:p>
        </w:tc>
      </w:tr>
      <w:tr w14:paraId="47306C2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single" w:color="auto" w:sz="12" w:space="0"/>
              <w:right w:val="nil"/>
            </w:tcBorders>
            <w:noWrap w:val="0"/>
            <w:tcMar>
              <w:top w:w="-1" w:type="dxa"/>
              <w:left w:w="-1" w:type="dxa"/>
              <w:bottom w:w="-1" w:type="dxa"/>
              <w:right w:w="-1" w:type="dxa"/>
            </w:tcMar>
            <w:vAlign w:val="center"/>
          </w:tcPr>
          <w:p w14:paraId="4A08174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Broader events at any follow-up</w:t>
            </w:r>
          </w:p>
        </w:tc>
        <w:tc>
          <w:tcPr>
            <w:tcW w:w="1008" w:type="dxa"/>
            <w:tcBorders>
              <w:top w:val="nil"/>
              <w:left w:val="nil"/>
              <w:bottom w:val="single" w:color="auto" w:sz="12" w:space="0"/>
              <w:right w:val="nil"/>
            </w:tcBorders>
            <w:noWrap w:val="0"/>
            <w:tcMar>
              <w:top w:w="-1" w:type="dxa"/>
              <w:left w:w="-1" w:type="dxa"/>
              <w:bottom w:w="-1" w:type="dxa"/>
              <w:right w:w="-1" w:type="dxa"/>
            </w:tcMar>
            <w:vAlign w:val="center"/>
          </w:tcPr>
          <w:p w14:paraId="1E9EBA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w:t>
            </w:r>
          </w:p>
        </w:tc>
        <w:tc>
          <w:tcPr>
            <w:tcW w:w="8136" w:type="dxa"/>
            <w:tcBorders>
              <w:top w:val="nil"/>
              <w:left w:val="nil"/>
              <w:bottom w:val="single" w:color="auto" w:sz="12" w:space="0"/>
              <w:right w:val="nil"/>
            </w:tcBorders>
            <w:noWrap w:val="0"/>
            <w:tcMar>
              <w:top w:w="-1" w:type="dxa"/>
              <w:left w:w="-1" w:type="dxa"/>
              <w:bottom w:w="-1" w:type="dxa"/>
              <w:right w:w="-1" w:type="dxa"/>
            </w:tcMar>
            <w:vAlign w:val="center"/>
          </w:tcPr>
          <w:p w14:paraId="4B45341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Includes one first event on Day 439</w:t>
            </w:r>
          </w:p>
        </w:tc>
      </w:tr>
    </w:tbl>
    <w:p w14:paraId="3C82206B">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 full-source retest count of 749 is descriptive and is not the primary denominator. Baseline timing and the conservative analysis excluding Day 0 are described in Methods and Table S12. Hierarchical exclusion counts are mutually exclusive.</w:t>
      </w:r>
    </w:p>
    <w:p w14:paraId="5CB10A48">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S3. Recorded clinical management in the broader event cohorts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3039"/>
        <w:gridCol w:w="3039"/>
        <w:gridCol w:w="3039"/>
        <w:gridCol w:w="3039"/>
        <w:gridCol w:w="3039"/>
      </w:tblGrid>
      <w:tr w14:paraId="1202A90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3312" w:type="dxa"/>
            <w:tcBorders>
              <w:top w:val="single" w:color="auto" w:sz="12" w:space="0"/>
              <w:left w:val="nil"/>
              <w:bottom w:val="nil"/>
              <w:right w:val="nil"/>
            </w:tcBorders>
            <w:noWrap w:val="0"/>
            <w:tcMar>
              <w:top w:w="70" w:type="dxa"/>
              <w:left w:w="70" w:type="dxa"/>
              <w:bottom w:w="70" w:type="dxa"/>
              <w:right w:w="70" w:type="dxa"/>
            </w:tcMar>
            <w:vAlign w:val="center"/>
          </w:tcPr>
          <w:p w14:paraId="7C637642">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Endpoint scope</w:t>
            </w:r>
          </w:p>
        </w:tc>
        <w:tc>
          <w:tcPr>
            <w:tcW w:w="3744" w:type="dxa"/>
            <w:tcBorders>
              <w:top w:val="single" w:color="auto" w:sz="12" w:space="0"/>
              <w:left w:val="nil"/>
              <w:bottom w:val="nil"/>
              <w:right w:val="nil"/>
            </w:tcBorders>
            <w:noWrap w:val="0"/>
            <w:tcMar>
              <w:top w:w="70" w:type="dxa"/>
              <w:left w:w="70" w:type="dxa"/>
              <w:bottom w:w="70" w:type="dxa"/>
              <w:right w:w="70" w:type="dxa"/>
            </w:tcMar>
            <w:vAlign w:val="center"/>
          </w:tcPr>
          <w:p w14:paraId="16E6E459">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Clinical management or data domain</w:t>
            </w:r>
          </w:p>
        </w:tc>
        <w:tc>
          <w:tcPr>
            <w:tcW w:w="1440" w:type="dxa"/>
            <w:tcBorders>
              <w:top w:val="single" w:color="auto" w:sz="12" w:space="0"/>
              <w:left w:val="nil"/>
              <w:bottom w:val="nil"/>
              <w:right w:val="nil"/>
            </w:tcBorders>
            <w:noWrap w:val="0"/>
            <w:tcMar>
              <w:top w:w="70" w:type="dxa"/>
              <w:left w:w="70" w:type="dxa"/>
              <w:bottom w:w="70" w:type="dxa"/>
              <w:right w:w="70" w:type="dxa"/>
            </w:tcMar>
            <w:vAlign w:val="center"/>
          </w:tcPr>
          <w:p w14:paraId="06F64EA5">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n/N (%)</w:t>
            </w:r>
          </w:p>
        </w:tc>
        <w:tc>
          <w:tcPr>
            <w:tcW w:w="2232" w:type="dxa"/>
            <w:tcBorders>
              <w:top w:val="single" w:color="auto" w:sz="12" w:space="0"/>
              <w:left w:val="nil"/>
              <w:bottom w:val="nil"/>
              <w:right w:val="nil"/>
            </w:tcBorders>
            <w:noWrap w:val="0"/>
            <w:tcMar>
              <w:top w:w="70" w:type="dxa"/>
              <w:left w:w="70" w:type="dxa"/>
              <w:bottom w:w="70" w:type="dxa"/>
              <w:right w:w="70" w:type="dxa"/>
            </w:tcMar>
            <w:vAlign w:val="center"/>
          </w:tcPr>
          <w:p w14:paraId="290F1B49">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Data availability</w:t>
            </w:r>
          </w:p>
        </w:tc>
        <w:tc>
          <w:tcPr>
            <w:tcW w:w="5472" w:type="dxa"/>
            <w:tcBorders>
              <w:top w:val="single" w:color="auto" w:sz="12" w:space="0"/>
              <w:left w:val="nil"/>
              <w:bottom w:val="nil"/>
              <w:right w:val="nil"/>
            </w:tcBorders>
            <w:noWrap w:val="0"/>
            <w:tcMar>
              <w:top w:w="70" w:type="dxa"/>
              <w:left w:w="70" w:type="dxa"/>
              <w:bottom w:w="70" w:type="dxa"/>
              <w:right w:w="70" w:type="dxa"/>
            </w:tcMar>
            <w:vAlign w:val="center"/>
          </w:tcPr>
          <w:p w14:paraId="131ACEF3">
            <w:pPr>
              <w:keepNext/>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color w:val="000000"/>
                <w:sz w:val="18"/>
                <w:szCs w:val="18"/>
              </w:rPr>
              <w:t>Interpretation</w:t>
            </w:r>
          </w:p>
        </w:tc>
      </w:tr>
      <w:tr w14:paraId="520B029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single" w:color="auto" w:sz="4" w:space="0"/>
              <w:left w:val="nil"/>
              <w:bottom w:val="nil"/>
              <w:right w:val="nil"/>
            </w:tcBorders>
            <w:noWrap w:val="0"/>
            <w:tcMar>
              <w:top w:w="70" w:type="dxa"/>
              <w:left w:w="70" w:type="dxa"/>
              <w:bottom w:w="70" w:type="dxa"/>
              <w:right w:w="70" w:type="dxa"/>
            </w:tcMar>
            <w:vAlign w:val="center"/>
          </w:tcPr>
          <w:p w14:paraId="556FAE8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single" w:color="auto" w:sz="4" w:space="0"/>
              <w:left w:val="nil"/>
              <w:bottom w:val="nil"/>
              <w:right w:val="nil"/>
            </w:tcBorders>
            <w:noWrap w:val="0"/>
            <w:tcMar>
              <w:top w:w="70" w:type="dxa"/>
              <w:left w:w="70" w:type="dxa"/>
              <w:bottom w:w="70" w:type="dxa"/>
              <w:right w:w="70" w:type="dxa"/>
            </w:tcMar>
            <w:vAlign w:val="center"/>
          </w:tcPr>
          <w:p w14:paraId="20D3676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First recorded levothyroxine after ICI initiation</w:t>
            </w:r>
          </w:p>
        </w:tc>
        <w:tc>
          <w:tcPr>
            <w:tcW w:w="1440" w:type="dxa"/>
            <w:tcBorders>
              <w:top w:val="single" w:color="auto" w:sz="4" w:space="0"/>
              <w:left w:val="nil"/>
              <w:bottom w:val="nil"/>
              <w:right w:val="nil"/>
            </w:tcBorders>
            <w:noWrap w:val="0"/>
            <w:tcMar>
              <w:top w:w="70" w:type="dxa"/>
              <w:left w:w="70" w:type="dxa"/>
              <w:bottom w:w="70" w:type="dxa"/>
              <w:right w:w="70" w:type="dxa"/>
            </w:tcMar>
            <w:vAlign w:val="center"/>
          </w:tcPr>
          <w:p w14:paraId="27F84D7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15/34 (44.1%)</w:t>
            </w:r>
          </w:p>
        </w:tc>
        <w:tc>
          <w:tcPr>
            <w:tcW w:w="2232" w:type="dxa"/>
            <w:tcBorders>
              <w:top w:val="single" w:color="auto" w:sz="4" w:space="0"/>
              <w:left w:val="nil"/>
              <w:bottom w:val="nil"/>
              <w:right w:val="nil"/>
            </w:tcBorders>
            <w:noWrap w:val="0"/>
            <w:tcMar>
              <w:top w:w="70" w:type="dxa"/>
              <w:left w:w="70" w:type="dxa"/>
              <w:bottom w:w="70" w:type="dxa"/>
              <w:right w:w="70" w:type="dxa"/>
            </w:tcMar>
            <w:vAlign w:val="center"/>
          </w:tcPr>
          <w:p w14:paraId="044476C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34/34 evaluable</w:t>
            </w:r>
          </w:p>
        </w:tc>
        <w:tc>
          <w:tcPr>
            <w:tcW w:w="5472" w:type="dxa"/>
            <w:tcBorders>
              <w:top w:val="single" w:color="auto" w:sz="4" w:space="0"/>
              <w:left w:val="nil"/>
              <w:bottom w:val="nil"/>
              <w:right w:val="nil"/>
            </w:tcBorders>
            <w:noWrap w:val="0"/>
            <w:tcMar>
              <w:top w:w="70" w:type="dxa"/>
              <w:left w:w="70" w:type="dxa"/>
              <w:bottom w:w="70" w:type="dxa"/>
              <w:right w:w="70" w:type="dxa"/>
            </w:tcMar>
            <w:vAlign w:val="center"/>
          </w:tcPr>
          <w:p w14:paraId="4AAA75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Operational LT4 initiation measure; a medication record is not equivalent to a documented treatment indication.</w:t>
            </w:r>
          </w:p>
        </w:tc>
      </w:tr>
      <w:tr w14:paraId="75A20FF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4EF4C5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75FDC02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Levothyroxine recorded on days 1–84 after the event</w:t>
            </w:r>
          </w:p>
        </w:tc>
        <w:tc>
          <w:tcPr>
            <w:tcW w:w="1440" w:type="dxa"/>
            <w:tcBorders>
              <w:top w:val="nil"/>
              <w:left w:val="nil"/>
              <w:bottom w:val="nil"/>
              <w:right w:val="nil"/>
            </w:tcBorders>
            <w:noWrap w:val="0"/>
            <w:tcMar>
              <w:top w:w="70" w:type="dxa"/>
              <w:left w:w="70" w:type="dxa"/>
              <w:bottom w:w="70" w:type="dxa"/>
              <w:right w:w="70" w:type="dxa"/>
            </w:tcMar>
            <w:vAlign w:val="center"/>
          </w:tcPr>
          <w:p w14:paraId="5AEEFDC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11/34 (32.4%)</w:t>
            </w:r>
          </w:p>
        </w:tc>
        <w:tc>
          <w:tcPr>
            <w:tcW w:w="2232" w:type="dxa"/>
            <w:tcBorders>
              <w:top w:val="nil"/>
              <w:left w:val="nil"/>
              <w:bottom w:val="nil"/>
              <w:right w:val="nil"/>
            </w:tcBorders>
            <w:noWrap w:val="0"/>
            <w:tcMar>
              <w:top w:w="70" w:type="dxa"/>
              <w:left w:w="70" w:type="dxa"/>
              <w:bottom w:w="70" w:type="dxa"/>
              <w:right w:w="70" w:type="dxa"/>
            </w:tcMar>
            <w:vAlign w:val="center"/>
          </w:tcPr>
          <w:p w14:paraId="7386E6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34/34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64134FC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Event-timed LT4 use.</w:t>
            </w:r>
          </w:p>
        </w:tc>
      </w:tr>
      <w:tr w14:paraId="612944A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7B7B8A7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3E4D2F4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Non-LT4 thyroid-directed medication on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6F768A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0/34 (0.0%)</w:t>
            </w:r>
          </w:p>
        </w:tc>
        <w:tc>
          <w:tcPr>
            <w:tcW w:w="2232" w:type="dxa"/>
            <w:tcBorders>
              <w:top w:val="nil"/>
              <w:left w:val="nil"/>
              <w:bottom w:val="nil"/>
              <w:right w:val="nil"/>
            </w:tcBorders>
            <w:noWrap w:val="0"/>
            <w:tcMar>
              <w:top w:w="70" w:type="dxa"/>
              <w:left w:w="70" w:type="dxa"/>
              <w:bottom w:w="70" w:type="dxa"/>
              <w:right w:w="70" w:type="dxa"/>
            </w:tcMar>
            <w:vAlign w:val="center"/>
          </w:tcPr>
          <w:p w14:paraId="3C519C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34/34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32FC7D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Includes antithyroid or iodine-containing drugs if identified by the prespecified dictionary.</w:t>
            </w:r>
          </w:p>
        </w:tc>
      </w:tr>
      <w:tr w14:paraId="3BA7F73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2BD012E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3066B6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Corticosteroid exposure within 14 days before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6DE1B8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13/34 (38.2%)</w:t>
            </w:r>
          </w:p>
        </w:tc>
        <w:tc>
          <w:tcPr>
            <w:tcW w:w="2232" w:type="dxa"/>
            <w:tcBorders>
              <w:top w:val="nil"/>
              <w:left w:val="nil"/>
              <w:bottom w:val="nil"/>
              <w:right w:val="nil"/>
            </w:tcBorders>
            <w:noWrap w:val="0"/>
            <w:tcMar>
              <w:top w:w="70" w:type="dxa"/>
              <w:left w:w="70" w:type="dxa"/>
              <w:bottom w:w="70" w:type="dxa"/>
              <w:right w:w="70" w:type="dxa"/>
            </w:tcMar>
            <w:vAlign w:val="center"/>
          </w:tcPr>
          <w:p w14:paraId="71D048B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34/34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4D5AFDD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Contextual exposure; indication is unavailable and it must not be interpreted as thyroid-event treatment.</w:t>
            </w:r>
          </w:p>
        </w:tc>
      </w:tr>
      <w:tr w14:paraId="604CC5B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09EBD08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785F84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TKI exposure within 14 days before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75138CB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7/34 (20.6%)</w:t>
            </w:r>
          </w:p>
        </w:tc>
        <w:tc>
          <w:tcPr>
            <w:tcW w:w="2232" w:type="dxa"/>
            <w:tcBorders>
              <w:top w:val="nil"/>
              <w:left w:val="nil"/>
              <w:bottom w:val="nil"/>
              <w:right w:val="nil"/>
            </w:tcBorders>
            <w:noWrap w:val="0"/>
            <w:tcMar>
              <w:top w:w="70" w:type="dxa"/>
              <w:left w:w="70" w:type="dxa"/>
              <w:bottom w:w="70" w:type="dxa"/>
              <w:right w:w="70" w:type="dxa"/>
            </w:tcMar>
            <w:vAlign w:val="center"/>
          </w:tcPr>
          <w:p w14:paraId="2AADF3D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34/34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1665BF4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Contextual exposure; not a thyroid-specific management measure.</w:t>
            </w:r>
          </w:p>
        </w:tc>
      </w:tr>
      <w:tr w14:paraId="3A1BCDB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46983C0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01CCCA7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ICI temporary interruption or discontinuation attributable to thyroid event</w:t>
            </w:r>
          </w:p>
        </w:tc>
        <w:tc>
          <w:tcPr>
            <w:tcW w:w="1440" w:type="dxa"/>
            <w:tcBorders>
              <w:top w:val="nil"/>
              <w:left w:val="nil"/>
              <w:bottom w:val="nil"/>
              <w:right w:val="nil"/>
            </w:tcBorders>
            <w:noWrap w:val="0"/>
            <w:tcMar>
              <w:top w:w="70" w:type="dxa"/>
              <w:left w:w="70" w:type="dxa"/>
              <w:bottom w:w="70" w:type="dxa"/>
              <w:right w:w="70" w:type="dxa"/>
            </w:tcMar>
            <w:vAlign w:val="center"/>
          </w:tcPr>
          <w:p w14:paraId="6AF8980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nil"/>
              <w:right w:val="nil"/>
            </w:tcBorders>
            <w:noWrap w:val="0"/>
            <w:tcMar>
              <w:top w:w="70" w:type="dxa"/>
              <w:left w:w="70" w:type="dxa"/>
              <w:bottom w:w="70" w:type="dxa"/>
              <w:right w:w="70" w:type="dxa"/>
            </w:tcMar>
            <w:vAlign w:val="center"/>
          </w:tcPr>
          <w:p w14:paraId="633AFB1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reliably ascertainable</w:t>
            </w:r>
          </w:p>
        </w:tc>
        <w:tc>
          <w:tcPr>
            <w:tcW w:w="5472" w:type="dxa"/>
            <w:tcBorders>
              <w:top w:val="nil"/>
              <w:left w:val="nil"/>
              <w:bottom w:val="nil"/>
              <w:right w:val="nil"/>
            </w:tcBorders>
            <w:noWrap w:val="0"/>
            <w:tcMar>
              <w:top w:w="70" w:type="dxa"/>
              <w:left w:w="70" w:type="dxa"/>
              <w:bottom w:w="70" w:type="dxa"/>
              <w:right w:w="70" w:type="dxa"/>
            </w:tcMar>
            <w:vAlign w:val="center"/>
          </w:tcPr>
          <w:p w14:paraId="22AD134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count is reported; treatment gaps cannot be assumed to represent an event-attributable ICI pause.</w:t>
            </w:r>
          </w:p>
        </w:tc>
      </w:tr>
      <w:tr w14:paraId="3D089DD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3741012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3D70DA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Symptoms</w:t>
            </w:r>
          </w:p>
        </w:tc>
        <w:tc>
          <w:tcPr>
            <w:tcW w:w="1440" w:type="dxa"/>
            <w:tcBorders>
              <w:top w:val="nil"/>
              <w:left w:val="nil"/>
              <w:bottom w:val="nil"/>
              <w:right w:val="nil"/>
            </w:tcBorders>
            <w:noWrap w:val="0"/>
            <w:tcMar>
              <w:top w:w="70" w:type="dxa"/>
              <w:left w:w="70" w:type="dxa"/>
              <w:bottom w:w="70" w:type="dxa"/>
              <w:right w:w="70" w:type="dxa"/>
            </w:tcMar>
            <w:vAlign w:val="center"/>
          </w:tcPr>
          <w:p w14:paraId="5BB427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nil"/>
              <w:right w:val="nil"/>
            </w:tcBorders>
            <w:noWrap w:val="0"/>
            <w:tcMar>
              <w:top w:w="70" w:type="dxa"/>
              <w:left w:w="70" w:type="dxa"/>
              <w:bottom w:w="70" w:type="dxa"/>
              <w:right w:w="70" w:type="dxa"/>
            </w:tcMar>
            <w:vAlign w:val="center"/>
          </w:tcPr>
          <w:p w14:paraId="3D508B1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systematically collected</w:t>
            </w:r>
          </w:p>
        </w:tc>
        <w:tc>
          <w:tcPr>
            <w:tcW w:w="5472" w:type="dxa"/>
            <w:tcBorders>
              <w:top w:val="nil"/>
              <w:left w:val="nil"/>
              <w:bottom w:val="nil"/>
              <w:right w:val="nil"/>
            </w:tcBorders>
            <w:noWrap w:val="0"/>
            <w:tcMar>
              <w:top w:w="70" w:type="dxa"/>
              <w:left w:w="70" w:type="dxa"/>
              <w:bottom w:w="70" w:type="dxa"/>
              <w:right w:w="70" w:type="dxa"/>
            </w:tcMar>
            <w:vAlign w:val="center"/>
          </w:tcPr>
          <w:p w14:paraId="18887E2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symptom values are reconstructed or imputed.</w:t>
            </w:r>
          </w:p>
        </w:tc>
      </w:tr>
      <w:tr w14:paraId="635FBB2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61119A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Broader all-monitored Day-365 case-description set (N = 34)</w:t>
            </w:r>
          </w:p>
        </w:tc>
        <w:tc>
          <w:tcPr>
            <w:tcW w:w="3744" w:type="dxa"/>
            <w:tcBorders>
              <w:top w:val="nil"/>
              <w:left w:val="nil"/>
              <w:bottom w:val="nil"/>
              <w:right w:val="nil"/>
            </w:tcBorders>
            <w:noWrap w:val="0"/>
            <w:tcMar>
              <w:top w:w="70" w:type="dxa"/>
              <w:left w:w="70" w:type="dxa"/>
              <w:bottom w:w="70" w:type="dxa"/>
              <w:right w:w="70" w:type="dxa"/>
            </w:tcMar>
            <w:vAlign w:val="center"/>
          </w:tcPr>
          <w:p w14:paraId="171739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Patient-reported outcomes</w:t>
            </w:r>
          </w:p>
        </w:tc>
        <w:tc>
          <w:tcPr>
            <w:tcW w:w="1440" w:type="dxa"/>
            <w:tcBorders>
              <w:top w:val="nil"/>
              <w:left w:val="nil"/>
              <w:bottom w:val="nil"/>
              <w:right w:val="nil"/>
            </w:tcBorders>
            <w:noWrap w:val="0"/>
            <w:tcMar>
              <w:top w:w="70" w:type="dxa"/>
              <w:left w:w="70" w:type="dxa"/>
              <w:bottom w:w="70" w:type="dxa"/>
              <w:right w:w="70" w:type="dxa"/>
            </w:tcMar>
            <w:vAlign w:val="center"/>
          </w:tcPr>
          <w:p w14:paraId="63CCB3D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nil"/>
              <w:right w:val="nil"/>
            </w:tcBorders>
            <w:noWrap w:val="0"/>
            <w:tcMar>
              <w:top w:w="70" w:type="dxa"/>
              <w:left w:w="70" w:type="dxa"/>
              <w:bottom w:w="70" w:type="dxa"/>
              <w:right w:w="70" w:type="dxa"/>
            </w:tcMar>
            <w:vAlign w:val="center"/>
          </w:tcPr>
          <w:p w14:paraId="4178C6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systematically collected</w:t>
            </w:r>
          </w:p>
        </w:tc>
        <w:tc>
          <w:tcPr>
            <w:tcW w:w="5472" w:type="dxa"/>
            <w:tcBorders>
              <w:top w:val="nil"/>
              <w:left w:val="nil"/>
              <w:bottom w:val="nil"/>
              <w:right w:val="nil"/>
            </w:tcBorders>
            <w:noWrap w:val="0"/>
            <w:tcMar>
              <w:top w:w="70" w:type="dxa"/>
              <w:left w:w="70" w:type="dxa"/>
              <w:bottom w:w="70" w:type="dxa"/>
              <w:right w:w="70" w:type="dxa"/>
            </w:tcMar>
            <w:vAlign w:val="center"/>
          </w:tcPr>
          <w:p w14:paraId="3B25DA6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PRO values are reconstructed or imputed.</w:t>
            </w:r>
          </w:p>
        </w:tc>
      </w:tr>
      <w:tr w14:paraId="5E5526A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2A644BB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2D2078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First recorded levothyroxine after ICI initiation</w:t>
            </w:r>
          </w:p>
        </w:tc>
        <w:tc>
          <w:tcPr>
            <w:tcW w:w="1440" w:type="dxa"/>
            <w:tcBorders>
              <w:top w:val="nil"/>
              <w:left w:val="nil"/>
              <w:bottom w:val="nil"/>
              <w:right w:val="nil"/>
            </w:tcBorders>
            <w:noWrap w:val="0"/>
            <w:tcMar>
              <w:top w:w="70" w:type="dxa"/>
              <w:left w:w="70" w:type="dxa"/>
              <w:bottom w:w="70" w:type="dxa"/>
              <w:right w:w="70" w:type="dxa"/>
            </w:tcMar>
            <w:vAlign w:val="center"/>
          </w:tcPr>
          <w:p w14:paraId="4AFC90B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15/35 (42.9%)</w:t>
            </w:r>
          </w:p>
        </w:tc>
        <w:tc>
          <w:tcPr>
            <w:tcW w:w="2232" w:type="dxa"/>
            <w:tcBorders>
              <w:top w:val="nil"/>
              <w:left w:val="nil"/>
              <w:bottom w:val="nil"/>
              <w:right w:val="nil"/>
            </w:tcBorders>
            <w:noWrap w:val="0"/>
            <w:tcMar>
              <w:top w:w="70" w:type="dxa"/>
              <w:left w:w="70" w:type="dxa"/>
              <w:bottom w:w="70" w:type="dxa"/>
              <w:right w:w="70" w:type="dxa"/>
            </w:tcMar>
            <w:vAlign w:val="center"/>
          </w:tcPr>
          <w:p w14:paraId="6B79E12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35/35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0826EF9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Operational LT4 initiation measure; a medication record is not equivalent to a documented treatment indication.</w:t>
            </w:r>
          </w:p>
        </w:tc>
      </w:tr>
      <w:tr w14:paraId="1A6B3B1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2C2BA14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20D5506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Levothyroxine recorded on days 1–84 after the event</w:t>
            </w:r>
          </w:p>
        </w:tc>
        <w:tc>
          <w:tcPr>
            <w:tcW w:w="1440" w:type="dxa"/>
            <w:tcBorders>
              <w:top w:val="nil"/>
              <w:left w:val="nil"/>
              <w:bottom w:val="nil"/>
              <w:right w:val="nil"/>
            </w:tcBorders>
            <w:noWrap w:val="0"/>
            <w:tcMar>
              <w:top w:w="70" w:type="dxa"/>
              <w:left w:w="70" w:type="dxa"/>
              <w:bottom w:w="70" w:type="dxa"/>
              <w:right w:w="70" w:type="dxa"/>
            </w:tcMar>
            <w:vAlign w:val="center"/>
          </w:tcPr>
          <w:p w14:paraId="53FAE94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11/35 (31.4%)</w:t>
            </w:r>
          </w:p>
        </w:tc>
        <w:tc>
          <w:tcPr>
            <w:tcW w:w="2232" w:type="dxa"/>
            <w:tcBorders>
              <w:top w:val="nil"/>
              <w:left w:val="nil"/>
              <w:bottom w:val="nil"/>
              <w:right w:val="nil"/>
            </w:tcBorders>
            <w:noWrap w:val="0"/>
            <w:tcMar>
              <w:top w:w="70" w:type="dxa"/>
              <w:left w:w="70" w:type="dxa"/>
              <w:bottom w:w="70" w:type="dxa"/>
              <w:right w:w="70" w:type="dxa"/>
            </w:tcMar>
            <w:vAlign w:val="center"/>
          </w:tcPr>
          <w:p w14:paraId="043678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35/35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540D56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Event-timed LT4 use.</w:t>
            </w:r>
          </w:p>
        </w:tc>
      </w:tr>
      <w:tr w14:paraId="289EB8F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427A06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79DF1F5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Non-LT4 thyroid-directed medication on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29767A8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0/35 (0.0%)</w:t>
            </w:r>
          </w:p>
        </w:tc>
        <w:tc>
          <w:tcPr>
            <w:tcW w:w="2232" w:type="dxa"/>
            <w:tcBorders>
              <w:top w:val="nil"/>
              <w:left w:val="nil"/>
              <w:bottom w:val="nil"/>
              <w:right w:val="nil"/>
            </w:tcBorders>
            <w:noWrap w:val="0"/>
            <w:tcMar>
              <w:top w:w="70" w:type="dxa"/>
              <w:left w:w="70" w:type="dxa"/>
              <w:bottom w:w="70" w:type="dxa"/>
              <w:right w:w="70" w:type="dxa"/>
            </w:tcMar>
            <w:vAlign w:val="center"/>
          </w:tcPr>
          <w:p w14:paraId="14D4F09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35/35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512A99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Includes antithyroid or iodine-containing drugs if identified by the prespecified dictionary.</w:t>
            </w:r>
          </w:p>
        </w:tc>
      </w:tr>
      <w:tr w14:paraId="68B1A5D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3777694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12A38E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Corticosteroid exposure within 14 days before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42F6D67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13/35 (37.1%)</w:t>
            </w:r>
          </w:p>
        </w:tc>
        <w:tc>
          <w:tcPr>
            <w:tcW w:w="2232" w:type="dxa"/>
            <w:tcBorders>
              <w:top w:val="nil"/>
              <w:left w:val="nil"/>
              <w:bottom w:val="nil"/>
              <w:right w:val="nil"/>
            </w:tcBorders>
            <w:noWrap w:val="0"/>
            <w:tcMar>
              <w:top w:w="70" w:type="dxa"/>
              <w:left w:w="70" w:type="dxa"/>
              <w:bottom w:w="70" w:type="dxa"/>
              <w:right w:w="70" w:type="dxa"/>
            </w:tcMar>
            <w:vAlign w:val="center"/>
          </w:tcPr>
          <w:p w14:paraId="54B9780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35/35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4EAEAE6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Contextual exposure; indication is unavailable and it must not be interpreted as thyroid-event treatment.</w:t>
            </w:r>
          </w:p>
        </w:tc>
      </w:tr>
      <w:tr w14:paraId="1685CCC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3E58694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424AEBB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TKI exposure within 14 days before or after event</w:t>
            </w:r>
          </w:p>
        </w:tc>
        <w:tc>
          <w:tcPr>
            <w:tcW w:w="1440" w:type="dxa"/>
            <w:tcBorders>
              <w:top w:val="nil"/>
              <w:left w:val="nil"/>
              <w:bottom w:val="nil"/>
              <w:right w:val="nil"/>
            </w:tcBorders>
            <w:noWrap w:val="0"/>
            <w:tcMar>
              <w:top w:w="70" w:type="dxa"/>
              <w:left w:w="70" w:type="dxa"/>
              <w:bottom w:w="70" w:type="dxa"/>
              <w:right w:w="70" w:type="dxa"/>
            </w:tcMar>
            <w:vAlign w:val="center"/>
          </w:tcPr>
          <w:p w14:paraId="070F2C4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8/35 (22.9%)</w:t>
            </w:r>
          </w:p>
        </w:tc>
        <w:tc>
          <w:tcPr>
            <w:tcW w:w="2232" w:type="dxa"/>
            <w:tcBorders>
              <w:top w:val="nil"/>
              <w:left w:val="nil"/>
              <w:bottom w:val="nil"/>
              <w:right w:val="nil"/>
            </w:tcBorders>
            <w:noWrap w:val="0"/>
            <w:tcMar>
              <w:top w:w="70" w:type="dxa"/>
              <w:left w:w="70" w:type="dxa"/>
              <w:bottom w:w="70" w:type="dxa"/>
              <w:right w:w="70" w:type="dxa"/>
            </w:tcMar>
            <w:vAlign w:val="center"/>
          </w:tcPr>
          <w:p w14:paraId="19584A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35/35 evaluable</w:t>
            </w:r>
          </w:p>
        </w:tc>
        <w:tc>
          <w:tcPr>
            <w:tcW w:w="5472" w:type="dxa"/>
            <w:tcBorders>
              <w:top w:val="nil"/>
              <w:left w:val="nil"/>
              <w:bottom w:val="nil"/>
              <w:right w:val="nil"/>
            </w:tcBorders>
            <w:noWrap w:val="0"/>
            <w:tcMar>
              <w:top w:w="70" w:type="dxa"/>
              <w:left w:w="70" w:type="dxa"/>
              <w:bottom w:w="70" w:type="dxa"/>
              <w:right w:w="70" w:type="dxa"/>
            </w:tcMar>
            <w:vAlign w:val="center"/>
          </w:tcPr>
          <w:p w14:paraId="7170D50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Contextual exposure; not a thyroid-specific management measure.</w:t>
            </w:r>
          </w:p>
        </w:tc>
      </w:tr>
      <w:tr w14:paraId="572DDD5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27526F6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0300A0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ICI temporary interruption or discontinuation attributable to thyroid event</w:t>
            </w:r>
          </w:p>
        </w:tc>
        <w:tc>
          <w:tcPr>
            <w:tcW w:w="1440" w:type="dxa"/>
            <w:tcBorders>
              <w:top w:val="nil"/>
              <w:left w:val="nil"/>
              <w:bottom w:val="nil"/>
              <w:right w:val="nil"/>
            </w:tcBorders>
            <w:noWrap w:val="0"/>
            <w:tcMar>
              <w:top w:w="70" w:type="dxa"/>
              <w:left w:w="70" w:type="dxa"/>
              <w:bottom w:w="70" w:type="dxa"/>
              <w:right w:w="70" w:type="dxa"/>
            </w:tcMar>
            <w:vAlign w:val="center"/>
          </w:tcPr>
          <w:p w14:paraId="13EB41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nil"/>
              <w:right w:val="nil"/>
            </w:tcBorders>
            <w:noWrap w:val="0"/>
            <w:tcMar>
              <w:top w:w="70" w:type="dxa"/>
              <w:left w:w="70" w:type="dxa"/>
              <w:bottom w:w="70" w:type="dxa"/>
              <w:right w:w="70" w:type="dxa"/>
            </w:tcMar>
            <w:vAlign w:val="center"/>
          </w:tcPr>
          <w:p w14:paraId="73552F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reliably ascertainable</w:t>
            </w:r>
          </w:p>
        </w:tc>
        <w:tc>
          <w:tcPr>
            <w:tcW w:w="5472" w:type="dxa"/>
            <w:tcBorders>
              <w:top w:val="nil"/>
              <w:left w:val="nil"/>
              <w:bottom w:val="nil"/>
              <w:right w:val="nil"/>
            </w:tcBorders>
            <w:noWrap w:val="0"/>
            <w:tcMar>
              <w:top w:w="70" w:type="dxa"/>
              <w:left w:w="70" w:type="dxa"/>
              <w:bottom w:w="70" w:type="dxa"/>
              <w:right w:w="70" w:type="dxa"/>
            </w:tcMar>
            <w:vAlign w:val="center"/>
          </w:tcPr>
          <w:p w14:paraId="2D8E48B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count is reported; treatment gaps cannot be assumed to represent an event-attributable ICI pause.</w:t>
            </w:r>
          </w:p>
        </w:tc>
      </w:tr>
      <w:tr w14:paraId="65D0E89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nil"/>
              <w:right w:val="nil"/>
            </w:tcBorders>
            <w:noWrap w:val="0"/>
            <w:tcMar>
              <w:top w:w="70" w:type="dxa"/>
              <w:left w:w="70" w:type="dxa"/>
              <w:bottom w:w="70" w:type="dxa"/>
              <w:right w:w="70" w:type="dxa"/>
            </w:tcMar>
            <w:vAlign w:val="center"/>
          </w:tcPr>
          <w:p w14:paraId="1756B66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nil"/>
              <w:right w:val="nil"/>
            </w:tcBorders>
            <w:noWrap w:val="0"/>
            <w:tcMar>
              <w:top w:w="70" w:type="dxa"/>
              <w:left w:w="70" w:type="dxa"/>
              <w:bottom w:w="70" w:type="dxa"/>
              <w:right w:w="70" w:type="dxa"/>
            </w:tcMar>
            <w:vAlign w:val="center"/>
          </w:tcPr>
          <w:p w14:paraId="04B6B5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Symptoms</w:t>
            </w:r>
          </w:p>
        </w:tc>
        <w:tc>
          <w:tcPr>
            <w:tcW w:w="1440" w:type="dxa"/>
            <w:tcBorders>
              <w:top w:val="nil"/>
              <w:left w:val="nil"/>
              <w:bottom w:val="nil"/>
              <w:right w:val="nil"/>
            </w:tcBorders>
            <w:noWrap w:val="0"/>
            <w:tcMar>
              <w:top w:w="70" w:type="dxa"/>
              <w:left w:w="70" w:type="dxa"/>
              <w:bottom w:w="70" w:type="dxa"/>
              <w:right w:w="70" w:type="dxa"/>
            </w:tcMar>
            <w:vAlign w:val="center"/>
          </w:tcPr>
          <w:p w14:paraId="1FC927A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nil"/>
              <w:right w:val="nil"/>
            </w:tcBorders>
            <w:noWrap w:val="0"/>
            <w:tcMar>
              <w:top w:w="70" w:type="dxa"/>
              <w:left w:w="70" w:type="dxa"/>
              <w:bottom w:w="70" w:type="dxa"/>
              <w:right w:w="70" w:type="dxa"/>
            </w:tcMar>
            <w:vAlign w:val="center"/>
          </w:tcPr>
          <w:p w14:paraId="42C793D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systematically collected</w:t>
            </w:r>
          </w:p>
        </w:tc>
        <w:tc>
          <w:tcPr>
            <w:tcW w:w="5472" w:type="dxa"/>
            <w:tcBorders>
              <w:top w:val="nil"/>
              <w:left w:val="nil"/>
              <w:bottom w:val="nil"/>
              <w:right w:val="nil"/>
            </w:tcBorders>
            <w:noWrap w:val="0"/>
            <w:tcMar>
              <w:top w:w="70" w:type="dxa"/>
              <w:left w:w="70" w:type="dxa"/>
              <w:bottom w:w="70" w:type="dxa"/>
              <w:right w:w="70" w:type="dxa"/>
            </w:tcMar>
            <w:vAlign w:val="center"/>
          </w:tcPr>
          <w:p w14:paraId="400434E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symptom values are reconstructed or imputed.</w:t>
            </w:r>
          </w:p>
        </w:tc>
      </w:tr>
      <w:tr w14:paraId="108ADB6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312" w:type="dxa"/>
            <w:tcBorders>
              <w:top w:val="nil"/>
              <w:left w:val="nil"/>
              <w:bottom w:val="single" w:color="auto" w:sz="12" w:space="0"/>
              <w:right w:val="nil"/>
            </w:tcBorders>
            <w:noWrap w:val="0"/>
            <w:tcMar>
              <w:top w:w="70" w:type="dxa"/>
              <w:left w:w="70" w:type="dxa"/>
              <w:bottom w:w="70" w:type="dxa"/>
              <w:right w:w="70" w:type="dxa"/>
            </w:tcMar>
            <w:vAlign w:val="center"/>
          </w:tcPr>
          <w:p w14:paraId="7790E7E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Secondary endpoint: adjudicated thyroid dysfunction during all available follow-up (N = 35)</w:t>
            </w:r>
          </w:p>
        </w:tc>
        <w:tc>
          <w:tcPr>
            <w:tcW w:w="3744" w:type="dxa"/>
            <w:tcBorders>
              <w:top w:val="nil"/>
              <w:left w:val="nil"/>
              <w:bottom w:val="single" w:color="auto" w:sz="12" w:space="0"/>
              <w:right w:val="nil"/>
            </w:tcBorders>
            <w:noWrap w:val="0"/>
            <w:tcMar>
              <w:top w:w="70" w:type="dxa"/>
              <w:left w:w="70" w:type="dxa"/>
              <w:bottom w:w="70" w:type="dxa"/>
              <w:right w:w="70" w:type="dxa"/>
            </w:tcMar>
            <w:vAlign w:val="center"/>
          </w:tcPr>
          <w:p w14:paraId="3948E4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left"/>
              <w:textAlignment w:val="auto"/>
              <w:rPr>
                <w:sz w:val="18"/>
                <w:szCs w:val="18"/>
              </w:rPr>
            </w:pPr>
            <w:r>
              <w:rPr>
                <w:rFonts w:ascii="Times New Roman" w:hAnsi="Times New Roman" w:eastAsia="宋体"/>
                <w:b w:val="0"/>
                <w:color w:val="000000"/>
                <w:sz w:val="18"/>
                <w:szCs w:val="18"/>
              </w:rPr>
              <w:t>Patient-reported outcomes</w:t>
            </w:r>
          </w:p>
        </w:tc>
        <w:tc>
          <w:tcPr>
            <w:tcW w:w="1440" w:type="dxa"/>
            <w:tcBorders>
              <w:top w:val="nil"/>
              <w:left w:val="nil"/>
              <w:bottom w:val="single" w:color="auto" w:sz="12" w:space="0"/>
              <w:right w:val="nil"/>
            </w:tcBorders>
            <w:noWrap w:val="0"/>
            <w:tcMar>
              <w:top w:w="70" w:type="dxa"/>
              <w:left w:w="70" w:type="dxa"/>
              <w:bottom w:w="70" w:type="dxa"/>
              <w:right w:w="70" w:type="dxa"/>
            </w:tcMar>
            <w:vAlign w:val="center"/>
          </w:tcPr>
          <w:p w14:paraId="2D070F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estimable</w:t>
            </w:r>
          </w:p>
        </w:tc>
        <w:tc>
          <w:tcPr>
            <w:tcW w:w="2232" w:type="dxa"/>
            <w:tcBorders>
              <w:top w:val="nil"/>
              <w:left w:val="nil"/>
              <w:bottom w:val="single" w:color="auto" w:sz="12" w:space="0"/>
              <w:right w:val="nil"/>
            </w:tcBorders>
            <w:noWrap w:val="0"/>
            <w:tcMar>
              <w:top w:w="70" w:type="dxa"/>
              <w:left w:w="70" w:type="dxa"/>
              <w:bottom w:w="70" w:type="dxa"/>
              <w:right w:w="70" w:type="dxa"/>
            </w:tcMar>
            <w:vAlign w:val="center"/>
          </w:tcPr>
          <w:p w14:paraId="272988B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Not systematically collected</w:t>
            </w:r>
          </w:p>
        </w:tc>
        <w:tc>
          <w:tcPr>
            <w:tcW w:w="5472" w:type="dxa"/>
            <w:tcBorders>
              <w:top w:val="nil"/>
              <w:left w:val="nil"/>
              <w:bottom w:val="single" w:color="auto" w:sz="12" w:space="0"/>
              <w:right w:val="nil"/>
            </w:tcBorders>
            <w:noWrap w:val="0"/>
            <w:tcMar>
              <w:top w:w="70" w:type="dxa"/>
              <w:left w:w="70" w:type="dxa"/>
              <w:bottom w:w="70" w:type="dxa"/>
              <w:right w:w="70" w:type="dxa"/>
            </w:tcMar>
            <w:vAlign w:val="center"/>
          </w:tcPr>
          <w:p w14:paraId="426E4E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jc w:val="center"/>
              <w:textAlignment w:val="auto"/>
              <w:rPr>
                <w:sz w:val="18"/>
                <w:szCs w:val="18"/>
              </w:rPr>
            </w:pPr>
            <w:r>
              <w:rPr>
                <w:rFonts w:ascii="Times New Roman" w:hAnsi="Times New Roman" w:eastAsia="宋体"/>
                <w:b w:val="0"/>
                <w:color w:val="000000"/>
                <w:sz w:val="18"/>
                <w:szCs w:val="18"/>
              </w:rPr>
              <w:t>No PRO values are reconstructed or imputed.</w:t>
            </w:r>
          </w:p>
        </w:tc>
      </w:tr>
    </w:tbl>
    <w:p w14:paraId="0B78E5C7">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 34-case group is from the broader 273-patient monitored cohort, not the primary 30-event cohort. Primary management window is Days 1–84 after the event. One extra event-day-only LT4 record yields 12/34 (35.3%) when the event day (Day 0 relative to event onset) is included; in all 35 events the inclusive count is 12/35 (34.3%). Drug records do not prove indication or attribution; symptoms, PROs and event-attributed ICI interruption were not systematically ascertainable.</w:t>
      </w:r>
    </w:p>
    <w:p w14:paraId="1B208AAA">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S4. Ten exploratory univariable coefficient tests in the primary cohort</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2592"/>
        <w:gridCol w:w="4608"/>
        <w:gridCol w:w="1224"/>
        <w:gridCol w:w="3384"/>
        <w:gridCol w:w="1440"/>
        <w:gridCol w:w="1512"/>
      </w:tblGrid>
      <w:tr w14:paraId="1C9EFB6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2592" w:type="dxa"/>
            <w:tcBorders>
              <w:top w:val="single" w:color="auto" w:sz="12" w:space="0"/>
              <w:left w:val="nil"/>
              <w:bottom w:val="nil"/>
              <w:right w:val="nil"/>
            </w:tcBorders>
            <w:noWrap w:val="0"/>
            <w:tcMar>
              <w:top w:w="-1" w:type="dxa"/>
              <w:left w:w="-1" w:type="dxa"/>
              <w:bottom w:w="-1" w:type="dxa"/>
              <w:right w:w="-1" w:type="dxa"/>
            </w:tcMar>
            <w:vAlign w:val="center"/>
          </w:tcPr>
          <w:p w14:paraId="1000AD17">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Variable</w:t>
            </w:r>
          </w:p>
        </w:tc>
        <w:tc>
          <w:tcPr>
            <w:tcW w:w="4608" w:type="dxa"/>
            <w:tcBorders>
              <w:top w:val="single" w:color="auto" w:sz="12" w:space="0"/>
              <w:left w:val="nil"/>
              <w:bottom w:val="nil"/>
              <w:right w:val="nil"/>
            </w:tcBorders>
            <w:noWrap w:val="0"/>
            <w:tcMar>
              <w:top w:w="-1" w:type="dxa"/>
              <w:left w:w="-1" w:type="dxa"/>
              <w:bottom w:w="-1" w:type="dxa"/>
              <w:right w:w="-1" w:type="dxa"/>
            </w:tcMar>
            <w:vAlign w:val="center"/>
          </w:tcPr>
          <w:p w14:paraId="4098E7E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Contrast</w:t>
            </w:r>
          </w:p>
        </w:tc>
        <w:tc>
          <w:tcPr>
            <w:tcW w:w="1224" w:type="dxa"/>
            <w:tcBorders>
              <w:top w:val="single" w:color="auto" w:sz="12" w:space="0"/>
              <w:left w:val="nil"/>
              <w:bottom w:val="nil"/>
              <w:right w:val="nil"/>
            </w:tcBorders>
            <w:noWrap w:val="0"/>
            <w:tcMar>
              <w:top w:w="-1" w:type="dxa"/>
              <w:left w:w="-1" w:type="dxa"/>
              <w:bottom w:w="-1" w:type="dxa"/>
              <w:right w:w="-1" w:type="dxa"/>
            </w:tcMar>
            <w:vAlign w:val="center"/>
          </w:tcPr>
          <w:p w14:paraId="3609E155">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N/events</w:t>
            </w:r>
          </w:p>
        </w:tc>
        <w:tc>
          <w:tcPr>
            <w:tcW w:w="3384" w:type="dxa"/>
            <w:tcBorders>
              <w:top w:val="single" w:color="auto" w:sz="12" w:space="0"/>
              <w:left w:val="nil"/>
              <w:bottom w:val="nil"/>
              <w:right w:val="nil"/>
            </w:tcBorders>
            <w:noWrap w:val="0"/>
            <w:tcMar>
              <w:top w:w="-1" w:type="dxa"/>
              <w:left w:w="-1" w:type="dxa"/>
              <w:bottom w:w="-1" w:type="dxa"/>
              <w:right w:w="-1" w:type="dxa"/>
            </w:tcMar>
            <w:vAlign w:val="center"/>
          </w:tcPr>
          <w:p w14:paraId="6D7370B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OR (95% CI)</w:t>
            </w:r>
          </w:p>
        </w:tc>
        <w:tc>
          <w:tcPr>
            <w:tcW w:w="1440" w:type="dxa"/>
            <w:tcBorders>
              <w:top w:val="single" w:color="auto" w:sz="12" w:space="0"/>
              <w:left w:val="nil"/>
              <w:bottom w:val="nil"/>
              <w:right w:val="nil"/>
            </w:tcBorders>
            <w:noWrap w:val="0"/>
            <w:tcMar>
              <w:top w:w="-1" w:type="dxa"/>
              <w:left w:w="-1" w:type="dxa"/>
              <w:bottom w:w="-1" w:type="dxa"/>
              <w:right w:w="-1" w:type="dxa"/>
            </w:tcMar>
            <w:vAlign w:val="center"/>
          </w:tcPr>
          <w:p w14:paraId="435BED69">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P</w:t>
            </w:r>
          </w:p>
        </w:tc>
        <w:tc>
          <w:tcPr>
            <w:tcW w:w="1512" w:type="dxa"/>
            <w:tcBorders>
              <w:top w:val="single" w:color="auto" w:sz="12" w:space="0"/>
              <w:left w:val="nil"/>
              <w:bottom w:val="nil"/>
              <w:right w:val="nil"/>
            </w:tcBorders>
            <w:noWrap w:val="0"/>
            <w:tcMar>
              <w:top w:w="-1" w:type="dxa"/>
              <w:left w:w="-1" w:type="dxa"/>
              <w:bottom w:w="-1" w:type="dxa"/>
              <w:right w:w="-1" w:type="dxa"/>
            </w:tcMar>
            <w:vAlign w:val="center"/>
          </w:tcPr>
          <w:p w14:paraId="787E2AC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BH q</w:t>
            </w:r>
          </w:p>
        </w:tc>
      </w:tr>
      <w:tr w14:paraId="56F2A24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single" w:color="auto" w:sz="4" w:space="0"/>
              <w:left w:val="nil"/>
              <w:bottom w:val="nil"/>
              <w:right w:val="nil"/>
            </w:tcBorders>
            <w:noWrap w:val="0"/>
            <w:tcMar>
              <w:top w:w="-1" w:type="dxa"/>
              <w:left w:w="-1" w:type="dxa"/>
              <w:bottom w:w="-1" w:type="dxa"/>
              <w:right w:w="-1" w:type="dxa"/>
            </w:tcMar>
            <w:vAlign w:val="center"/>
          </w:tcPr>
          <w:p w14:paraId="4A0B39A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Age</w:t>
            </w:r>
          </w:p>
        </w:tc>
        <w:tc>
          <w:tcPr>
            <w:tcW w:w="4608" w:type="dxa"/>
            <w:tcBorders>
              <w:top w:val="single" w:color="auto" w:sz="4" w:space="0"/>
              <w:left w:val="nil"/>
              <w:bottom w:val="nil"/>
              <w:right w:val="nil"/>
            </w:tcBorders>
            <w:noWrap w:val="0"/>
            <w:tcMar>
              <w:top w:w="-1" w:type="dxa"/>
              <w:left w:w="-1" w:type="dxa"/>
              <w:bottom w:w="-1" w:type="dxa"/>
              <w:right w:w="-1" w:type="dxa"/>
            </w:tcMar>
            <w:vAlign w:val="center"/>
          </w:tcPr>
          <w:p w14:paraId="3A02E13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Per year</w:t>
            </w:r>
          </w:p>
        </w:tc>
        <w:tc>
          <w:tcPr>
            <w:tcW w:w="1224" w:type="dxa"/>
            <w:tcBorders>
              <w:top w:val="single" w:color="auto" w:sz="4" w:space="0"/>
              <w:left w:val="nil"/>
              <w:bottom w:val="nil"/>
              <w:right w:val="nil"/>
            </w:tcBorders>
            <w:noWrap w:val="0"/>
            <w:tcMar>
              <w:top w:w="-1" w:type="dxa"/>
              <w:left w:w="-1" w:type="dxa"/>
              <w:bottom w:w="-1" w:type="dxa"/>
              <w:right w:w="-1" w:type="dxa"/>
            </w:tcMar>
            <w:vAlign w:val="center"/>
          </w:tcPr>
          <w:p w14:paraId="0657523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single" w:color="auto" w:sz="4" w:space="0"/>
              <w:left w:val="nil"/>
              <w:bottom w:val="nil"/>
              <w:right w:val="nil"/>
            </w:tcBorders>
            <w:noWrap w:val="0"/>
            <w:tcMar>
              <w:top w:w="-1" w:type="dxa"/>
              <w:left w:w="-1" w:type="dxa"/>
              <w:bottom w:w="-1" w:type="dxa"/>
              <w:right w:w="-1" w:type="dxa"/>
            </w:tcMar>
            <w:vAlign w:val="center"/>
          </w:tcPr>
          <w:p w14:paraId="01E1E62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1.00 (0.97–1.03)</w:t>
            </w:r>
          </w:p>
        </w:tc>
        <w:tc>
          <w:tcPr>
            <w:tcW w:w="1440" w:type="dxa"/>
            <w:tcBorders>
              <w:top w:val="single" w:color="auto" w:sz="4" w:space="0"/>
              <w:left w:val="nil"/>
              <w:bottom w:val="nil"/>
              <w:right w:val="nil"/>
            </w:tcBorders>
            <w:noWrap w:val="0"/>
            <w:tcMar>
              <w:top w:w="-1" w:type="dxa"/>
              <w:left w:w="-1" w:type="dxa"/>
              <w:bottom w:w="-1" w:type="dxa"/>
              <w:right w:w="-1" w:type="dxa"/>
            </w:tcMar>
            <w:vAlign w:val="center"/>
          </w:tcPr>
          <w:p w14:paraId="14B0E53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0.984</w:t>
            </w:r>
          </w:p>
        </w:tc>
        <w:tc>
          <w:tcPr>
            <w:tcW w:w="1512" w:type="dxa"/>
            <w:tcBorders>
              <w:top w:val="single" w:color="auto" w:sz="4" w:space="0"/>
              <w:left w:val="nil"/>
              <w:bottom w:val="nil"/>
              <w:right w:val="nil"/>
            </w:tcBorders>
            <w:noWrap w:val="0"/>
            <w:tcMar>
              <w:top w:w="-1" w:type="dxa"/>
              <w:left w:w="-1" w:type="dxa"/>
              <w:bottom w:w="-1" w:type="dxa"/>
              <w:right w:w="-1" w:type="dxa"/>
            </w:tcMar>
            <w:vAlign w:val="center"/>
          </w:tcPr>
          <w:p w14:paraId="3C23645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0.98444</w:t>
            </w:r>
          </w:p>
        </w:tc>
      </w:tr>
      <w:tr w14:paraId="1526E9C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0872F6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Sex</w:t>
            </w:r>
          </w:p>
        </w:tc>
        <w:tc>
          <w:tcPr>
            <w:tcW w:w="4608" w:type="dxa"/>
            <w:tcBorders>
              <w:top w:val="nil"/>
              <w:left w:val="nil"/>
              <w:bottom w:val="nil"/>
              <w:right w:val="nil"/>
            </w:tcBorders>
            <w:noWrap w:val="0"/>
            <w:tcMar>
              <w:top w:w="-1" w:type="dxa"/>
              <w:left w:w="-1" w:type="dxa"/>
              <w:bottom w:w="-1" w:type="dxa"/>
              <w:right w:w="-1" w:type="dxa"/>
            </w:tcMar>
            <w:vAlign w:val="center"/>
          </w:tcPr>
          <w:p w14:paraId="266159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Female vs Male</w:t>
            </w:r>
          </w:p>
        </w:tc>
        <w:tc>
          <w:tcPr>
            <w:tcW w:w="1224" w:type="dxa"/>
            <w:tcBorders>
              <w:top w:val="nil"/>
              <w:left w:val="nil"/>
              <w:bottom w:val="nil"/>
              <w:right w:val="nil"/>
            </w:tcBorders>
            <w:noWrap w:val="0"/>
            <w:tcMar>
              <w:top w:w="-1" w:type="dxa"/>
              <w:left w:w="-1" w:type="dxa"/>
              <w:bottom w:w="-1" w:type="dxa"/>
              <w:right w:w="-1" w:type="dxa"/>
            </w:tcMar>
            <w:vAlign w:val="center"/>
          </w:tcPr>
          <w:p w14:paraId="0AD992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20705CF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1.44 (0.64–3.28)</w:t>
            </w:r>
          </w:p>
        </w:tc>
        <w:tc>
          <w:tcPr>
            <w:tcW w:w="1440" w:type="dxa"/>
            <w:tcBorders>
              <w:top w:val="nil"/>
              <w:left w:val="nil"/>
              <w:bottom w:val="nil"/>
              <w:right w:val="nil"/>
            </w:tcBorders>
            <w:noWrap w:val="0"/>
            <w:tcMar>
              <w:top w:w="-1" w:type="dxa"/>
              <w:left w:w="-1" w:type="dxa"/>
              <w:bottom w:w="-1" w:type="dxa"/>
              <w:right w:w="-1" w:type="dxa"/>
            </w:tcMar>
            <w:vAlign w:val="center"/>
          </w:tcPr>
          <w:p w14:paraId="2196EC9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0.379</w:t>
            </w:r>
          </w:p>
        </w:tc>
        <w:tc>
          <w:tcPr>
            <w:tcW w:w="1512" w:type="dxa"/>
            <w:tcBorders>
              <w:top w:val="nil"/>
              <w:left w:val="nil"/>
              <w:bottom w:val="nil"/>
              <w:right w:val="nil"/>
            </w:tcBorders>
            <w:noWrap w:val="0"/>
            <w:tcMar>
              <w:top w:w="-1" w:type="dxa"/>
              <w:left w:w="-1" w:type="dxa"/>
              <w:bottom w:w="-1" w:type="dxa"/>
              <w:right w:w="-1" w:type="dxa"/>
            </w:tcMar>
            <w:vAlign w:val="center"/>
          </w:tcPr>
          <w:p w14:paraId="78E67EB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0.47411</w:t>
            </w:r>
          </w:p>
        </w:tc>
      </w:tr>
      <w:tr w14:paraId="6EBBACB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3B68815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BMI</w:t>
            </w:r>
          </w:p>
        </w:tc>
        <w:tc>
          <w:tcPr>
            <w:tcW w:w="4608" w:type="dxa"/>
            <w:tcBorders>
              <w:top w:val="nil"/>
              <w:left w:val="nil"/>
              <w:bottom w:val="nil"/>
              <w:right w:val="nil"/>
            </w:tcBorders>
            <w:noWrap w:val="0"/>
            <w:tcMar>
              <w:top w:w="-1" w:type="dxa"/>
              <w:left w:w="-1" w:type="dxa"/>
              <w:bottom w:w="-1" w:type="dxa"/>
              <w:right w:w="-1" w:type="dxa"/>
            </w:tcMar>
            <w:vAlign w:val="center"/>
          </w:tcPr>
          <w:p w14:paraId="3ED8D9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Per kg/m2</w:t>
            </w:r>
          </w:p>
        </w:tc>
        <w:tc>
          <w:tcPr>
            <w:tcW w:w="1224" w:type="dxa"/>
            <w:tcBorders>
              <w:top w:val="nil"/>
              <w:left w:val="nil"/>
              <w:bottom w:val="nil"/>
              <w:right w:val="nil"/>
            </w:tcBorders>
            <w:noWrap w:val="0"/>
            <w:tcMar>
              <w:top w:w="-1" w:type="dxa"/>
              <w:left w:w="-1" w:type="dxa"/>
              <w:bottom w:w="-1" w:type="dxa"/>
              <w:right w:w="-1" w:type="dxa"/>
            </w:tcMar>
            <w:vAlign w:val="center"/>
          </w:tcPr>
          <w:p w14:paraId="6050680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7B04331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1.11 (1.01–1.22)</w:t>
            </w:r>
          </w:p>
        </w:tc>
        <w:tc>
          <w:tcPr>
            <w:tcW w:w="1440" w:type="dxa"/>
            <w:tcBorders>
              <w:top w:val="nil"/>
              <w:left w:val="nil"/>
              <w:bottom w:val="nil"/>
              <w:right w:val="nil"/>
            </w:tcBorders>
            <w:noWrap w:val="0"/>
            <w:tcMar>
              <w:top w:w="-1" w:type="dxa"/>
              <w:left w:w="-1" w:type="dxa"/>
              <w:bottom w:w="-1" w:type="dxa"/>
              <w:right w:w="-1" w:type="dxa"/>
            </w:tcMar>
            <w:vAlign w:val="center"/>
          </w:tcPr>
          <w:p w14:paraId="2259802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0.028</w:t>
            </w:r>
          </w:p>
        </w:tc>
        <w:tc>
          <w:tcPr>
            <w:tcW w:w="1512" w:type="dxa"/>
            <w:tcBorders>
              <w:top w:val="nil"/>
              <w:left w:val="nil"/>
              <w:bottom w:val="nil"/>
              <w:right w:val="nil"/>
            </w:tcBorders>
            <w:noWrap w:val="0"/>
            <w:tcMar>
              <w:top w:w="-1" w:type="dxa"/>
              <w:left w:w="-1" w:type="dxa"/>
              <w:bottom w:w="-1" w:type="dxa"/>
              <w:right w:w="-1" w:type="dxa"/>
            </w:tcMar>
            <w:vAlign w:val="center"/>
          </w:tcPr>
          <w:p w14:paraId="7FD998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0.05600</w:t>
            </w:r>
          </w:p>
        </w:tc>
      </w:tr>
      <w:tr w14:paraId="2E6460B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53EF2E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TSH</w:t>
            </w:r>
          </w:p>
        </w:tc>
        <w:tc>
          <w:tcPr>
            <w:tcW w:w="4608" w:type="dxa"/>
            <w:tcBorders>
              <w:top w:val="nil"/>
              <w:left w:val="nil"/>
              <w:bottom w:val="nil"/>
              <w:right w:val="nil"/>
            </w:tcBorders>
            <w:noWrap w:val="0"/>
            <w:tcMar>
              <w:top w:w="-1" w:type="dxa"/>
              <w:left w:w="-1" w:type="dxa"/>
              <w:bottom w:w="-1" w:type="dxa"/>
              <w:right w:w="-1" w:type="dxa"/>
            </w:tcMar>
            <w:vAlign w:val="center"/>
          </w:tcPr>
          <w:p w14:paraId="560804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Per mIU/L</w:t>
            </w:r>
          </w:p>
        </w:tc>
        <w:tc>
          <w:tcPr>
            <w:tcW w:w="1224" w:type="dxa"/>
            <w:tcBorders>
              <w:top w:val="nil"/>
              <w:left w:val="nil"/>
              <w:bottom w:val="nil"/>
              <w:right w:val="nil"/>
            </w:tcBorders>
            <w:noWrap w:val="0"/>
            <w:tcMar>
              <w:top w:w="-1" w:type="dxa"/>
              <w:left w:w="-1" w:type="dxa"/>
              <w:bottom w:w="-1" w:type="dxa"/>
              <w:right w:w="-1" w:type="dxa"/>
            </w:tcMar>
            <w:vAlign w:val="center"/>
          </w:tcPr>
          <w:p w14:paraId="09D5D98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076C42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1.69 (1.25–2.27)</w:t>
            </w:r>
          </w:p>
        </w:tc>
        <w:tc>
          <w:tcPr>
            <w:tcW w:w="1440" w:type="dxa"/>
            <w:tcBorders>
              <w:top w:val="nil"/>
              <w:left w:val="nil"/>
              <w:bottom w:val="nil"/>
              <w:right w:val="nil"/>
            </w:tcBorders>
            <w:noWrap w:val="0"/>
            <w:tcMar>
              <w:top w:w="-1" w:type="dxa"/>
              <w:left w:w="-1" w:type="dxa"/>
              <w:bottom w:w="-1" w:type="dxa"/>
              <w:right w:w="-1" w:type="dxa"/>
            </w:tcMar>
            <w:vAlign w:val="center"/>
          </w:tcPr>
          <w:p w14:paraId="203EAC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&lt;0.001</w:t>
            </w:r>
          </w:p>
        </w:tc>
        <w:tc>
          <w:tcPr>
            <w:tcW w:w="1512" w:type="dxa"/>
            <w:tcBorders>
              <w:top w:val="nil"/>
              <w:left w:val="nil"/>
              <w:bottom w:val="nil"/>
              <w:right w:val="nil"/>
            </w:tcBorders>
            <w:noWrap w:val="0"/>
            <w:tcMar>
              <w:top w:w="-1" w:type="dxa"/>
              <w:left w:w="-1" w:type="dxa"/>
              <w:bottom w:w="-1" w:type="dxa"/>
              <w:right w:w="-1" w:type="dxa"/>
            </w:tcMar>
            <w:vAlign w:val="center"/>
          </w:tcPr>
          <w:p w14:paraId="6C3B68D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0.00274</w:t>
            </w:r>
          </w:p>
        </w:tc>
      </w:tr>
      <w:tr w14:paraId="7D03C18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7124E68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FT4</w:t>
            </w:r>
          </w:p>
        </w:tc>
        <w:tc>
          <w:tcPr>
            <w:tcW w:w="4608" w:type="dxa"/>
            <w:tcBorders>
              <w:top w:val="nil"/>
              <w:left w:val="nil"/>
              <w:bottom w:val="nil"/>
              <w:right w:val="nil"/>
            </w:tcBorders>
            <w:noWrap w:val="0"/>
            <w:tcMar>
              <w:top w:w="-1" w:type="dxa"/>
              <w:left w:w="-1" w:type="dxa"/>
              <w:bottom w:w="-1" w:type="dxa"/>
              <w:right w:w="-1" w:type="dxa"/>
            </w:tcMar>
            <w:vAlign w:val="center"/>
          </w:tcPr>
          <w:p w14:paraId="3C494A2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Per pmol/L</w:t>
            </w:r>
          </w:p>
        </w:tc>
        <w:tc>
          <w:tcPr>
            <w:tcW w:w="1224" w:type="dxa"/>
            <w:tcBorders>
              <w:top w:val="nil"/>
              <w:left w:val="nil"/>
              <w:bottom w:val="nil"/>
              <w:right w:val="nil"/>
            </w:tcBorders>
            <w:noWrap w:val="0"/>
            <w:tcMar>
              <w:top w:w="-1" w:type="dxa"/>
              <w:left w:w="-1" w:type="dxa"/>
              <w:bottom w:w="-1" w:type="dxa"/>
              <w:right w:w="-1" w:type="dxa"/>
            </w:tcMar>
            <w:vAlign w:val="center"/>
          </w:tcPr>
          <w:p w14:paraId="5799F8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20A6C6D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0.86 (0.69–1.06)</w:t>
            </w:r>
          </w:p>
        </w:tc>
        <w:tc>
          <w:tcPr>
            <w:tcW w:w="1440" w:type="dxa"/>
            <w:tcBorders>
              <w:top w:val="nil"/>
              <w:left w:val="nil"/>
              <w:bottom w:val="nil"/>
              <w:right w:val="nil"/>
            </w:tcBorders>
            <w:noWrap w:val="0"/>
            <w:tcMar>
              <w:top w:w="-1" w:type="dxa"/>
              <w:left w:w="-1" w:type="dxa"/>
              <w:bottom w:w="-1" w:type="dxa"/>
              <w:right w:w="-1" w:type="dxa"/>
            </w:tcMar>
            <w:vAlign w:val="center"/>
          </w:tcPr>
          <w:p w14:paraId="6D1188A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0.152</w:t>
            </w:r>
          </w:p>
        </w:tc>
        <w:tc>
          <w:tcPr>
            <w:tcW w:w="1512" w:type="dxa"/>
            <w:tcBorders>
              <w:top w:val="nil"/>
              <w:left w:val="nil"/>
              <w:bottom w:val="nil"/>
              <w:right w:val="nil"/>
            </w:tcBorders>
            <w:noWrap w:val="0"/>
            <w:tcMar>
              <w:top w:w="-1" w:type="dxa"/>
              <w:left w:w="-1" w:type="dxa"/>
              <w:bottom w:w="-1" w:type="dxa"/>
              <w:right w:w="-1" w:type="dxa"/>
            </w:tcMar>
            <w:vAlign w:val="center"/>
          </w:tcPr>
          <w:p w14:paraId="6C9C70E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0.25364</w:t>
            </w:r>
          </w:p>
        </w:tc>
      </w:tr>
      <w:tr w14:paraId="671A3D4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43690CF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TgAb/TPOAb status</w:t>
            </w:r>
          </w:p>
        </w:tc>
        <w:tc>
          <w:tcPr>
            <w:tcW w:w="4608" w:type="dxa"/>
            <w:tcBorders>
              <w:top w:val="nil"/>
              <w:left w:val="nil"/>
              <w:bottom w:val="nil"/>
              <w:right w:val="nil"/>
            </w:tcBorders>
            <w:noWrap w:val="0"/>
            <w:tcMar>
              <w:top w:w="-1" w:type="dxa"/>
              <w:left w:w="-1" w:type="dxa"/>
              <w:bottom w:w="-1" w:type="dxa"/>
              <w:right w:w="-1" w:type="dxa"/>
            </w:tcMar>
            <w:vAlign w:val="center"/>
          </w:tcPr>
          <w:p w14:paraId="6F326C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Positive vs Negative</w:t>
            </w:r>
          </w:p>
        </w:tc>
        <w:tc>
          <w:tcPr>
            <w:tcW w:w="1224" w:type="dxa"/>
            <w:tcBorders>
              <w:top w:val="nil"/>
              <w:left w:val="nil"/>
              <w:bottom w:val="nil"/>
              <w:right w:val="nil"/>
            </w:tcBorders>
            <w:noWrap w:val="0"/>
            <w:tcMar>
              <w:top w:w="-1" w:type="dxa"/>
              <w:left w:w="-1" w:type="dxa"/>
              <w:bottom w:w="-1" w:type="dxa"/>
              <w:right w:w="-1" w:type="dxa"/>
            </w:tcMar>
            <w:vAlign w:val="center"/>
          </w:tcPr>
          <w:p w14:paraId="353460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239/30</w:t>
            </w:r>
          </w:p>
        </w:tc>
        <w:tc>
          <w:tcPr>
            <w:tcW w:w="3384" w:type="dxa"/>
            <w:tcBorders>
              <w:top w:val="nil"/>
              <w:left w:val="nil"/>
              <w:bottom w:val="nil"/>
              <w:right w:val="nil"/>
            </w:tcBorders>
            <w:noWrap w:val="0"/>
            <w:tcMar>
              <w:top w:w="-1" w:type="dxa"/>
              <w:left w:w="-1" w:type="dxa"/>
              <w:bottom w:w="-1" w:type="dxa"/>
              <w:right w:w="-1" w:type="dxa"/>
            </w:tcMar>
            <w:vAlign w:val="center"/>
          </w:tcPr>
          <w:p w14:paraId="6A44BA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8.73 (3.44–22.14)</w:t>
            </w:r>
          </w:p>
        </w:tc>
        <w:tc>
          <w:tcPr>
            <w:tcW w:w="1440" w:type="dxa"/>
            <w:tcBorders>
              <w:top w:val="nil"/>
              <w:left w:val="nil"/>
              <w:bottom w:val="nil"/>
              <w:right w:val="nil"/>
            </w:tcBorders>
            <w:noWrap w:val="0"/>
            <w:tcMar>
              <w:top w:w="-1" w:type="dxa"/>
              <w:left w:w="-1" w:type="dxa"/>
              <w:bottom w:w="-1" w:type="dxa"/>
              <w:right w:w="-1" w:type="dxa"/>
            </w:tcMar>
            <w:vAlign w:val="center"/>
          </w:tcPr>
          <w:p w14:paraId="4B5420F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&lt;0.001</w:t>
            </w:r>
          </w:p>
        </w:tc>
        <w:tc>
          <w:tcPr>
            <w:tcW w:w="1512" w:type="dxa"/>
            <w:tcBorders>
              <w:top w:val="nil"/>
              <w:left w:val="nil"/>
              <w:bottom w:val="nil"/>
              <w:right w:val="nil"/>
            </w:tcBorders>
            <w:noWrap w:val="0"/>
            <w:tcMar>
              <w:top w:w="-1" w:type="dxa"/>
              <w:left w:w="-1" w:type="dxa"/>
              <w:bottom w:w="-1" w:type="dxa"/>
              <w:right w:w="-1" w:type="dxa"/>
            </w:tcMar>
            <w:vAlign w:val="center"/>
          </w:tcPr>
          <w:p w14:paraId="14C1F0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0.00005</w:t>
            </w:r>
          </w:p>
        </w:tc>
      </w:tr>
      <w:tr w14:paraId="63FCFA3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195C5F6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Merged tumour system</w:t>
            </w:r>
          </w:p>
        </w:tc>
        <w:tc>
          <w:tcPr>
            <w:tcW w:w="4608" w:type="dxa"/>
            <w:tcBorders>
              <w:top w:val="nil"/>
              <w:left w:val="nil"/>
              <w:bottom w:val="nil"/>
              <w:right w:val="nil"/>
            </w:tcBorders>
            <w:noWrap w:val="0"/>
            <w:tcMar>
              <w:top w:w="-1" w:type="dxa"/>
              <w:left w:w="-1" w:type="dxa"/>
              <w:bottom w:w="-1" w:type="dxa"/>
              <w:right w:w="-1" w:type="dxa"/>
            </w:tcMar>
            <w:vAlign w:val="center"/>
          </w:tcPr>
          <w:p w14:paraId="404011E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Digestive/HBP vs Lung/thoracic</w:t>
            </w:r>
          </w:p>
        </w:tc>
        <w:tc>
          <w:tcPr>
            <w:tcW w:w="1224" w:type="dxa"/>
            <w:tcBorders>
              <w:top w:val="nil"/>
              <w:left w:val="nil"/>
              <w:bottom w:val="nil"/>
              <w:right w:val="nil"/>
            </w:tcBorders>
            <w:noWrap w:val="0"/>
            <w:tcMar>
              <w:top w:w="-1" w:type="dxa"/>
              <w:left w:w="-1" w:type="dxa"/>
              <w:bottom w:w="-1" w:type="dxa"/>
              <w:right w:w="-1" w:type="dxa"/>
            </w:tcMar>
            <w:vAlign w:val="center"/>
          </w:tcPr>
          <w:p w14:paraId="05832A1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63B1ED6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1.76 (0.62–5.00)</w:t>
            </w:r>
          </w:p>
        </w:tc>
        <w:tc>
          <w:tcPr>
            <w:tcW w:w="1440" w:type="dxa"/>
            <w:tcBorders>
              <w:top w:val="nil"/>
              <w:left w:val="nil"/>
              <w:bottom w:val="nil"/>
              <w:right w:val="nil"/>
            </w:tcBorders>
            <w:noWrap w:val="0"/>
            <w:tcMar>
              <w:top w:w="-1" w:type="dxa"/>
              <w:left w:w="-1" w:type="dxa"/>
              <w:bottom w:w="-1" w:type="dxa"/>
              <w:right w:w="-1" w:type="dxa"/>
            </w:tcMar>
            <w:vAlign w:val="center"/>
          </w:tcPr>
          <w:p w14:paraId="1110F25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0.290</w:t>
            </w:r>
          </w:p>
        </w:tc>
        <w:tc>
          <w:tcPr>
            <w:tcW w:w="1512" w:type="dxa"/>
            <w:tcBorders>
              <w:top w:val="nil"/>
              <w:left w:val="nil"/>
              <w:bottom w:val="nil"/>
              <w:right w:val="nil"/>
            </w:tcBorders>
            <w:noWrap w:val="0"/>
            <w:tcMar>
              <w:top w:w="-1" w:type="dxa"/>
              <w:left w:w="-1" w:type="dxa"/>
              <w:bottom w:w="-1" w:type="dxa"/>
              <w:right w:w="-1" w:type="dxa"/>
            </w:tcMar>
            <w:vAlign w:val="center"/>
          </w:tcPr>
          <w:p w14:paraId="14E3D0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0.41364</w:t>
            </w:r>
          </w:p>
        </w:tc>
      </w:tr>
      <w:tr w14:paraId="239FB06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3A3B3AE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Merged tumour system</w:t>
            </w:r>
          </w:p>
        </w:tc>
        <w:tc>
          <w:tcPr>
            <w:tcW w:w="4608" w:type="dxa"/>
            <w:tcBorders>
              <w:top w:val="nil"/>
              <w:left w:val="nil"/>
              <w:bottom w:val="nil"/>
              <w:right w:val="nil"/>
            </w:tcBorders>
            <w:noWrap w:val="0"/>
            <w:tcMar>
              <w:top w:w="-1" w:type="dxa"/>
              <w:left w:w="-1" w:type="dxa"/>
              <w:bottom w:w="-1" w:type="dxa"/>
              <w:right w:w="-1" w:type="dxa"/>
            </w:tcMar>
            <w:vAlign w:val="center"/>
          </w:tcPr>
          <w:p w14:paraId="4C84B0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Urologic/gynecologic vs Lung/thoracic</w:t>
            </w:r>
          </w:p>
        </w:tc>
        <w:tc>
          <w:tcPr>
            <w:tcW w:w="1224" w:type="dxa"/>
            <w:tcBorders>
              <w:top w:val="nil"/>
              <w:left w:val="nil"/>
              <w:bottom w:val="nil"/>
              <w:right w:val="nil"/>
            </w:tcBorders>
            <w:noWrap w:val="0"/>
            <w:tcMar>
              <w:top w:w="-1" w:type="dxa"/>
              <w:left w:w="-1" w:type="dxa"/>
              <w:bottom w:w="-1" w:type="dxa"/>
              <w:right w:w="-1" w:type="dxa"/>
            </w:tcMar>
            <w:vAlign w:val="center"/>
          </w:tcPr>
          <w:p w14:paraId="1F68C8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26AFA56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0.96 (0.17–5.28)</w:t>
            </w:r>
          </w:p>
        </w:tc>
        <w:tc>
          <w:tcPr>
            <w:tcW w:w="1440" w:type="dxa"/>
            <w:tcBorders>
              <w:top w:val="nil"/>
              <w:left w:val="nil"/>
              <w:bottom w:val="nil"/>
              <w:right w:val="nil"/>
            </w:tcBorders>
            <w:noWrap w:val="0"/>
            <w:tcMar>
              <w:top w:w="-1" w:type="dxa"/>
              <w:left w:w="-1" w:type="dxa"/>
              <w:bottom w:w="-1" w:type="dxa"/>
              <w:right w:w="-1" w:type="dxa"/>
            </w:tcMar>
            <w:vAlign w:val="center"/>
          </w:tcPr>
          <w:p w14:paraId="017DCCC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0.963</w:t>
            </w:r>
          </w:p>
        </w:tc>
        <w:tc>
          <w:tcPr>
            <w:tcW w:w="1512" w:type="dxa"/>
            <w:tcBorders>
              <w:top w:val="nil"/>
              <w:left w:val="nil"/>
              <w:bottom w:val="nil"/>
              <w:right w:val="nil"/>
            </w:tcBorders>
            <w:noWrap w:val="0"/>
            <w:tcMar>
              <w:top w:w="-1" w:type="dxa"/>
              <w:left w:w="-1" w:type="dxa"/>
              <w:bottom w:w="-1" w:type="dxa"/>
              <w:right w:w="-1" w:type="dxa"/>
            </w:tcMar>
            <w:vAlign w:val="center"/>
          </w:tcPr>
          <w:p w14:paraId="116B8A7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0.98444</w:t>
            </w:r>
          </w:p>
        </w:tc>
      </w:tr>
      <w:tr w14:paraId="555E427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nil"/>
              <w:right w:val="nil"/>
            </w:tcBorders>
            <w:noWrap w:val="0"/>
            <w:tcMar>
              <w:top w:w="-1" w:type="dxa"/>
              <w:left w:w="-1" w:type="dxa"/>
              <w:bottom w:w="-1" w:type="dxa"/>
              <w:right w:w="-1" w:type="dxa"/>
            </w:tcMar>
            <w:vAlign w:val="center"/>
          </w:tcPr>
          <w:p w14:paraId="53552A2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Merged tumour system</w:t>
            </w:r>
          </w:p>
        </w:tc>
        <w:tc>
          <w:tcPr>
            <w:tcW w:w="4608" w:type="dxa"/>
            <w:tcBorders>
              <w:top w:val="nil"/>
              <w:left w:val="nil"/>
              <w:bottom w:val="nil"/>
              <w:right w:val="nil"/>
            </w:tcBorders>
            <w:noWrap w:val="0"/>
            <w:tcMar>
              <w:top w:w="-1" w:type="dxa"/>
              <w:left w:w="-1" w:type="dxa"/>
              <w:bottom w:w="-1" w:type="dxa"/>
              <w:right w:w="-1" w:type="dxa"/>
            </w:tcMar>
            <w:vAlign w:val="center"/>
          </w:tcPr>
          <w:p w14:paraId="3501FB8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HN/skin/other rare vs Lung/thoracic</w:t>
            </w:r>
          </w:p>
        </w:tc>
        <w:tc>
          <w:tcPr>
            <w:tcW w:w="1224" w:type="dxa"/>
            <w:tcBorders>
              <w:top w:val="nil"/>
              <w:left w:val="nil"/>
              <w:bottom w:val="nil"/>
              <w:right w:val="nil"/>
            </w:tcBorders>
            <w:noWrap w:val="0"/>
            <w:tcMar>
              <w:top w:w="-1" w:type="dxa"/>
              <w:left w:w="-1" w:type="dxa"/>
              <w:bottom w:w="-1" w:type="dxa"/>
              <w:right w:w="-1" w:type="dxa"/>
            </w:tcMar>
            <w:vAlign w:val="center"/>
          </w:tcPr>
          <w:p w14:paraId="3C52B3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nil"/>
              <w:right w:val="nil"/>
            </w:tcBorders>
            <w:noWrap w:val="0"/>
            <w:tcMar>
              <w:top w:w="-1" w:type="dxa"/>
              <w:left w:w="-1" w:type="dxa"/>
              <w:bottom w:w="-1" w:type="dxa"/>
              <w:right w:w="-1" w:type="dxa"/>
            </w:tcMar>
            <w:vAlign w:val="center"/>
          </w:tcPr>
          <w:p w14:paraId="590F10B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8.00 (2.02–31.74)</w:t>
            </w:r>
          </w:p>
        </w:tc>
        <w:tc>
          <w:tcPr>
            <w:tcW w:w="1440" w:type="dxa"/>
            <w:tcBorders>
              <w:top w:val="nil"/>
              <w:left w:val="nil"/>
              <w:bottom w:val="nil"/>
              <w:right w:val="nil"/>
            </w:tcBorders>
            <w:noWrap w:val="0"/>
            <w:tcMar>
              <w:top w:w="-1" w:type="dxa"/>
              <w:left w:w="-1" w:type="dxa"/>
              <w:bottom w:w="-1" w:type="dxa"/>
              <w:right w:w="-1" w:type="dxa"/>
            </w:tcMar>
            <w:vAlign w:val="center"/>
          </w:tcPr>
          <w:p w14:paraId="602075E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0.003</w:t>
            </w:r>
          </w:p>
        </w:tc>
        <w:tc>
          <w:tcPr>
            <w:tcW w:w="1512" w:type="dxa"/>
            <w:tcBorders>
              <w:top w:val="nil"/>
              <w:left w:val="nil"/>
              <w:bottom w:val="nil"/>
              <w:right w:val="nil"/>
            </w:tcBorders>
            <w:noWrap w:val="0"/>
            <w:tcMar>
              <w:top w:w="-1" w:type="dxa"/>
              <w:left w:w="-1" w:type="dxa"/>
              <w:bottom w:w="-1" w:type="dxa"/>
              <w:right w:w="-1" w:type="dxa"/>
            </w:tcMar>
            <w:vAlign w:val="center"/>
          </w:tcPr>
          <w:p w14:paraId="4ED9B6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0.01035</w:t>
            </w:r>
          </w:p>
        </w:tc>
      </w:tr>
      <w:tr w14:paraId="0FCD505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592" w:type="dxa"/>
            <w:tcBorders>
              <w:top w:val="nil"/>
              <w:left w:val="nil"/>
              <w:bottom w:val="single" w:color="auto" w:sz="12" w:space="0"/>
              <w:right w:val="nil"/>
            </w:tcBorders>
            <w:noWrap w:val="0"/>
            <w:tcMar>
              <w:top w:w="-1" w:type="dxa"/>
              <w:left w:w="-1" w:type="dxa"/>
              <w:bottom w:w="-1" w:type="dxa"/>
              <w:right w:w="-1" w:type="dxa"/>
            </w:tcMar>
            <w:vAlign w:val="center"/>
          </w:tcPr>
          <w:p w14:paraId="36642CE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TKI record</w:t>
            </w:r>
          </w:p>
        </w:tc>
        <w:tc>
          <w:tcPr>
            <w:tcW w:w="4608" w:type="dxa"/>
            <w:tcBorders>
              <w:top w:val="nil"/>
              <w:left w:val="nil"/>
              <w:bottom w:val="single" w:color="auto" w:sz="12" w:space="0"/>
              <w:right w:val="nil"/>
            </w:tcBorders>
            <w:noWrap w:val="0"/>
            <w:tcMar>
              <w:top w:w="-1" w:type="dxa"/>
              <w:left w:w="-1" w:type="dxa"/>
              <w:bottom w:w="-1" w:type="dxa"/>
              <w:right w:w="-1" w:type="dxa"/>
            </w:tcMar>
            <w:vAlign w:val="center"/>
          </w:tcPr>
          <w:p w14:paraId="0009F85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 vs No</w:t>
            </w:r>
          </w:p>
        </w:tc>
        <w:tc>
          <w:tcPr>
            <w:tcW w:w="1224" w:type="dxa"/>
            <w:tcBorders>
              <w:top w:val="nil"/>
              <w:left w:val="nil"/>
              <w:bottom w:val="single" w:color="auto" w:sz="12" w:space="0"/>
              <w:right w:val="nil"/>
            </w:tcBorders>
            <w:noWrap w:val="0"/>
            <w:tcMar>
              <w:top w:w="-1" w:type="dxa"/>
              <w:left w:w="-1" w:type="dxa"/>
              <w:bottom w:w="-1" w:type="dxa"/>
              <w:right w:w="-1" w:type="dxa"/>
            </w:tcMar>
            <w:vAlign w:val="center"/>
          </w:tcPr>
          <w:p w14:paraId="5261BCF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240/30</w:t>
            </w:r>
          </w:p>
        </w:tc>
        <w:tc>
          <w:tcPr>
            <w:tcW w:w="3384" w:type="dxa"/>
            <w:tcBorders>
              <w:top w:val="nil"/>
              <w:left w:val="nil"/>
              <w:bottom w:val="single" w:color="auto" w:sz="12" w:space="0"/>
              <w:right w:val="nil"/>
            </w:tcBorders>
            <w:noWrap w:val="0"/>
            <w:tcMar>
              <w:top w:w="-1" w:type="dxa"/>
              <w:left w:w="-1" w:type="dxa"/>
              <w:bottom w:w="-1" w:type="dxa"/>
              <w:right w:w="-1" w:type="dxa"/>
            </w:tcMar>
            <w:vAlign w:val="center"/>
          </w:tcPr>
          <w:p w14:paraId="6EFA2E3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2.96 (1.18–7.40)</w:t>
            </w:r>
          </w:p>
        </w:tc>
        <w:tc>
          <w:tcPr>
            <w:tcW w:w="1440" w:type="dxa"/>
            <w:tcBorders>
              <w:top w:val="nil"/>
              <w:left w:val="nil"/>
              <w:bottom w:val="single" w:color="auto" w:sz="12" w:space="0"/>
              <w:right w:val="nil"/>
            </w:tcBorders>
            <w:noWrap w:val="0"/>
            <w:tcMar>
              <w:top w:w="-1" w:type="dxa"/>
              <w:left w:w="-1" w:type="dxa"/>
              <w:bottom w:w="-1" w:type="dxa"/>
              <w:right w:w="-1" w:type="dxa"/>
            </w:tcMar>
            <w:vAlign w:val="center"/>
          </w:tcPr>
          <w:p w14:paraId="18AB072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0.021</w:t>
            </w:r>
          </w:p>
        </w:tc>
        <w:tc>
          <w:tcPr>
            <w:tcW w:w="1512" w:type="dxa"/>
            <w:tcBorders>
              <w:top w:val="nil"/>
              <w:left w:val="nil"/>
              <w:bottom w:val="single" w:color="auto" w:sz="12" w:space="0"/>
              <w:right w:val="nil"/>
            </w:tcBorders>
            <w:noWrap w:val="0"/>
            <w:tcMar>
              <w:top w:w="-1" w:type="dxa"/>
              <w:left w:w="-1" w:type="dxa"/>
              <w:bottom w:w="-1" w:type="dxa"/>
              <w:right w:w="-1" w:type="dxa"/>
            </w:tcMar>
            <w:vAlign w:val="center"/>
          </w:tcPr>
          <w:p w14:paraId="5C5357A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0.05154</w:t>
            </w:r>
          </w:p>
        </w:tc>
      </w:tr>
    </w:tbl>
    <w:p w14:paraId="25BCA478">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These are ten coefficient tests across eight variables; three tumour contrasts are separate tests. BH is applied only to this family. The TKI q value is 0.05154 and BMI q is 0.05600; neither is below 0.05. Any-time corticosteroids are not tested. Antibody analysis excludes one untested patient. No global tumour-variable P value is included.</w:t>
      </w:r>
    </w:p>
    <w:p w14:paraId="6CF1B9B0">
      <w:pPr>
        <w:pStyle w:val="9"/>
        <w:keepNext/>
        <w:keepLines w:val="0"/>
        <w:pageBreakBefore w:val="0"/>
        <w:widowControl/>
        <w:kinsoku/>
        <w:wordWrap/>
        <w:overflowPunct/>
        <w:topLinePunct w:val="0"/>
        <w:autoSpaceDE/>
        <w:autoSpaceDN/>
        <w:bidi w:val="0"/>
        <w:adjustRightInd/>
        <w:snapToGrid/>
        <w:spacing w:line="360" w:lineRule="auto"/>
        <w:textAlignment w:val="auto"/>
      </w:pPr>
      <w:r>
        <w:rPr>
          <w:sz w:val="22"/>
          <w:szCs w:val="22"/>
        </w:rPr>
        <w:t>Table S4 continued. Sparse tumour-group Firth sensitivity estimates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6768"/>
        <w:gridCol w:w="4536"/>
        <w:gridCol w:w="3600"/>
      </w:tblGrid>
      <w:tr w14:paraId="36C5601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6768" w:type="dxa"/>
            <w:tcBorders>
              <w:top w:val="single" w:color="auto" w:sz="12" w:space="0"/>
              <w:left w:val="nil"/>
              <w:bottom w:val="nil"/>
              <w:right w:val="nil"/>
            </w:tcBorders>
            <w:noWrap w:val="0"/>
            <w:tcMar>
              <w:top w:w="-1" w:type="dxa"/>
              <w:left w:w="-1" w:type="dxa"/>
              <w:bottom w:w="-1" w:type="dxa"/>
              <w:right w:w="-1" w:type="dxa"/>
            </w:tcMar>
            <w:vAlign w:val="center"/>
          </w:tcPr>
          <w:p w14:paraId="79BAABDF">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Contrast against lung/thoracic</w:t>
            </w:r>
          </w:p>
        </w:tc>
        <w:tc>
          <w:tcPr>
            <w:tcW w:w="4536" w:type="dxa"/>
            <w:tcBorders>
              <w:top w:val="single" w:color="auto" w:sz="12" w:space="0"/>
              <w:left w:val="nil"/>
              <w:bottom w:val="nil"/>
              <w:right w:val="nil"/>
            </w:tcBorders>
            <w:noWrap w:val="0"/>
            <w:tcMar>
              <w:top w:w="-1" w:type="dxa"/>
              <w:left w:w="-1" w:type="dxa"/>
              <w:bottom w:w="-1" w:type="dxa"/>
              <w:right w:w="-1" w:type="dxa"/>
            </w:tcMar>
            <w:vAlign w:val="center"/>
          </w:tcPr>
          <w:p w14:paraId="6DD2219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Firth OR (95% CI)</w:t>
            </w:r>
          </w:p>
        </w:tc>
        <w:tc>
          <w:tcPr>
            <w:tcW w:w="3600" w:type="dxa"/>
            <w:tcBorders>
              <w:top w:val="single" w:color="auto" w:sz="12" w:space="0"/>
              <w:left w:val="nil"/>
              <w:bottom w:val="nil"/>
              <w:right w:val="nil"/>
            </w:tcBorders>
            <w:noWrap w:val="0"/>
            <w:tcMar>
              <w:top w:w="-1" w:type="dxa"/>
              <w:left w:w="-1" w:type="dxa"/>
              <w:bottom w:w="-1" w:type="dxa"/>
              <w:right w:w="-1" w:type="dxa"/>
            </w:tcMar>
            <w:vAlign w:val="center"/>
          </w:tcPr>
          <w:p w14:paraId="6FC39C0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Penalized likelihood-ratio P</w:t>
            </w:r>
          </w:p>
        </w:tc>
      </w:tr>
      <w:tr w14:paraId="733620D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single" w:color="auto" w:sz="4" w:space="0"/>
              <w:left w:val="nil"/>
              <w:bottom w:val="nil"/>
              <w:right w:val="nil"/>
            </w:tcBorders>
            <w:noWrap w:val="0"/>
            <w:tcMar>
              <w:top w:w="-1" w:type="dxa"/>
              <w:left w:w="-1" w:type="dxa"/>
              <w:bottom w:w="-1" w:type="dxa"/>
              <w:right w:w="-1" w:type="dxa"/>
            </w:tcMar>
            <w:vAlign w:val="center"/>
          </w:tcPr>
          <w:p w14:paraId="1833010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Digestive/HBP</w:t>
            </w:r>
          </w:p>
        </w:tc>
        <w:tc>
          <w:tcPr>
            <w:tcW w:w="4536" w:type="dxa"/>
            <w:tcBorders>
              <w:top w:val="single" w:color="auto" w:sz="4" w:space="0"/>
              <w:left w:val="nil"/>
              <w:bottom w:val="nil"/>
              <w:right w:val="nil"/>
            </w:tcBorders>
            <w:noWrap w:val="0"/>
            <w:tcMar>
              <w:top w:w="-1" w:type="dxa"/>
              <w:left w:w="-1" w:type="dxa"/>
              <w:bottom w:w="-1" w:type="dxa"/>
              <w:right w:w="-1" w:type="dxa"/>
            </w:tcMar>
            <w:vAlign w:val="center"/>
          </w:tcPr>
          <w:p w14:paraId="611A591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1.65 (0.64–4.96)</w:t>
            </w:r>
          </w:p>
        </w:tc>
        <w:tc>
          <w:tcPr>
            <w:tcW w:w="3600" w:type="dxa"/>
            <w:tcBorders>
              <w:top w:val="single" w:color="auto" w:sz="4" w:space="0"/>
              <w:left w:val="nil"/>
              <w:bottom w:val="nil"/>
              <w:right w:val="nil"/>
            </w:tcBorders>
            <w:noWrap w:val="0"/>
            <w:tcMar>
              <w:top w:w="-1" w:type="dxa"/>
              <w:left w:w="-1" w:type="dxa"/>
              <w:bottom w:w="-1" w:type="dxa"/>
              <w:right w:w="-1" w:type="dxa"/>
            </w:tcMar>
            <w:vAlign w:val="center"/>
          </w:tcPr>
          <w:p w14:paraId="04AF35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0.313</w:t>
            </w:r>
          </w:p>
        </w:tc>
      </w:tr>
      <w:tr w14:paraId="376E68A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064D06D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Urologic/gynecologic</w:t>
            </w:r>
          </w:p>
        </w:tc>
        <w:tc>
          <w:tcPr>
            <w:tcW w:w="4536" w:type="dxa"/>
            <w:tcBorders>
              <w:top w:val="nil"/>
              <w:left w:val="nil"/>
              <w:bottom w:val="nil"/>
              <w:right w:val="nil"/>
            </w:tcBorders>
            <w:noWrap w:val="0"/>
            <w:tcMar>
              <w:top w:w="-1" w:type="dxa"/>
              <w:left w:w="-1" w:type="dxa"/>
              <w:bottom w:w="-1" w:type="dxa"/>
              <w:right w:w="-1" w:type="dxa"/>
            </w:tcMar>
            <w:vAlign w:val="center"/>
          </w:tcPr>
          <w:p w14:paraId="3AE39AD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1.08 (0.18–4.82)</w:t>
            </w:r>
          </w:p>
        </w:tc>
        <w:tc>
          <w:tcPr>
            <w:tcW w:w="3600" w:type="dxa"/>
            <w:tcBorders>
              <w:top w:val="nil"/>
              <w:left w:val="nil"/>
              <w:bottom w:val="nil"/>
              <w:right w:val="nil"/>
            </w:tcBorders>
            <w:noWrap w:val="0"/>
            <w:tcMar>
              <w:top w:w="-1" w:type="dxa"/>
              <w:left w:w="-1" w:type="dxa"/>
              <w:bottom w:w="-1" w:type="dxa"/>
              <w:right w:w="-1" w:type="dxa"/>
            </w:tcMar>
            <w:vAlign w:val="center"/>
          </w:tcPr>
          <w:p w14:paraId="7F441F3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0.925</w:t>
            </w:r>
          </w:p>
        </w:tc>
      </w:tr>
      <w:tr w14:paraId="0C3071F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single" w:color="auto" w:sz="12" w:space="0"/>
              <w:right w:val="nil"/>
            </w:tcBorders>
            <w:noWrap w:val="0"/>
            <w:tcMar>
              <w:top w:w="-1" w:type="dxa"/>
              <w:left w:w="-1" w:type="dxa"/>
              <w:bottom w:w="-1" w:type="dxa"/>
              <w:right w:w="-1" w:type="dxa"/>
            </w:tcMar>
            <w:vAlign w:val="center"/>
          </w:tcPr>
          <w:p w14:paraId="134FB8B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HN/skin/other rare</w:t>
            </w:r>
          </w:p>
        </w:tc>
        <w:tc>
          <w:tcPr>
            <w:tcW w:w="4536" w:type="dxa"/>
            <w:tcBorders>
              <w:top w:val="nil"/>
              <w:left w:val="nil"/>
              <w:bottom w:val="single" w:color="auto" w:sz="12" w:space="0"/>
              <w:right w:val="nil"/>
            </w:tcBorders>
            <w:noWrap w:val="0"/>
            <w:tcMar>
              <w:top w:w="-1" w:type="dxa"/>
              <w:left w:w="-1" w:type="dxa"/>
              <w:bottom w:w="-1" w:type="dxa"/>
              <w:right w:w="-1" w:type="dxa"/>
            </w:tcMar>
            <w:vAlign w:val="center"/>
          </w:tcPr>
          <w:p w14:paraId="0A9D64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7.53 (2.01–29.76)</w:t>
            </w:r>
          </w:p>
        </w:tc>
        <w:tc>
          <w:tcPr>
            <w:tcW w:w="3600" w:type="dxa"/>
            <w:tcBorders>
              <w:top w:val="nil"/>
              <w:left w:val="nil"/>
              <w:bottom w:val="single" w:color="auto" w:sz="12" w:space="0"/>
              <w:right w:val="nil"/>
            </w:tcBorders>
            <w:noWrap w:val="0"/>
            <w:tcMar>
              <w:top w:w="-1" w:type="dxa"/>
              <w:left w:w="-1" w:type="dxa"/>
              <w:bottom w:w="-1" w:type="dxa"/>
              <w:right w:w="-1" w:type="dxa"/>
            </w:tcMar>
            <w:vAlign w:val="center"/>
          </w:tcPr>
          <w:p w14:paraId="53F7C51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0.003</w:t>
            </w:r>
          </w:p>
        </w:tc>
      </w:tr>
    </w:tbl>
    <w:p w14:paraId="44FCAC2E">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S5. Limited-adjustment Firth model</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6768"/>
        <w:gridCol w:w="4536"/>
        <w:gridCol w:w="3600"/>
      </w:tblGrid>
      <w:tr w14:paraId="29FF1AE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6768" w:type="dxa"/>
            <w:tcBorders>
              <w:top w:val="single" w:color="auto" w:sz="12" w:space="0"/>
              <w:left w:val="nil"/>
              <w:bottom w:val="nil"/>
              <w:right w:val="nil"/>
            </w:tcBorders>
            <w:noWrap w:val="0"/>
            <w:tcMar>
              <w:top w:w="-1" w:type="dxa"/>
              <w:left w:w="-1" w:type="dxa"/>
              <w:bottom w:w="-1" w:type="dxa"/>
              <w:right w:w="-1" w:type="dxa"/>
            </w:tcMar>
            <w:vAlign w:val="center"/>
          </w:tcPr>
          <w:p w14:paraId="3E0E6440">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Covariate or contrast</w:t>
            </w:r>
          </w:p>
        </w:tc>
        <w:tc>
          <w:tcPr>
            <w:tcW w:w="4536" w:type="dxa"/>
            <w:tcBorders>
              <w:top w:val="single" w:color="auto" w:sz="12" w:space="0"/>
              <w:left w:val="nil"/>
              <w:bottom w:val="nil"/>
              <w:right w:val="nil"/>
            </w:tcBorders>
            <w:noWrap w:val="0"/>
            <w:tcMar>
              <w:top w:w="-1" w:type="dxa"/>
              <w:left w:w="-1" w:type="dxa"/>
              <w:bottom w:w="-1" w:type="dxa"/>
              <w:right w:w="-1" w:type="dxa"/>
            </w:tcMar>
            <w:vAlign w:val="center"/>
          </w:tcPr>
          <w:p w14:paraId="45FBB307">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Adjusted OR (95% CI)</w:t>
            </w:r>
          </w:p>
        </w:tc>
        <w:tc>
          <w:tcPr>
            <w:tcW w:w="3600" w:type="dxa"/>
            <w:tcBorders>
              <w:top w:val="single" w:color="auto" w:sz="12" w:space="0"/>
              <w:left w:val="nil"/>
              <w:bottom w:val="nil"/>
              <w:right w:val="nil"/>
            </w:tcBorders>
            <w:noWrap w:val="0"/>
            <w:tcMar>
              <w:top w:w="-1" w:type="dxa"/>
              <w:left w:w="-1" w:type="dxa"/>
              <w:bottom w:w="-1" w:type="dxa"/>
              <w:right w:w="-1" w:type="dxa"/>
            </w:tcMar>
            <w:vAlign w:val="center"/>
          </w:tcPr>
          <w:p w14:paraId="61A0FE1C">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Penalized likelihood-ratio P</w:t>
            </w:r>
          </w:p>
        </w:tc>
      </w:tr>
      <w:tr w14:paraId="04DB8E2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single" w:color="auto" w:sz="4" w:space="0"/>
              <w:left w:val="nil"/>
              <w:bottom w:val="nil"/>
              <w:right w:val="nil"/>
            </w:tcBorders>
            <w:noWrap w:val="0"/>
            <w:tcMar>
              <w:top w:w="-1" w:type="dxa"/>
              <w:left w:w="-1" w:type="dxa"/>
              <w:bottom w:w="-1" w:type="dxa"/>
              <w:right w:w="-1" w:type="dxa"/>
            </w:tcMar>
            <w:vAlign w:val="center"/>
          </w:tcPr>
          <w:p w14:paraId="520F68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Antibody positive vs negative</w:t>
            </w:r>
          </w:p>
        </w:tc>
        <w:tc>
          <w:tcPr>
            <w:tcW w:w="4536" w:type="dxa"/>
            <w:tcBorders>
              <w:top w:val="single" w:color="auto" w:sz="4" w:space="0"/>
              <w:left w:val="nil"/>
              <w:bottom w:val="nil"/>
              <w:right w:val="nil"/>
            </w:tcBorders>
            <w:noWrap w:val="0"/>
            <w:tcMar>
              <w:top w:w="-1" w:type="dxa"/>
              <w:left w:w="-1" w:type="dxa"/>
              <w:bottom w:w="-1" w:type="dxa"/>
              <w:right w:w="-1" w:type="dxa"/>
            </w:tcMar>
            <w:vAlign w:val="center"/>
          </w:tcPr>
          <w:p w14:paraId="413021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9.00 (3.21–26.02)</w:t>
            </w:r>
          </w:p>
        </w:tc>
        <w:tc>
          <w:tcPr>
            <w:tcW w:w="3600" w:type="dxa"/>
            <w:tcBorders>
              <w:top w:val="single" w:color="auto" w:sz="4" w:space="0"/>
              <w:left w:val="nil"/>
              <w:bottom w:val="nil"/>
              <w:right w:val="nil"/>
            </w:tcBorders>
            <w:noWrap w:val="0"/>
            <w:tcMar>
              <w:top w:w="-1" w:type="dxa"/>
              <w:left w:w="-1" w:type="dxa"/>
              <w:bottom w:w="-1" w:type="dxa"/>
              <w:right w:w="-1" w:type="dxa"/>
            </w:tcMar>
            <w:vAlign w:val="center"/>
          </w:tcPr>
          <w:p w14:paraId="6C23006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&lt;0.001</w:t>
            </w:r>
          </w:p>
        </w:tc>
      </w:tr>
      <w:tr w14:paraId="77E8ED0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516F05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 per 1 mIU/L</w:t>
            </w:r>
          </w:p>
        </w:tc>
        <w:tc>
          <w:tcPr>
            <w:tcW w:w="4536" w:type="dxa"/>
            <w:tcBorders>
              <w:top w:val="nil"/>
              <w:left w:val="nil"/>
              <w:bottom w:val="nil"/>
              <w:right w:val="nil"/>
            </w:tcBorders>
            <w:noWrap w:val="0"/>
            <w:tcMar>
              <w:top w:w="-1" w:type="dxa"/>
              <w:left w:w="-1" w:type="dxa"/>
              <w:bottom w:w="-1" w:type="dxa"/>
              <w:right w:w="-1" w:type="dxa"/>
            </w:tcMar>
            <w:vAlign w:val="center"/>
          </w:tcPr>
          <w:p w14:paraId="2314AC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1.82 (1.32–2.53)</w:t>
            </w:r>
          </w:p>
        </w:tc>
        <w:tc>
          <w:tcPr>
            <w:tcW w:w="3600" w:type="dxa"/>
            <w:tcBorders>
              <w:top w:val="nil"/>
              <w:left w:val="nil"/>
              <w:bottom w:val="nil"/>
              <w:right w:val="nil"/>
            </w:tcBorders>
            <w:noWrap w:val="0"/>
            <w:tcMar>
              <w:top w:w="-1" w:type="dxa"/>
              <w:left w:w="-1" w:type="dxa"/>
              <w:bottom w:w="-1" w:type="dxa"/>
              <w:right w:w="-1" w:type="dxa"/>
            </w:tcMar>
            <w:vAlign w:val="center"/>
          </w:tcPr>
          <w:p w14:paraId="0D6DD7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&lt;0.001</w:t>
            </w:r>
          </w:p>
        </w:tc>
      </w:tr>
      <w:tr w14:paraId="5D73842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7A6C937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age</w:t>
            </w:r>
          </w:p>
        </w:tc>
        <w:tc>
          <w:tcPr>
            <w:tcW w:w="4536" w:type="dxa"/>
            <w:tcBorders>
              <w:top w:val="nil"/>
              <w:left w:val="nil"/>
              <w:bottom w:val="nil"/>
              <w:right w:val="nil"/>
            </w:tcBorders>
            <w:noWrap w:val="0"/>
            <w:tcMar>
              <w:top w:w="-1" w:type="dxa"/>
              <w:left w:w="-1" w:type="dxa"/>
              <w:bottom w:w="-1" w:type="dxa"/>
              <w:right w:w="-1" w:type="dxa"/>
            </w:tcMar>
            <w:vAlign w:val="center"/>
          </w:tcPr>
          <w:p w14:paraId="282A8C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1.01 (0.98–1.04)</w:t>
            </w:r>
          </w:p>
        </w:tc>
        <w:tc>
          <w:tcPr>
            <w:tcW w:w="3600" w:type="dxa"/>
            <w:tcBorders>
              <w:top w:val="nil"/>
              <w:left w:val="nil"/>
              <w:bottom w:val="nil"/>
              <w:right w:val="nil"/>
            </w:tcBorders>
            <w:noWrap w:val="0"/>
            <w:tcMar>
              <w:top w:w="-1" w:type="dxa"/>
              <w:left w:w="-1" w:type="dxa"/>
              <w:bottom w:w="-1" w:type="dxa"/>
              <w:right w:w="-1" w:type="dxa"/>
            </w:tcMar>
            <w:vAlign w:val="center"/>
          </w:tcPr>
          <w:p w14:paraId="76BF7CE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0.606</w:t>
            </w:r>
          </w:p>
        </w:tc>
      </w:tr>
      <w:tr w14:paraId="642A78E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1B7D4BF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Female vs male</w:t>
            </w:r>
          </w:p>
        </w:tc>
        <w:tc>
          <w:tcPr>
            <w:tcW w:w="4536" w:type="dxa"/>
            <w:tcBorders>
              <w:top w:val="nil"/>
              <w:left w:val="nil"/>
              <w:bottom w:val="nil"/>
              <w:right w:val="nil"/>
            </w:tcBorders>
            <w:noWrap w:val="0"/>
            <w:tcMar>
              <w:top w:w="-1" w:type="dxa"/>
              <w:left w:w="-1" w:type="dxa"/>
              <w:bottom w:w="-1" w:type="dxa"/>
              <w:right w:w="-1" w:type="dxa"/>
            </w:tcMar>
            <w:vAlign w:val="center"/>
          </w:tcPr>
          <w:p w14:paraId="02A1958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1.06 (0.38–2.71)</w:t>
            </w:r>
          </w:p>
        </w:tc>
        <w:tc>
          <w:tcPr>
            <w:tcW w:w="3600" w:type="dxa"/>
            <w:tcBorders>
              <w:top w:val="nil"/>
              <w:left w:val="nil"/>
              <w:bottom w:val="nil"/>
              <w:right w:val="nil"/>
            </w:tcBorders>
            <w:noWrap w:val="0"/>
            <w:tcMar>
              <w:top w:w="-1" w:type="dxa"/>
              <w:left w:w="-1" w:type="dxa"/>
              <w:bottom w:w="-1" w:type="dxa"/>
              <w:right w:w="-1" w:type="dxa"/>
            </w:tcMar>
            <w:vAlign w:val="center"/>
          </w:tcPr>
          <w:p w14:paraId="1B8C12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0.904</w:t>
            </w:r>
          </w:p>
        </w:tc>
      </w:tr>
      <w:tr w14:paraId="6B971E7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29C1D1A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Digestive/HBP</w:t>
            </w:r>
          </w:p>
        </w:tc>
        <w:tc>
          <w:tcPr>
            <w:tcW w:w="4536" w:type="dxa"/>
            <w:tcBorders>
              <w:top w:val="nil"/>
              <w:left w:val="nil"/>
              <w:bottom w:val="nil"/>
              <w:right w:val="nil"/>
            </w:tcBorders>
            <w:noWrap w:val="0"/>
            <w:tcMar>
              <w:top w:w="-1" w:type="dxa"/>
              <w:left w:w="-1" w:type="dxa"/>
              <w:bottom w:w="-1" w:type="dxa"/>
              <w:right w:w="-1" w:type="dxa"/>
            </w:tcMar>
            <w:vAlign w:val="center"/>
          </w:tcPr>
          <w:p w14:paraId="56E08EE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1.94 (0.68–6.49)</w:t>
            </w:r>
          </w:p>
        </w:tc>
        <w:tc>
          <w:tcPr>
            <w:tcW w:w="3600" w:type="dxa"/>
            <w:tcBorders>
              <w:top w:val="nil"/>
              <w:left w:val="nil"/>
              <w:bottom w:val="nil"/>
              <w:right w:val="nil"/>
            </w:tcBorders>
            <w:noWrap w:val="0"/>
            <w:tcMar>
              <w:top w:w="-1" w:type="dxa"/>
              <w:left w:w="-1" w:type="dxa"/>
              <w:bottom w:w="-1" w:type="dxa"/>
              <w:right w:w="-1" w:type="dxa"/>
            </w:tcMar>
            <w:vAlign w:val="center"/>
          </w:tcPr>
          <w:p w14:paraId="5C0FA12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0.224</w:t>
            </w:r>
          </w:p>
        </w:tc>
      </w:tr>
      <w:tr w14:paraId="76A0EB2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nil"/>
              <w:right w:val="nil"/>
            </w:tcBorders>
            <w:noWrap w:val="0"/>
            <w:tcMar>
              <w:top w:w="-1" w:type="dxa"/>
              <w:left w:w="-1" w:type="dxa"/>
              <w:bottom w:w="-1" w:type="dxa"/>
              <w:right w:w="-1" w:type="dxa"/>
            </w:tcMar>
            <w:vAlign w:val="center"/>
          </w:tcPr>
          <w:p w14:paraId="4A96DF1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Urologic/gynecologic</w:t>
            </w:r>
          </w:p>
        </w:tc>
        <w:tc>
          <w:tcPr>
            <w:tcW w:w="4536" w:type="dxa"/>
            <w:tcBorders>
              <w:top w:val="nil"/>
              <w:left w:val="nil"/>
              <w:bottom w:val="nil"/>
              <w:right w:val="nil"/>
            </w:tcBorders>
            <w:noWrap w:val="0"/>
            <w:tcMar>
              <w:top w:w="-1" w:type="dxa"/>
              <w:left w:w="-1" w:type="dxa"/>
              <w:bottom w:w="-1" w:type="dxa"/>
              <w:right w:w="-1" w:type="dxa"/>
            </w:tcMar>
            <w:vAlign w:val="center"/>
          </w:tcPr>
          <w:p w14:paraId="688589D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1.18 (0.16–6.61)</w:t>
            </w:r>
          </w:p>
        </w:tc>
        <w:tc>
          <w:tcPr>
            <w:tcW w:w="3600" w:type="dxa"/>
            <w:tcBorders>
              <w:top w:val="nil"/>
              <w:left w:val="nil"/>
              <w:bottom w:val="nil"/>
              <w:right w:val="nil"/>
            </w:tcBorders>
            <w:noWrap w:val="0"/>
            <w:tcMar>
              <w:top w:w="-1" w:type="dxa"/>
              <w:left w:w="-1" w:type="dxa"/>
              <w:bottom w:w="-1" w:type="dxa"/>
              <w:right w:w="-1" w:type="dxa"/>
            </w:tcMar>
            <w:vAlign w:val="center"/>
          </w:tcPr>
          <w:p w14:paraId="755FD9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0.855</w:t>
            </w:r>
          </w:p>
        </w:tc>
      </w:tr>
      <w:tr w14:paraId="5F474CE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768" w:type="dxa"/>
            <w:tcBorders>
              <w:top w:val="nil"/>
              <w:left w:val="nil"/>
              <w:bottom w:val="single" w:color="auto" w:sz="12" w:space="0"/>
              <w:right w:val="nil"/>
            </w:tcBorders>
            <w:noWrap w:val="0"/>
            <w:tcMar>
              <w:top w:w="-1" w:type="dxa"/>
              <w:left w:w="-1" w:type="dxa"/>
              <w:bottom w:w="-1" w:type="dxa"/>
              <w:right w:w="-1" w:type="dxa"/>
            </w:tcMar>
            <w:vAlign w:val="center"/>
          </w:tcPr>
          <w:p w14:paraId="42E6D6D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HN/skin/other rare</w:t>
            </w:r>
          </w:p>
        </w:tc>
        <w:tc>
          <w:tcPr>
            <w:tcW w:w="4536" w:type="dxa"/>
            <w:tcBorders>
              <w:top w:val="nil"/>
              <w:left w:val="nil"/>
              <w:bottom w:val="single" w:color="auto" w:sz="12" w:space="0"/>
              <w:right w:val="nil"/>
            </w:tcBorders>
            <w:noWrap w:val="0"/>
            <w:tcMar>
              <w:top w:w="-1" w:type="dxa"/>
              <w:left w:w="-1" w:type="dxa"/>
              <w:bottom w:w="-1" w:type="dxa"/>
              <w:right w:w="-1" w:type="dxa"/>
            </w:tcMar>
            <w:vAlign w:val="center"/>
          </w:tcPr>
          <w:p w14:paraId="5E06EF6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11.60 (2.42–61.03)</w:t>
            </w:r>
          </w:p>
        </w:tc>
        <w:tc>
          <w:tcPr>
            <w:tcW w:w="3600" w:type="dxa"/>
            <w:tcBorders>
              <w:top w:val="nil"/>
              <w:left w:val="nil"/>
              <w:bottom w:val="single" w:color="auto" w:sz="12" w:space="0"/>
              <w:right w:val="nil"/>
            </w:tcBorders>
            <w:noWrap w:val="0"/>
            <w:tcMar>
              <w:top w:w="-1" w:type="dxa"/>
              <w:left w:w="-1" w:type="dxa"/>
              <w:bottom w:w="-1" w:type="dxa"/>
              <w:right w:w="-1" w:type="dxa"/>
            </w:tcMar>
            <w:vAlign w:val="center"/>
          </w:tcPr>
          <w:p w14:paraId="6EFC805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0.002</w:t>
            </w:r>
          </w:p>
        </w:tc>
      </w:tr>
    </w:tbl>
    <w:p w14:paraId="4049D2A5">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N=239 complete cases; 30 recorded events; seven slope parameters (4.29 events/parameter). Core exposures are antibody status and TSH; adjustment is for age, sex and four-level tumour group. TKI is excluded. CIs are profile penalized-likelihood intervals. No outcome-driven variable selection or prediction model was performed.</w:t>
      </w:r>
    </w:p>
    <w:p w14:paraId="1640DB27">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S6. Patient-level laboratory abnormality in post-treatment windows in the broader monitored cohort</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1728"/>
        <w:gridCol w:w="1152"/>
        <w:gridCol w:w="3816"/>
        <w:gridCol w:w="1080"/>
        <w:gridCol w:w="3600"/>
        <w:gridCol w:w="3384"/>
      </w:tblGrid>
      <w:tr w14:paraId="624E23E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1728" w:type="dxa"/>
            <w:tcBorders>
              <w:top w:val="single" w:color="auto" w:sz="12" w:space="0"/>
              <w:left w:val="nil"/>
              <w:bottom w:val="nil"/>
              <w:right w:val="nil"/>
            </w:tcBorders>
            <w:noWrap w:val="0"/>
            <w:tcMar>
              <w:top w:w="-1" w:type="dxa"/>
              <w:left w:w="-1" w:type="dxa"/>
              <w:bottom w:w="-1" w:type="dxa"/>
              <w:right w:w="-1" w:type="dxa"/>
            </w:tcMar>
            <w:vAlign w:val="center"/>
          </w:tcPr>
          <w:p w14:paraId="39B9BA9C">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Window</w:t>
            </w:r>
          </w:p>
        </w:tc>
        <w:tc>
          <w:tcPr>
            <w:tcW w:w="1152" w:type="dxa"/>
            <w:tcBorders>
              <w:top w:val="single" w:color="auto" w:sz="12" w:space="0"/>
              <w:left w:val="nil"/>
              <w:bottom w:val="nil"/>
              <w:right w:val="nil"/>
            </w:tcBorders>
            <w:noWrap w:val="0"/>
            <w:tcMar>
              <w:top w:w="-1" w:type="dxa"/>
              <w:left w:w="-1" w:type="dxa"/>
              <w:bottom w:w="-1" w:type="dxa"/>
              <w:right w:w="-1" w:type="dxa"/>
            </w:tcMar>
            <w:vAlign w:val="center"/>
          </w:tcPr>
          <w:p w14:paraId="3FC0D55D">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Analyte</w:t>
            </w:r>
          </w:p>
        </w:tc>
        <w:tc>
          <w:tcPr>
            <w:tcW w:w="3816" w:type="dxa"/>
            <w:tcBorders>
              <w:top w:val="single" w:color="auto" w:sz="12" w:space="0"/>
              <w:left w:val="nil"/>
              <w:bottom w:val="nil"/>
              <w:right w:val="nil"/>
            </w:tcBorders>
            <w:noWrap w:val="0"/>
            <w:tcMar>
              <w:top w:w="-1" w:type="dxa"/>
              <w:left w:w="-1" w:type="dxa"/>
              <w:bottom w:w="-1" w:type="dxa"/>
              <w:right w:w="-1" w:type="dxa"/>
            </w:tcMar>
            <w:vAlign w:val="center"/>
          </w:tcPr>
          <w:p w14:paraId="491B2DE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Patients with ≥1 abnormal result</w:t>
            </w:r>
          </w:p>
        </w:tc>
        <w:tc>
          <w:tcPr>
            <w:tcW w:w="1080" w:type="dxa"/>
            <w:tcBorders>
              <w:top w:val="single" w:color="auto" w:sz="12" w:space="0"/>
              <w:left w:val="nil"/>
              <w:bottom w:val="nil"/>
              <w:right w:val="nil"/>
            </w:tcBorders>
            <w:noWrap w:val="0"/>
            <w:tcMar>
              <w:top w:w="-1" w:type="dxa"/>
              <w:left w:w="-1" w:type="dxa"/>
              <w:bottom w:w="-1" w:type="dxa"/>
              <w:right w:w="-1" w:type="dxa"/>
            </w:tcMar>
            <w:vAlign w:val="center"/>
          </w:tcPr>
          <w:p w14:paraId="4208195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Records</w:t>
            </w:r>
          </w:p>
        </w:tc>
        <w:tc>
          <w:tcPr>
            <w:tcW w:w="3600" w:type="dxa"/>
            <w:tcBorders>
              <w:top w:val="single" w:color="auto" w:sz="12" w:space="0"/>
              <w:left w:val="nil"/>
              <w:bottom w:val="nil"/>
              <w:right w:val="nil"/>
            </w:tcBorders>
            <w:noWrap w:val="0"/>
            <w:tcMar>
              <w:top w:w="-1" w:type="dxa"/>
              <w:left w:w="-1" w:type="dxa"/>
              <w:bottom w:w="-1" w:type="dxa"/>
              <w:right w:w="-1" w:type="dxa"/>
            </w:tcMar>
            <w:vAlign w:val="center"/>
          </w:tcPr>
          <w:p w14:paraId="400B2F6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Tests/patient median [IQR]</w:t>
            </w:r>
          </w:p>
        </w:tc>
        <w:tc>
          <w:tcPr>
            <w:tcW w:w="3384" w:type="dxa"/>
            <w:tcBorders>
              <w:top w:val="single" w:color="auto" w:sz="12" w:space="0"/>
              <w:left w:val="nil"/>
              <w:bottom w:val="nil"/>
              <w:right w:val="nil"/>
            </w:tcBorders>
            <w:noWrap w:val="0"/>
            <w:tcMar>
              <w:top w:w="-1" w:type="dxa"/>
              <w:left w:w="-1" w:type="dxa"/>
              <w:bottom w:w="-1" w:type="dxa"/>
              <w:right w:w="-1" w:type="dxa"/>
            </w:tcMar>
            <w:vAlign w:val="center"/>
          </w:tcPr>
          <w:p w14:paraId="6C28BA6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Patient median [IQR]</w:t>
            </w:r>
          </w:p>
        </w:tc>
      </w:tr>
      <w:tr w14:paraId="2E2659B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single" w:color="auto" w:sz="4" w:space="0"/>
              <w:left w:val="nil"/>
              <w:bottom w:val="nil"/>
              <w:right w:val="nil"/>
            </w:tcBorders>
            <w:noWrap w:val="0"/>
            <w:tcMar>
              <w:top w:w="-1" w:type="dxa"/>
              <w:left w:w="-1" w:type="dxa"/>
              <w:bottom w:w="-1" w:type="dxa"/>
              <w:right w:w="-1" w:type="dxa"/>
            </w:tcMar>
            <w:vAlign w:val="center"/>
          </w:tcPr>
          <w:p w14:paraId="36B9B71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 weeks</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55A937B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w:t>
            </w:r>
          </w:p>
        </w:tc>
        <w:tc>
          <w:tcPr>
            <w:tcW w:w="3816" w:type="dxa"/>
            <w:tcBorders>
              <w:top w:val="single" w:color="auto" w:sz="4" w:space="0"/>
              <w:left w:val="nil"/>
              <w:bottom w:val="nil"/>
              <w:right w:val="nil"/>
            </w:tcBorders>
            <w:noWrap w:val="0"/>
            <w:tcMar>
              <w:top w:w="-1" w:type="dxa"/>
              <w:left w:w="-1" w:type="dxa"/>
              <w:bottom w:w="-1" w:type="dxa"/>
              <w:right w:w="-1" w:type="dxa"/>
            </w:tcMar>
            <w:vAlign w:val="center"/>
          </w:tcPr>
          <w:p w14:paraId="487BE81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25/125 (20.0%)</w:t>
            </w:r>
          </w:p>
        </w:tc>
        <w:tc>
          <w:tcPr>
            <w:tcW w:w="1080" w:type="dxa"/>
            <w:tcBorders>
              <w:top w:val="single" w:color="auto" w:sz="4" w:space="0"/>
              <w:left w:val="nil"/>
              <w:bottom w:val="nil"/>
              <w:right w:val="nil"/>
            </w:tcBorders>
            <w:noWrap w:val="0"/>
            <w:tcMar>
              <w:top w:w="-1" w:type="dxa"/>
              <w:left w:w="-1" w:type="dxa"/>
              <w:bottom w:w="-1" w:type="dxa"/>
              <w:right w:w="-1" w:type="dxa"/>
            </w:tcMar>
            <w:vAlign w:val="center"/>
          </w:tcPr>
          <w:p w14:paraId="748680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129</w:t>
            </w:r>
          </w:p>
        </w:tc>
        <w:tc>
          <w:tcPr>
            <w:tcW w:w="3600" w:type="dxa"/>
            <w:tcBorders>
              <w:top w:val="single" w:color="auto" w:sz="4" w:space="0"/>
              <w:left w:val="nil"/>
              <w:bottom w:val="nil"/>
              <w:right w:val="nil"/>
            </w:tcBorders>
            <w:noWrap w:val="0"/>
            <w:tcMar>
              <w:top w:w="-1" w:type="dxa"/>
              <w:left w:w="-1" w:type="dxa"/>
              <w:bottom w:w="-1" w:type="dxa"/>
              <w:right w:w="-1" w:type="dxa"/>
            </w:tcMar>
            <w:vAlign w:val="center"/>
          </w:tcPr>
          <w:p w14:paraId="0AECFE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single" w:color="auto" w:sz="4" w:space="0"/>
              <w:left w:val="nil"/>
              <w:bottom w:val="nil"/>
              <w:right w:val="nil"/>
            </w:tcBorders>
            <w:noWrap w:val="0"/>
            <w:tcMar>
              <w:top w:w="-1" w:type="dxa"/>
              <w:left w:w="-1" w:type="dxa"/>
              <w:bottom w:w="-1" w:type="dxa"/>
              <w:right w:w="-1" w:type="dxa"/>
            </w:tcMar>
            <w:vAlign w:val="center"/>
          </w:tcPr>
          <w:p w14:paraId="1BC827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 [1.3, 3.1]</w:t>
            </w:r>
          </w:p>
        </w:tc>
      </w:tr>
      <w:tr w14:paraId="34ABDA4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536A54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 weeks</w:t>
            </w:r>
          </w:p>
        </w:tc>
        <w:tc>
          <w:tcPr>
            <w:tcW w:w="1152" w:type="dxa"/>
            <w:tcBorders>
              <w:top w:val="nil"/>
              <w:left w:val="nil"/>
              <w:bottom w:val="nil"/>
              <w:right w:val="nil"/>
            </w:tcBorders>
            <w:noWrap w:val="0"/>
            <w:tcMar>
              <w:top w:w="-1" w:type="dxa"/>
              <w:left w:w="-1" w:type="dxa"/>
              <w:bottom w:w="-1" w:type="dxa"/>
              <w:right w:w="-1" w:type="dxa"/>
            </w:tcMar>
            <w:vAlign w:val="center"/>
          </w:tcPr>
          <w:p w14:paraId="27A90C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FT4</w:t>
            </w:r>
          </w:p>
        </w:tc>
        <w:tc>
          <w:tcPr>
            <w:tcW w:w="3816" w:type="dxa"/>
            <w:tcBorders>
              <w:top w:val="nil"/>
              <w:left w:val="nil"/>
              <w:bottom w:val="nil"/>
              <w:right w:val="nil"/>
            </w:tcBorders>
            <w:noWrap w:val="0"/>
            <w:tcMar>
              <w:top w:w="-1" w:type="dxa"/>
              <w:left w:w="-1" w:type="dxa"/>
              <w:bottom w:w="-1" w:type="dxa"/>
              <w:right w:w="-1" w:type="dxa"/>
            </w:tcMar>
            <w:vAlign w:val="center"/>
          </w:tcPr>
          <w:p w14:paraId="0DDCE3C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19/125 (15.2%)</w:t>
            </w:r>
          </w:p>
        </w:tc>
        <w:tc>
          <w:tcPr>
            <w:tcW w:w="1080" w:type="dxa"/>
            <w:tcBorders>
              <w:top w:val="nil"/>
              <w:left w:val="nil"/>
              <w:bottom w:val="nil"/>
              <w:right w:val="nil"/>
            </w:tcBorders>
            <w:noWrap w:val="0"/>
            <w:tcMar>
              <w:top w:w="-1" w:type="dxa"/>
              <w:left w:w="-1" w:type="dxa"/>
              <w:bottom w:w="-1" w:type="dxa"/>
              <w:right w:w="-1" w:type="dxa"/>
            </w:tcMar>
            <w:vAlign w:val="center"/>
          </w:tcPr>
          <w:p w14:paraId="7A778B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129</w:t>
            </w:r>
          </w:p>
        </w:tc>
        <w:tc>
          <w:tcPr>
            <w:tcW w:w="3600" w:type="dxa"/>
            <w:tcBorders>
              <w:top w:val="nil"/>
              <w:left w:val="nil"/>
              <w:bottom w:val="nil"/>
              <w:right w:val="nil"/>
            </w:tcBorders>
            <w:noWrap w:val="0"/>
            <w:tcMar>
              <w:top w:w="-1" w:type="dxa"/>
              <w:left w:w="-1" w:type="dxa"/>
              <w:bottom w:w="-1" w:type="dxa"/>
              <w:right w:w="-1" w:type="dxa"/>
            </w:tcMar>
            <w:vAlign w:val="center"/>
          </w:tcPr>
          <w:p w14:paraId="6BC77E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3F3B68E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15.6 [14.0, 17.1]</w:t>
            </w:r>
          </w:p>
        </w:tc>
      </w:tr>
      <w:tr w14:paraId="3354D15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0A1FE0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 weeks</w:t>
            </w:r>
          </w:p>
        </w:tc>
        <w:tc>
          <w:tcPr>
            <w:tcW w:w="1152" w:type="dxa"/>
            <w:tcBorders>
              <w:top w:val="nil"/>
              <w:left w:val="nil"/>
              <w:bottom w:val="nil"/>
              <w:right w:val="nil"/>
            </w:tcBorders>
            <w:noWrap w:val="0"/>
            <w:tcMar>
              <w:top w:w="-1" w:type="dxa"/>
              <w:left w:w="-1" w:type="dxa"/>
              <w:bottom w:w="-1" w:type="dxa"/>
              <w:right w:w="-1" w:type="dxa"/>
            </w:tcMar>
            <w:vAlign w:val="center"/>
          </w:tcPr>
          <w:p w14:paraId="2EBD97C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FT3</w:t>
            </w:r>
          </w:p>
        </w:tc>
        <w:tc>
          <w:tcPr>
            <w:tcW w:w="3816" w:type="dxa"/>
            <w:tcBorders>
              <w:top w:val="nil"/>
              <w:left w:val="nil"/>
              <w:bottom w:val="nil"/>
              <w:right w:val="nil"/>
            </w:tcBorders>
            <w:noWrap w:val="0"/>
            <w:tcMar>
              <w:top w:w="-1" w:type="dxa"/>
              <w:left w:w="-1" w:type="dxa"/>
              <w:bottom w:w="-1" w:type="dxa"/>
              <w:right w:w="-1" w:type="dxa"/>
            </w:tcMar>
            <w:vAlign w:val="center"/>
          </w:tcPr>
          <w:p w14:paraId="6350DF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38/125 (30.4%)</w:t>
            </w:r>
          </w:p>
        </w:tc>
        <w:tc>
          <w:tcPr>
            <w:tcW w:w="1080" w:type="dxa"/>
            <w:tcBorders>
              <w:top w:val="nil"/>
              <w:left w:val="nil"/>
              <w:bottom w:val="nil"/>
              <w:right w:val="nil"/>
            </w:tcBorders>
            <w:noWrap w:val="0"/>
            <w:tcMar>
              <w:top w:w="-1" w:type="dxa"/>
              <w:left w:w="-1" w:type="dxa"/>
              <w:bottom w:w="-1" w:type="dxa"/>
              <w:right w:w="-1" w:type="dxa"/>
            </w:tcMar>
            <w:vAlign w:val="center"/>
          </w:tcPr>
          <w:p w14:paraId="07587F7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129</w:t>
            </w:r>
          </w:p>
        </w:tc>
        <w:tc>
          <w:tcPr>
            <w:tcW w:w="3600" w:type="dxa"/>
            <w:tcBorders>
              <w:top w:val="nil"/>
              <w:left w:val="nil"/>
              <w:bottom w:val="nil"/>
              <w:right w:val="nil"/>
            </w:tcBorders>
            <w:noWrap w:val="0"/>
            <w:tcMar>
              <w:top w:w="-1" w:type="dxa"/>
              <w:left w:w="-1" w:type="dxa"/>
              <w:bottom w:w="-1" w:type="dxa"/>
              <w:right w:w="-1" w:type="dxa"/>
            </w:tcMar>
            <w:vAlign w:val="center"/>
          </w:tcPr>
          <w:p w14:paraId="0F5326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386A4F0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 [3.8, 5.0]</w:t>
            </w:r>
          </w:p>
        </w:tc>
      </w:tr>
      <w:tr w14:paraId="012C1D7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35056F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5-8 weeks</w:t>
            </w:r>
          </w:p>
        </w:tc>
        <w:tc>
          <w:tcPr>
            <w:tcW w:w="1152" w:type="dxa"/>
            <w:tcBorders>
              <w:top w:val="nil"/>
              <w:left w:val="nil"/>
              <w:bottom w:val="nil"/>
              <w:right w:val="nil"/>
            </w:tcBorders>
            <w:noWrap w:val="0"/>
            <w:tcMar>
              <w:top w:w="-1" w:type="dxa"/>
              <w:left w:w="-1" w:type="dxa"/>
              <w:bottom w:w="-1" w:type="dxa"/>
              <w:right w:w="-1" w:type="dxa"/>
            </w:tcMar>
            <w:vAlign w:val="center"/>
          </w:tcPr>
          <w:p w14:paraId="1A94ECB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w:t>
            </w:r>
          </w:p>
        </w:tc>
        <w:tc>
          <w:tcPr>
            <w:tcW w:w="3816" w:type="dxa"/>
            <w:tcBorders>
              <w:top w:val="nil"/>
              <w:left w:val="nil"/>
              <w:bottom w:val="nil"/>
              <w:right w:val="nil"/>
            </w:tcBorders>
            <w:noWrap w:val="0"/>
            <w:tcMar>
              <w:top w:w="-1" w:type="dxa"/>
              <w:left w:w="-1" w:type="dxa"/>
              <w:bottom w:w="-1" w:type="dxa"/>
              <w:right w:w="-1" w:type="dxa"/>
            </w:tcMar>
            <w:vAlign w:val="center"/>
          </w:tcPr>
          <w:p w14:paraId="0C0EA4D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25/118 (21.2%)</w:t>
            </w:r>
          </w:p>
        </w:tc>
        <w:tc>
          <w:tcPr>
            <w:tcW w:w="1080" w:type="dxa"/>
            <w:tcBorders>
              <w:top w:val="nil"/>
              <w:left w:val="nil"/>
              <w:bottom w:val="nil"/>
              <w:right w:val="nil"/>
            </w:tcBorders>
            <w:noWrap w:val="0"/>
            <w:tcMar>
              <w:top w:w="-1" w:type="dxa"/>
              <w:left w:w="-1" w:type="dxa"/>
              <w:bottom w:w="-1" w:type="dxa"/>
              <w:right w:w="-1" w:type="dxa"/>
            </w:tcMar>
            <w:vAlign w:val="center"/>
          </w:tcPr>
          <w:p w14:paraId="000CA46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121</w:t>
            </w:r>
          </w:p>
        </w:tc>
        <w:tc>
          <w:tcPr>
            <w:tcW w:w="3600" w:type="dxa"/>
            <w:tcBorders>
              <w:top w:val="nil"/>
              <w:left w:val="nil"/>
              <w:bottom w:val="nil"/>
              <w:right w:val="nil"/>
            </w:tcBorders>
            <w:noWrap w:val="0"/>
            <w:tcMar>
              <w:top w:w="-1" w:type="dxa"/>
              <w:left w:w="-1" w:type="dxa"/>
              <w:bottom w:w="-1" w:type="dxa"/>
              <w:right w:w="-1" w:type="dxa"/>
            </w:tcMar>
            <w:vAlign w:val="center"/>
          </w:tcPr>
          <w:p w14:paraId="24E9287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1C938B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 [1.4, 3.5]</w:t>
            </w:r>
          </w:p>
        </w:tc>
      </w:tr>
      <w:tr w14:paraId="6237701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1A18F33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5-8 weeks</w:t>
            </w:r>
          </w:p>
        </w:tc>
        <w:tc>
          <w:tcPr>
            <w:tcW w:w="1152" w:type="dxa"/>
            <w:tcBorders>
              <w:top w:val="nil"/>
              <w:left w:val="nil"/>
              <w:bottom w:val="nil"/>
              <w:right w:val="nil"/>
            </w:tcBorders>
            <w:noWrap w:val="0"/>
            <w:tcMar>
              <w:top w:w="-1" w:type="dxa"/>
              <w:left w:w="-1" w:type="dxa"/>
              <w:bottom w:w="-1" w:type="dxa"/>
              <w:right w:w="-1" w:type="dxa"/>
            </w:tcMar>
            <w:vAlign w:val="center"/>
          </w:tcPr>
          <w:p w14:paraId="00378D6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FT4</w:t>
            </w:r>
          </w:p>
        </w:tc>
        <w:tc>
          <w:tcPr>
            <w:tcW w:w="3816" w:type="dxa"/>
            <w:tcBorders>
              <w:top w:val="nil"/>
              <w:left w:val="nil"/>
              <w:bottom w:val="nil"/>
              <w:right w:val="nil"/>
            </w:tcBorders>
            <w:noWrap w:val="0"/>
            <w:tcMar>
              <w:top w:w="-1" w:type="dxa"/>
              <w:left w:w="-1" w:type="dxa"/>
              <w:bottom w:w="-1" w:type="dxa"/>
              <w:right w:w="-1" w:type="dxa"/>
            </w:tcMar>
            <w:vAlign w:val="center"/>
          </w:tcPr>
          <w:p w14:paraId="20CC4A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22/116 (19.0%)</w:t>
            </w:r>
          </w:p>
        </w:tc>
        <w:tc>
          <w:tcPr>
            <w:tcW w:w="1080" w:type="dxa"/>
            <w:tcBorders>
              <w:top w:val="nil"/>
              <w:left w:val="nil"/>
              <w:bottom w:val="nil"/>
              <w:right w:val="nil"/>
            </w:tcBorders>
            <w:noWrap w:val="0"/>
            <w:tcMar>
              <w:top w:w="-1" w:type="dxa"/>
              <w:left w:w="-1" w:type="dxa"/>
              <w:bottom w:w="-1" w:type="dxa"/>
              <w:right w:w="-1" w:type="dxa"/>
            </w:tcMar>
            <w:vAlign w:val="center"/>
          </w:tcPr>
          <w:p w14:paraId="2DB438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119</w:t>
            </w:r>
          </w:p>
        </w:tc>
        <w:tc>
          <w:tcPr>
            <w:tcW w:w="3600" w:type="dxa"/>
            <w:tcBorders>
              <w:top w:val="nil"/>
              <w:left w:val="nil"/>
              <w:bottom w:val="nil"/>
              <w:right w:val="nil"/>
            </w:tcBorders>
            <w:noWrap w:val="0"/>
            <w:tcMar>
              <w:top w:w="-1" w:type="dxa"/>
              <w:left w:w="-1" w:type="dxa"/>
              <w:bottom w:w="-1" w:type="dxa"/>
              <w:right w:w="-1" w:type="dxa"/>
            </w:tcMar>
            <w:vAlign w:val="center"/>
          </w:tcPr>
          <w:p w14:paraId="7CD6E3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42977A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15.1 [13.7, 16.6]</w:t>
            </w:r>
          </w:p>
        </w:tc>
      </w:tr>
      <w:tr w14:paraId="4444D99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3DF53A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5-8 weeks</w:t>
            </w:r>
          </w:p>
        </w:tc>
        <w:tc>
          <w:tcPr>
            <w:tcW w:w="1152" w:type="dxa"/>
            <w:tcBorders>
              <w:top w:val="nil"/>
              <w:left w:val="nil"/>
              <w:bottom w:val="nil"/>
              <w:right w:val="nil"/>
            </w:tcBorders>
            <w:noWrap w:val="0"/>
            <w:tcMar>
              <w:top w:w="-1" w:type="dxa"/>
              <w:left w:w="-1" w:type="dxa"/>
              <w:bottom w:w="-1" w:type="dxa"/>
              <w:right w:w="-1" w:type="dxa"/>
            </w:tcMar>
            <w:vAlign w:val="center"/>
          </w:tcPr>
          <w:p w14:paraId="116DFF6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FT3</w:t>
            </w:r>
          </w:p>
        </w:tc>
        <w:tc>
          <w:tcPr>
            <w:tcW w:w="3816" w:type="dxa"/>
            <w:tcBorders>
              <w:top w:val="nil"/>
              <w:left w:val="nil"/>
              <w:bottom w:val="nil"/>
              <w:right w:val="nil"/>
            </w:tcBorders>
            <w:noWrap w:val="0"/>
            <w:tcMar>
              <w:top w:w="-1" w:type="dxa"/>
              <w:left w:w="-1" w:type="dxa"/>
              <w:bottom w:w="-1" w:type="dxa"/>
              <w:right w:w="-1" w:type="dxa"/>
            </w:tcMar>
            <w:vAlign w:val="center"/>
          </w:tcPr>
          <w:p w14:paraId="117D5F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34/116 (29.3%)</w:t>
            </w:r>
          </w:p>
        </w:tc>
        <w:tc>
          <w:tcPr>
            <w:tcW w:w="1080" w:type="dxa"/>
            <w:tcBorders>
              <w:top w:val="nil"/>
              <w:left w:val="nil"/>
              <w:bottom w:val="nil"/>
              <w:right w:val="nil"/>
            </w:tcBorders>
            <w:noWrap w:val="0"/>
            <w:tcMar>
              <w:top w:w="-1" w:type="dxa"/>
              <w:left w:w="-1" w:type="dxa"/>
              <w:bottom w:w="-1" w:type="dxa"/>
              <w:right w:w="-1" w:type="dxa"/>
            </w:tcMar>
            <w:vAlign w:val="center"/>
          </w:tcPr>
          <w:p w14:paraId="05853B4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119</w:t>
            </w:r>
          </w:p>
        </w:tc>
        <w:tc>
          <w:tcPr>
            <w:tcW w:w="3600" w:type="dxa"/>
            <w:tcBorders>
              <w:top w:val="nil"/>
              <w:left w:val="nil"/>
              <w:bottom w:val="nil"/>
              <w:right w:val="nil"/>
            </w:tcBorders>
            <w:noWrap w:val="0"/>
            <w:tcMar>
              <w:top w:w="-1" w:type="dxa"/>
              <w:left w:w="-1" w:type="dxa"/>
              <w:bottom w:w="-1" w:type="dxa"/>
              <w:right w:w="-1" w:type="dxa"/>
            </w:tcMar>
            <w:vAlign w:val="center"/>
          </w:tcPr>
          <w:p w14:paraId="5584A41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50BFB9A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 [3.9, 5.1]</w:t>
            </w:r>
          </w:p>
        </w:tc>
      </w:tr>
      <w:tr w14:paraId="281D5DF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52FF6AB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9-12 weeks</w:t>
            </w:r>
          </w:p>
        </w:tc>
        <w:tc>
          <w:tcPr>
            <w:tcW w:w="1152" w:type="dxa"/>
            <w:tcBorders>
              <w:top w:val="nil"/>
              <w:left w:val="nil"/>
              <w:bottom w:val="nil"/>
              <w:right w:val="nil"/>
            </w:tcBorders>
            <w:noWrap w:val="0"/>
            <w:tcMar>
              <w:top w:w="-1" w:type="dxa"/>
              <w:left w:w="-1" w:type="dxa"/>
              <w:bottom w:w="-1" w:type="dxa"/>
              <w:right w:w="-1" w:type="dxa"/>
            </w:tcMar>
            <w:vAlign w:val="center"/>
          </w:tcPr>
          <w:p w14:paraId="6A351F5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w:t>
            </w:r>
          </w:p>
        </w:tc>
        <w:tc>
          <w:tcPr>
            <w:tcW w:w="3816" w:type="dxa"/>
            <w:tcBorders>
              <w:top w:val="nil"/>
              <w:left w:val="nil"/>
              <w:bottom w:val="nil"/>
              <w:right w:val="nil"/>
            </w:tcBorders>
            <w:noWrap w:val="0"/>
            <w:tcMar>
              <w:top w:w="-1" w:type="dxa"/>
              <w:left w:w="-1" w:type="dxa"/>
              <w:bottom w:w="-1" w:type="dxa"/>
              <w:right w:w="-1" w:type="dxa"/>
            </w:tcMar>
            <w:vAlign w:val="center"/>
          </w:tcPr>
          <w:p w14:paraId="2CF2A31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16/92 (17.4%)</w:t>
            </w:r>
          </w:p>
        </w:tc>
        <w:tc>
          <w:tcPr>
            <w:tcW w:w="1080" w:type="dxa"/>
            <w:tcBorders>
              <w:top w:val="nil"/>
              <w:left w:val="nil"/>
              <w:bottom w:val="nil"/>
              <w:right w:val="nil"/>
            </w:tcBorders>
            <w:noWrap w:val="0"/>
            <w:tcMar>
              <w:top w:w="-1" w:type="dxa"/>
              <w:left w:w="-1" w:type="dxa"/>
              <w:bottom w:w="-1" w:type="dxa"/>
              <w:right w:w="-1" w:type="dxa"/>
            </w:tcMar>
            <w:vAlign w:val="center"/>
          </w:tcPr>
          <w:p w14:paraId="446FF41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98</w:t>
            </w:r>
          </w:p>
        </w:tc>
        <w:tc>
          <w:tcPr>
            <w:tcW w:w="3600" w:type="dxa"/>
            <w:tcBorders>
              <w:top w:val="nil"/>
              <w:left w:val="nil"/>
              <w:bottom w:val="nil"/>
              <w:right w:val="nil"/>
            </w:tcBorders>
            <w:noWrap w:val="0"/>
            <w:tcMar>
              <w:top w:w="-1" w:type="dxa"/>
              <w:left w:w="-1" w:type="dxa"/>
              <w:bottom w:w="-1" w:type="dxa"/>
              <w:right w:w="-1" w:type="dxa"/>
            </w:tcMar>
            <w:vAlign w:val="center"/>
          </w:tcPr>
          <w:p w14:paraId="7647F21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40065B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 [1.4, 2.9]</w:t>
            </w:r>
          </w:p>
        </w:tc>
      </w:tr>
      <w:tr w14:paraId="3811A92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7C8537F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9-12 weeks</w:t>
            </w:r>
          </w:p>
        </w:tc>
        <w:tc>
          <w:tcPr>
            <w:tcW w:w="1152" w:type="dxa"/>
            <w:tcBorders>
              <w:top w:val="nil"/>
              <w:left w:val="nil"/>
              <w:bottom w:val="nil"/>
              <w:right w:val="nil"/>
            </w:tcBorders>
            <w:noWrap w:val="0"/>
            <w:tcMar>
              <w:top w:w="-1" w:type="dxa"/>
              <w:left w:w="-1" w:type="dxa"/>
              <w:bottom w:w="-1" w:type="dxa"/>
              <w:right w:w="-1" w:type="dxa"/>
            </w:tcMar>
            <w:vAlign w:val="center"/>
          </w:tcPr>
          <w:p w14:paraId="4FC7E0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FT4</w:t>
            </w:r>
          </w:p>
        </w:tc>
        <w:tc>
          <w:tcPr>
            <w:tcW w:w="3816" w:type="dxa"/>
            <w:tcBorders>
              <w:top w:val="nil"/>
              <w:left w:val="nil"/>
              <w:bottom w:val="nil"/>
              <w:right w:val="nil"/>
            </w:tcBorders>
            <w:noWrap w:val="0"/>
            <w:tcMar>
              <w:top w:w="-1" w:type="dxa"/>
              <w:left w:w="-1" w:type="dxa"/>
              <w:bottom w:w="-1" w:type="dxa"/>
              <w:right w:w="-1" w:type="dxa"/>
            </w:tcMar>
            <w:vAlign w:val="center"/>
          </w:tcPr>
          <w:p w14:paraId="6D2AFAD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12/92 (13.0%)</w:t>
            </w:r>
          </w:p>
        </w:tc>
        <w:tc>
          <w:tcPr>
            <w:tcW w:w="1080" w:type="dxa"/>
            <w:tcBorders>
              <w:top w:val="nil"/>
              <w:left w:val="nil"/>
              <w:bottom w:val="nil"/>
              <w:right w:val="nil"/>
            </w:tcBorders>
            <w:noWrap w:val="0"/>
            <w:tcMar>
              <w:top w:w="-1" w:type="dxa"/>
              <w:left w:w="-1" w:type="dxa"/>
              <w:bottom w:w="-1" w:type="dxa"/>
              <w:right w:w="-1" w:type="dxa"/>
            </w:tcMar>
            <w:vAlign w:val="center"/>
          </w:tcPr>
          <w:p w14:paraId="774DC7F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98</w:t>
            </w:r>
          </w:p>
        </w:tc>
        <w:tc>
          <w:tcPr>
            <w:tcW w:w="3600" w:type="dxa"/>
            <w:tcBorders>
              <w:top w:val="nil"/>
              <w:left w:val="nil"/>
              <w:bottom w:val="nil"/>
              <w:right w:val="nil"/>
            </w:tcBorders>
            <w:noWrap w:val="0"/>
            <w:tcMar>
              <w:top w:w="-1" w:type="dxa"/>
              <w:left w:w="-1" w:type="dxa"/>
              <w:bottom w:w="-1" w:type="dxa"/>
              <w:right w:w="-1" w:type="dxa"/>
            </w:tcMar>
            <w:vAlign w:val="center"/>
          </w:tcPr>
          <w:p w14:paraId="35F8BD4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551048A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15.4 [13.7, 17.0]</w:t>
            </w:r>
          </w:p>
        </w:tc>
      </w:tr>
      <w:tr w14:paraId="68E882F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02627E3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9-12 weeks</w:t>
            </w:r>
          </w:p>
        </w:tc>
        <w:tc>
          <w:tcPr>
            <w:tcW w:w="1152" w:type="dxa"/>
            <w:tcBorders>
              <w:top w:val="nil"/>
              <w:left w:val="nil"/>
              <w:bottom w:val="nil"/>
              <w:right w:val="nil"/>
            </w:tcBorders>
            <w:noWrap w:val="0"/>
            <w:tcMar>
              <w:top w:w="-1" w:type="dxa"/>
              <w:left w:w="-1" w:type="dxa"/>
              <w:bottom w:w="-1" w:type="dxa"/>
              <w:right w:w="-1" w:type="dxa"/>
            </w:tcMar>
            <w:vAlign w:val="center"/>
          </w:tcPr>
          <w:p w14:paraId="47132DB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FT3</w:t>
            </w:r>
          </w:p>
        </w:tc>
        <w:tc>
          <w:tcPr>
            <w:tcW w:w="3816" w:type="dxa"/>
            <w:tcBorders>
              <w:top w:val="nil"/>
              <w:left w:val="nil"/>
              <w:bottom w:val="nil"/>
              <w:right w:val="nil"/>
            </w:tcBorders>
            <w:noWrap w:val="0"/>
            <w:tcMar>
              <w:top w:w="-1" w:type="dxa"/>
              <w:left w:w="-1" w:type="dxa"/>
              <w:bottom w:w="-1" w:type="dxa"/>
              <w:right w:w="-1" w:type="dxa"/>
            </w:tcMar>
            <w:vAlign w:val="center"/>
          </w:tcPr>
          <w:p w14:paraId="7D9E3B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18/92 (19.6%)</w:t>
            </w:r>
          </w:p>
        </w:tc>
        <w:tc>
          <w:tcPr>
            <w:tcW w:w="1080" w:type="dxa"/>
            <w:tcBorders>
              <w:top w:val="nil"/>
              <w:left w:val="nil"/>
              <w:bottom w:val="nil"/>
              <w:right w:val="nil"/>
            </w:tcBorders>
            <w:noWrap w:val="0"/>
            <w:tcMar>
              <w:top w:w="-1" w:type="dxa"/>
              <w:left w:w="-1" w:type="dxa"/>
              <w:bottom w:w="-1" w:type="dxa"/>
              <w:right w:w="-1" w:type="dxa"/>
            </w:tcMar>
            <w:vAlign w:val="center"/>
          </w:tcPr>
          <w:p w14:paraId="78F5C88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98</w:t>
            </w:r>
          </w:p>
        </w:tc>
        <w:tc>
          <w:tcPr>
            <w:tcW w:w="3600" w:type="dxa"/>
            <w:tcBorders>
              <w:top w:val="nil"/>
              <w:left w:val="nil"/>
              <w:bottom w:val="nil"/>
              <w:right w:val="nil"/>
            </w:tcBorders>
            <w:noWrap w:val="0"/>
            <w:tcMar>
              <w:top w:w="-1" w:type="dxa"/>
              <w:left w:w="-1" w:type="dxa"/>
              <w:bottom w:w="-1" w:type="dxa"/>
              <w:right w:w="-1" w:type="dxa"/>
            </w:tcMar>
            <w:vAlign w:val="center"/>
          </w:tcPr>
          <w:p w14:paraId="0747127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1.0]</w:t>
            </w:r>
          </w:p>
        </w:tc>
        <w:tc>
          <w:tcPr>
            <w:tcW w:w="3384" w:type="dxa"/>
            <w:tcBorders>
              <w:top w:val="nil"/>
              <w:left w:val="nil"/>
              <w:bottom w:val="nil"/>
              <w:right w:val="nil"/>
            </w:tcBorders>
            <w:noWrap w:val="0"/>
            <w:tcMar>
              <w:top w:w="-1" w:type="dxa"/>
              <w:left w:w="-1" w:type="dxa"/>
              <w:bottom w:w="-1" w:type="dxa"/>
              <w:right w:w="-1" w:type="dxa"/>
            </w:tcMar>
            <w:vAlign w:val="center"/>
          </w:tcPr>
          <w:p w14:paraId="5C6BFF2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4.5 [4.2, 5.2]</w:t>
            </w:r>
          </w:p>
        </w:tc>
      </w:tr>
      <w:tr w14:paraId="2B368B8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60984E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13-24 weeks</w:t>
            </w:r>
          </w:p>
        </w:tc>
        <w:tc>
          <w:tcPr>
            <w:tcW w:w="1152" w:type="dxa"/>
            <w:tcBorders>
              <w:top w:val="nil"/>
              <w:left w:val="nil"/>
              <w:bottom w:val="nil"/>
              <w:right w:val="nil"/>
            </w:tcBorders>
            <w:noWrap w:val="0"/>
            <w:tcMar>
              <w:top w:w="-1" w:type="dxa"/>
              <w:left w:w="-1" w:type="dxa"/>
              <w:bottom w:w="-1" w:type="dxa"/>
              <w:right w:w="-1" w:type="dxa"/>
            </w:tcMar>
            <w:vAlign w:val="center"/>
          </w:tcPr>
          <w:p w14:paraId="5947412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w:t>
            </w:r>
          </w:p>
        </w:tc>
        <w:tc>
          <w:tcPr>
            <w:tcW w:w="3816" w:type="dxa"/>
            <w:tcBorders>
              <w:top w:val="nil"/>
              <w:left w:val="nil"/>
              <w:bottom w:val="nil"/>
              <w:right w:val="nil"/>
            </w:tcBorders>
            <w:noWrap w:val="0"/>
            <w:tcMar>
              <w:top w:w="-1" w:type="dxa"/>
              <w:left w:w="-1" w:type="dxa"/>
              <w:bottom w:w="-1" w:type="dxa"/>
              <w:right w:w="-1" w:type="dxa"/>
            </w:tcMar>
            <w:vAlign w:val="center"/>
          </w:tcPr>
          <w:p w14:paraId="493002D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34/121 (28.1%)</w:t>
            </w:r>
          </w:p>
        </w:tc>
        <w:tc>
          <w:tcPr>
            <w:tcW w:w="1080" w:type="dxa"/>
            <w:tcBorders>
              <w:top w:val="nil"/>
              <w:left w:val="nil"/>
              <w:bottom w:val="nil"/>
              <w:right w:val="nil"/>
            </w:tcBorders>
            <w:noWrap w:val="0"/>
            <w:tcMar>
              <w:top w:w="-1" w:type="dxa"/>
              <w:left w:w="-1" w:type="dxa"/>
              <w:bottom w:w="-1" w:type="dxa"/>
              <w:right w:w="-1" w:type="dxa"/>
            </w:tcMar>
            <w:vAlign w:val="center"/>
          </w:tcPr>
          <w:p w14:paraId="1992B5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180</w:t>
            </w:r>
          </w:p>
        </w:tc>
        <w:tc>
          <w:tcPr>
            <w:tcW w:w="3600" w:type="dxa"/>
            <w:tcBorders>
              <w:top w:val="nil"/>
              <w:left w:val="nil"/>
              <w:bottom w:val="nil"/>
              <w:right w:val="nil"/>
            </w:tcBorders>
            <w:noWrap w:val="0"/>
            <w:tcMar>
              <w:top w:w="-1" w:type="dxa"/>
              <w:left w:w="-1" w:type="dxa"/>
              <w:bottom w:w="-1" w:type="dxa"/>
              <w:right w:w="-1" w:type="dxa"/>
            </w:tcMar>
            <w:vAlign w:val="center"/>
          </w:tcPr>
          <w:p w14:paraId="7D42848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nil"/>
              <w:right w:val="nil"/>
            </w:tcBorders>
            <w:noWrap w:val="0"/>
            <w:tcMar>
              <w:top w:w="-1" w:type="dxa"/>
              <w:left w:w="-1" w:type="dxa"/>
              <w:bottom w:w="-1" w:type="dxa"/>
              <w:right w:w="-1" w:type="dxa"/>
            </w:tcMar>
            <w:vAlign w:val="center"/>
          </w:tcPr>
          <w:p w14:paraId="6369688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 [1.3, 3.3]</w:t>
            </w:r>
          </w:p>
        </w:tc>
      </w:tr>
      <w:tr w14:paraId="6194E27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6CBF7F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13-24 weeks</w:t>
            </w:r>
          </w:p>
        </w:tc>
        <w:tc>
          <w:tcPr>
            <w:tcW w:w="1152" w:type="dxa"/>
            <w:tcBorders>
              <w:top w:val="nil"/>
              <w:left w:val="nil"/>
              <w:bottom w:val="nil"/>
              <w:right w:val="nil"/>
            </w:tcBorders>
            <w:noWrap w:val="0"/>
            <w:tcMar>
              <w:top w:w="-1" w:type="dxa"/>
              <w:left w:w="-1" w:type="dxa"/>
              <w:bottom w:w="-1" w:type="dxa"/>
              <w:right w:w="-1" w:type="dxa"/>
            </w:tcMar>
            <w:vAlign w:val="center"/>
          </w:tcPr>
          <w:p w14:paraId="44EA465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FT4</w:t>
            </w:r>
          </w:p>
        </w:tc>
        <w:tc>
          <w:tcPr>
            <w:tcW w:w="3816" w:type="dxa"/>
            <w:tcBorders>
              <w:top w:val="nil"/>
              <w:left w:val="nil"/>
              <w:bottom w:val="nil"/>
              <w:right w:val="nil"/>
            </w:tcBorders>
            <w:noWrap w:val="0"/>
            <w:tcMar>
              <w:top w:w="-1" w:type="dxa"/>
              <w:left w:w="-1" w:type="dxa"/>
              <w:bottom w:w="-1" w:type="dxa"/>
              <w:right w:w="-1" w:type="dxa"/>
            </w:tcMar>
            <w:vAlign w:val="center"/>
          </w:tcPr>
          <w:p w14:paraId="2E1EE75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37/120 (30.8%)</w:t>
            </w:r>
          </w:p>
        </w:tc>
        <w:tc>
          <w:tcPr>
            <w:tcW w:w="1080" w:type="dxa"/>
            <w:tcBorders>
              <w:top w:val="nil"/>
              <w:left w:val="nil"/>
              <w:bottom w:val="nil"/>
              <w:right w:val="nil"/>
            </w:tcBorders>
            <w:noWrap w:val="0"/>
            <w:tcMar>
              <w:top w:w="-1" w:type="dxa"/>
              <w:left w:w="-1" w:type="dxa"/>
              <w:bottom w:w="-1" w:type="dxa"/>
              <w:right w:w="-1" w:type="dxa"/>
            </w:tcMar>
            <w:vAlign w:val="center"/>
          </w:tcPr>
          <w:p w14:paraId="4918480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178</w:t>
            </w:r>
          </w:p>
        </w:tc>
        <w:tc>
          <w:tcPr>
            <w:tcW w:w="3600" w:type="dxa"/>
            <w:tcBorders>
              <w:top w:val="nil"/>
              <w:left w:val="nil"/>
              <w:bottom w:val="nil"/>
              <w:right w:val="nil"/>
            </w:tcBorders>
            <w:noWrap w:val="0"/>
            <w:tcMar>
              <w:top w:w="-1" w:type="dxa"/>
              <w:left w:w="-1" w:type="dxa"/>
              <w:bottom w:w="-1" w:type="dxa"/>
              <w:right w:w="-1" w:type="dxa"/>
            </w:tcMar>
            <w:vAlign w:val="center"/>
          </w:tcPr>
          <w:p w14:paraId="755838E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nil"/>
              <w:right w:val="nil"/>
            </w:tcBorders>
            <w:noWrap w:val="0"/>
            <w:tcMar>
              <w:top w:w="-1" w:type="dxa"/>
              <w:left w:w="-1" w:type="dxa"/>
              <w:bottom w:w="-1" w:type="dxa"/>
              <w:right w:w="-1" w:type="dxa"/>
            </w:tcMar>
            <w:vAlign w:val="center"/>
          </w:tcPr>
          <w:p w14:paraId="2FDD9F8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14.8 [13.2, 16.5]</w:t>
            </w:r>
          </w:p>
        </w:tc>
      </w:tr>
      <w:tr w14:paraId="4457098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23AA09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13-24 weeks</w:t>
            </w:r>
          </w:p>
        </w:tc>
        <w:tc>
          <w:tcPr>
            <w:tcW w:w="1152" w:type="dxa"/>
            <w:tcBorders>
              <w:top w:val="nil"/>
              <w:left w:val="nil"/>
              <w:bottom w:val="nil"/>
              <w:right w:val="nil"/>
            </w:tcBorders>
            <w:noWrap w:val="0"/>
            <w:tcMar>
              <w:top w:w="-1" w:type="dxa"/>
              <w:left w:w="-1" w:type="dxa"/>
              <w:bottom w:w="-1" w:type="dxa"/>
              <w:right w:w="-1" w:type="dxa"/>
            </w:tcMar>
            <w:vAlign w:val="center"/>
          </w:tcPr>
          <w:p w14:paraId="347B61A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FT3</w:t>
            </w:r>
          </w:p>
        </w:tc>
        <w:tc>
          <w:tcPr>
            <w:tcW w:w="3816" w:type="dxa"/>
            <w:tcBorders>
              <w:top w:val="nil"/>
              <w:left w:val="nil"/>
              <w:bottom w:val="nil"/>
              <w:right w:val="nil"/>
            </w:tcBorders>
            <w:noWrap w:val="0"/>
            <w:tcMar>
              <w:top w:w="-1" w:type="dxa"/>
              <w:left w:w="-1" w:type="dxa"/>
              <w:bottom w:w="-1" w:type="dxa"/>
              <w:right w:w="-1" w:type="dxa"/>
            </w:tcMar>
            <w:vAlign w:val="center"/>
          </w:tcPr>
          <w:p w14:paraId="4A4599C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38/120 (31.7%)</w:t>
            </w:r>
          </w:p>
        </w:tc>
        <w:tc>
          <w:tcPr>
            <w:tcW w:w="1080" w:type="dxa"/>
            <w:tcBorders>
              <w:top w:val="nil"/>
              <w:left w:val="nil"/>
              <w:bottom w:val="nil"/>
              <w:right w:val="nil"/>
            </w:tcBorders>
            <w:noWrap w:val="0"/>
            <w:tcMar>
              <w:top w:w="-1" w:type="dxa"/>
              <w:left w:w="-1" w:type="dxa"/>
              <w:bottom w:w="-1" w:type="dxa"/>
              <w:right w:w="-1" w:type="dxa"/>
            </w:tcMar>
            <w:vAlign w:val="center"/>
          </w:tcPr>
          <w:p w14:paraId="75D6B84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178</w:t>
            </w:r>
          </w:p>
        </w:tc>
        <w:tc>
          <w:tcPr>
            <w:tcW w:w="3600" w:type="dxa"/>
            <w:tcBorders>
              <w:top w:val="nil"/>
              <w:left w:val="nil"/>
              <w:bottom w:val="nil"/>
              <w:right w:val="nil"/>
            </w:tcBorders>
            <w:noWrap w:val="0"/>
            <w:tcMar>
              <w:top w:w="-1" w:type="dxa"/>
              <w:left w:w="-1" w:type="dxa"/>
              <w:bottom w:w="-1" w:type="dxa"/>
              <w:right w:w="-1" w:type="dxa"/>
            </w:tcMar>
            <w:vAlign w:val="center"/>
          </w:tcPr>
          <w:p w14:paraId="1E73A8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nil"/>
              <w:right w:val="nil"/>
            </w:tcBorders>
            <w:noWrap w:val="0"/>
            <w:tcMar>
              <w:top w:w="-1" w:type="dxa"/>
              <w:left w:w="-1" w:type="dxa"/>
              <w:bottom w:w="-1" w:type="dxa"/>
              <w:right w:w="-1" w:type="dxa"/>
            </w:tcMar>
            <w:vAlign w:val="center"/>
          </w:tcPr>
          <w:p w14:paraId="3BE6F89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 [3.8, 4.9]</w:t>
            </w:r>
          </w:p>
        </w:tc>
      </w:tr>
      <w:tr w14:paraId="0D306FD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5EEDB6A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25-52 weeks</w:t>
            </w:r>
          </w:p>
        </w:tc>
        <w:tc>
          <w:tcPr>
            <w:tcW w:w="1152" w:type="dxa"/>
            <w:tcBorders>
              <w:top w:val="nil"/>
              <w:left w:val="nil"/>
              <w:bottom w:val="nil"/>
              <w:right w:val="nil"/>
            </w:tcBorders>
            <w:noWrap w:val="0"/>
            <w:tcMar>
              <w:top w:w="-1" w:type="dxa"/>
              <w:left w:w="-1" w:type="dxa"/>
              <w:bottom w:w="-1" w:type="dxa"/>
              <w:right w:w="-1" w:type="dxa"/>
            </w:tcMar>
            <w:vAlign w:val="center"/>
          </w:tcPr>
          <w:p w14:paraId="0524BF8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TSH</w:t>
            </w:r>
          </w:p>
        </w:tc>
        <w:tc>
          <w:tcPr>
            <w:tcW w:w="3816" w:type="dxa"/>
            <w:tcBorders>
              <w:top w:val="nil"/>
              <w:left w:val="nil"/>
              <w:bottom w:val="nil"/>
              <w:right w:val="nil"/>
            </w:tcBorders>
            <w:noWrap w:val="0"/>
            <w:tcMar>
              <w:top w:w="-1" w:type="dxa"/>
              <w:left w:w="-1" w:type="dxa"/>
              <w:bottom w:w="-1" w:type="dxa"/>
              <w:right w:w="-1" w:type="dxa"/>
            </w:tcMar>
            <w:vAlign w:val="center"/>
          </w:tcPr>
          <w:p w14:paraId="5E2735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24/73 (32.9%)</w:t>
            </w:r>
          </w:p>
        </w:tc>
        <w:tc>
          <w:tcPr>
            <w:tcW w:w="1080" w:type="dxa"/>
            <w:tcBorders>
              <w:top w:val="nil"/>
              <w:left w:val="nil"/>
              <w:bottom w:val="nil"/>
              <w:right w:val="nil"/>
            </w:tcBorders>
            <w:noWrap w:val="0"/>
            <w:tcMar>
              <w:top w:w="-1" w:type="dxa"/>
              <w:left w:w="-1" w:type="dxa"/>
              <w:bottom w:w="-1" w:type="dxa"/>
              <w:right w:w="-1" w:type="dxa"/>
            </w:tcMar>
            <w:vAlign w:val="center"/>
          </w:tcPr>
          <w:p w14:paraId="128BE51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140</w:t>
            </w:r>
          </w:p>
        </w:tc>
        <w:tc>
          <w:tcPr>
            <w:tcW w:w="3600" w:type="dxa"/>
            <w:tcBorders>
              <w:top w:val="nil"/>
              <w:left w:val="nil"/>
              <w:bottom w:val="nil"/>
              <w:right w:val="nil"/>
            </w:tcBorders>
            <w:noWrap w:val="0"/>
            <w:tcMar>
              <w:top w:w="-1" w:type="dxa"/>
              <w:left w:w="-1" w:type="dxa"/>
              <w:bottom w:w="-1" w:type="dxa"/>
              <w:right w:w="-1" w:type="dxa"/>
            </w:tcMar>
            <w:vAlign w:val="center"/>
          </w:tcPr>
          <w:p w14:paraId="5CA9D66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nil"/>
              <w:right w:val="nil"/>
            </w:tcBorders>
            <w:noWrap w:val="0"/>
            <w:tcMar>
              <w:top w:w="-1" w:type="dxa"/>
              <w:left w:w="-1" w:type="dxa"/>
              <w:bottom w:w="-1" w:type="dxa"/>
              <w:right w:w="-1" w:type="dxa"/>
            </w:tcMar>
            <w:vAlign w:val="center"/>
          </w:tcPr>
          <w:p w14:paraId="5B9A752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 [1.4, 4.1]</w:t>
            </w:r>
          </w:p>
        </w:tc>
      </w:tr>
      <w:tr w14:paraId="47D38BE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nil"/>
              <w:right w:val="nil"/>
            </w:tcBorders>
            <w:noWrap w:val="0"/>
            <w:tcMar>
              <w:top w:w="-1" w:type="dxa"/>
              <w:left w:w="-1" w:type="dxa"/>
              <w:bottom w:w="-1" w:type="dxa"/>
              <w:right w:w="-1" w:type="dxa"/>
            </w:tcMar>
            <w:vAlign w:val="center"/>
          </w:tcPr>
          <w:p w14:paraId="4F7ACFA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25-52 weeks</w:t>
            </w:r>
          </w:p>
        </w:tc>
        <w:tc>
          <w:tcPr>
            <w:tcW w:w="1152" w:type="dxa"/>
            <w:tcBorders>
              <w:top w:val="nil"/>
              <w:left w:val="nil"/>
              <w:bottom w:val="nil"/>
              <w:right w:val="nil"/>
            </w:tcBorders>
            <w:noWrap w:val="0"/>
            <w:tcMar>
              <w:top w:w="-1" w:type="dxa"/>
              <w:left w:w="-1" w:type="dxa"/>
              <w:bottom w:w="-1" w:type="dxa"/>
              <w:right w:w="-1" w:type="dxa"/>
            </w:tcMar>
            <w:vAlign w:val="center"/>
          </w:tcPr>
          <w:p w14:paraId="18999B6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FT4</w:t>
            </w:r>
          </w:p>
        </w:tc>
        <w:tc>
          <w:tcPr>
            <w:tcW w:w="3816" w:type="dxa"/>
            <w:tcBorders>
              <w:top w:val="nil"/>
              <w:left w:val="nil"/>
              <w:bottom w:val="nil"/>
              <w:right w:val="nil"/>
            </w:tcBorders>
            <w:noWrap w:val="0"/>
            <w:tcMar>
              <w:top w:w="-1" w:type="dxa"/>
              <w:left w:w="-1" w:type="dxa"/>
              <w:bottom w:w="-1" w:type="dxa"/>
              <w:right w:w="-1" w:type="dxa"/>
            </w:tcMar>
            <w:vAlign w:val="center"/>
          </w:tcPr>
          <w:p w14:paraId="3A2EF0E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19/72 (26.4%)</w:t>
            </w:r>
          </w:p>
        </w:tc>
        <w:tc>
          <w:tcPr>
            <w:tcW w:w="1080" w:type="dxa"/>
            <w:tcBorders>
              <w:top w:val="nil"/>
              <w:left w:val="nil"/>
              <w:bottom w:val="nil"/>
              <w:right w:val="nil"/>
            </w:tcBorders>
            <w:noWrap w:val="0"/>
            <w:tcMar>
              <w:top w:w="-1" w:type="dxa"/>
              <w:left w:w="-1" w:type="dxa"/>
              <w:bottom w:w="-1" w:type="dxa"/>
              <w:right w:w="-1" w:type="dxa"/>
            </w:tcMar>
            <w:vAlign w:val="center"/>
          </w:tcPr>
          <w:p w14:paraId="2C7EAE8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138</w:t>
            </w:r>
          </w:p>
        </w:tc>
        <w:tc>
          <w:tcPr>
            <w:tcW w:w="3600" w:type="dxa"/>
            <w:tcBorders>
              <w:top w:val="nil"/>
              <w:left w:val="nil"/>
              <w:bottom w:val="nil"/>
              <w:right w:val="nil"/>
            </w:tcBorders>
            <w:noWrap w:val="0"/>
            <w:tcMar>
              <w:top w:w="-1" w:type="dxa"/>
              <w:left w:w="-1" w:type="dxa"/>
              <w:bottom w:w="-1" w:type="dxa"/>
              <w:right w:w="-1" w:type="dxa"/>
            </w:tcMar>
            <w:vAlign w:val="center"/>
          </w:tcPr>
          <w:p w14:paraId="5291F27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nil"/>
              <w:right w:val="nil"/>
            </w:tcBorders>
            <w:noWrap w:val="0"/>
            <w:tcMar>
              <w:top w:w="-1" w:type="dxa"/>
              <w:left w:w="-1" w:type="dxa"/>
              <w:bottom w:w="-1" w:type="dxa"/>
              <w:right w:w="-1" w:type="dxa"/>
            </w:tcMar>
            <w:vAlign w:val="center"/>
          </w:tcPr>
          <w:p w14:paraId="1B65DB2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14.9 [13.4, 16.2]</w:t>
            </w:r>
          </w:p>
        </w:tc>
      </w:tr>
      <w:tr w14:paraId="1579755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1728" w:type="dxa"/>
            <w:tcBorders>
              <w:top w:val="nil"/>
              <w:left w:val="nil"/>
              <w:bottom w:val="single" w:color="auto" w:sz="12" w:space="0"/>
              <w:right w:val="nil"/>
            </w:tcBorders>
            <w:noWrap w:val="0"/>
            <w:tcMar>
              <w:top w:w="-1" w:type="dxa"/>
              <w:left w:w="-1" w:type="dxa"/>
              <w:bottom w:w="-1" w:type="dxa"/>
              <w:right w:w="-1" w:type="dxa"/>
            </w:tcMar>
            <w:vAlign w:val="center"/>
          </w:tcPr>
          <w:p w14:paraId="2E56B0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25-52 weeks</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3CC63B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FT3</w:t>
            </w:r>
          </w:p>
        </w:tc>
        <w:tc>
          <w:tcPr>
            <w:tcW w:w="3816" w:type="dxa"/>
            <w:tcBorders>
              <w:top w:val="nil"/>
              <w:left w:val="nil"/>
              <w:bottom w:val="single" w:color="auto" w:sz="12" w:space="0"/>
              <w:right w:val="nil"/>
            </w:tcBorders>
            <w:noWrap w:val="0"/>
            <w:tcMar>
              <w:top w:w="-1" w:type="dxa"/>
              <w:left w:w="-1" w:type="dxa"/>
              <w:bottom w:w="-1" w:type="dxa"/>
              <w:right w:w="-1" w:type="dxa"/>
            </w:tcMar>
            <w:vAlign w:val="center"/>
          </w:tcPr>
          <w:p w14:paraId="665246F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24/72 (33.3%)</w:t>
            </w:r>
          </w:p>
        </w:tc>
        <w:tc>
          <w:tcPr>
            <w:tcW w:w="1080" w:type="dxa"/>
            <w:tcBorders>
              <w:top w:val="nil"/>
              <w:left w:val="nil"/>
              <w:bottom w:val="single" w:color="auto" w:sz="12" w:space="0"/>
              <w:right w:val="nil"/>
            </w:tcBorders>
            <w:noWrap w:val="0"/>
            <w:tcMar>
              <w:top w:w="-1" w:type="dxa"/>
              <w:left w:w="-1" w:type="dxa"/>
              <w:bottom w:w="-1" w:type="dxa"/>
              <w:right w:w="-1" w:type="dxa"/>
            </w:tcMar>
            <w:vAlign w:val="center"/>
          </w:tcPr>
          <w:p w14:paraId="5124F96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138</w:t>
            </w:r>
          </w:p>
        </w:tc>
        <w:tc>
          <w:tcPr>
            <w:tcW w:w="3600" w:type="dxa"/>
            <w:tcBorders>
              <w:top w:val="nil"/>
              <w:left w:val="nil"/>
              <w:bottom w:val="single" w:color="auto" w:sz="12" w:space="0"/>
              <w:right w:val="nil"/>
            </w:tcBorders>
            <w:noWrap w:val="0"/>
            <w:tcMar>
              <w:top w:w="-1" w:type="dxa"/>
              <w:left w:w="-1" w:type="dxa"/>
              <w:bottom w:w="-1" w:type="dxa"/>
              <w:right w:w="-1" w:type="dxa"/>
            </w:tcMar>
            <w:vAlign w:val="center"/>
          </w:tcPr>
          <w:p w14:paraId="3C51CCE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[1.0, 2.0]</w:t>
            </w:r>
          </w:p>
        </w:tc>
        <w:tc>
          <w:tcPr>
            <w:tcW w:w="3384" w:type="dxa"/>
            <w:tcBorders>
              <w:top w:val="nil"/>
              <w:left w:val="nil"/>
              <w:bottom w:val="single" w:color="auto" w:sz="12" w:space="0"/>
              <w:right w:val="nil"/>
            </w:tcBorders>
            <w:noWrap w:val="0"/>
            <w:tcMar>
              <w:top w:w="-1" w:type="dxa"/>
              <w:left w:w="-1" w:type="dxa"/>
              <w:bottom w:w="-1" w:type="dxa"/>
              <w:right w:w="-1" w:type="dxa"/>
            </w:tcMar>
            <w:vAlign w:val="center"/>
          </w:tcPr>
          <w:p w14:paraId="510C4CD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4.4 [3.8, 4.8]</w:t>
            </w:r>
          </w:p>
        </w:tc>
      </w:tr>
    </w:tbl>
    <w:p w14:paraId="789244CA">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Denominators are tested patients, not all 273 patients or person-time. Analysis windows are Days 1–28, 29–56, 57–84, 85–168 and 169–365; ICI Day 0 reports are excluded because predose collection was established by investigator verification rather than by specimen-collection timestamps in the analytical export. Each report timestamp counts as one panel. Within-patient window medians are summarized across patients.</w:t>
      </w:r>
    </w:p>
    <w:p w14:paraId="321DD245">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S7. Exploratory baseline TSH functional-form comparisons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5976"/>
        <w:gridCol w:w="1944"/>
        <w:gridCol w:w="1944"/>
        <w:gridCol w:w="2376"/>
        <w:gridCol w:w="2664"/>
      </w:tblGrid>
      <w:tr w14:paraId="2637E54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5976" w:type="dxa"/>
            <w:tcBorders>
              <w:top w:val="single" w:color="auto" w:sz="12" w:space="0"/>
              <w:left w:val="nil"/>
              <w:bottom w:val="nil"/>
              <w:right w:val="nil"/>
            </w:tcBorders>
            <w:noWrap w:val="0"/>
            <w:tcMar>
              <w:top w:w="-1" w:type="dxa"/>
              <w:left w:w="-1" w:type="dxa"/>
              <w:bottom w:w="-1" w:type="dxa"/>
              <w:right w:w="-1" w:type="dxa"/>
            </w:tcMar>
            <w:vAlign w:val="center"/>
          </w:tcPr>
          <w:p w14:paraId="683E7405">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Model</w:t>
            </w:r>
          </w:p>
        </w:tc>
        <w:tc>
          <w:tcPr>
            <w:tcW w:w="1944" w:type="dxa"/>
            <w:tcBorders>
              <w:top w:val="single" w:color="auto" w:sz="12" w:space="0"/>
              <w:left w:val="nil"/>
              <w:bottom w:val="nil"/>
              <w:right w:val="nil"/>
            </w:tcBorders>
            <w:noWrap w:val="0"/>
            <w:tcMar>
              <w:top w:w="-1" w:type="dxa"/>
              <w:left w:w="-1" w:type="dxa"/>
              <w:bottom w:w="-1" w:type="dxa"/>
              <w:right w:w="-1" w:type="dxa"/>
            </w:tcMar>
            <w:vAlign w:val="center"/>
          </w:tcPr>
          <w:p w14:paraId="2583F944">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N/events</w:t>
            </w:r>
          </w:p>
        </w:tc>
        <w:tc>
          <w:tcPr>
            <w:tcW w:w="1944" w:type="dxa"/>
            <w:tcBorders>
              <w:top w:val="single" w:color="auto" w:sz="12" w:space="0"/>
              <w:left w:val="nil"/>
              <w:bottom w:val="nil"/>
              <w:right w:val="nil"/>
            </w:tcBorders>
            <w:noWrap w:val="0"/>
            <w:tcMar>
              <w:top w:w="-1" w:type="dxa"/>
              <w:left w:w="-1" w:type="dxa"/>
              <w:bottom w:w="-1" w:type="dxa"/>
              <w:right w:w="-1" w:type="dxa"/>
            </w:tcMar>
            <w:vAlign w:val="center"/>
          </w:tcPr>
          <w:p w14:paraId="5D617070">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AIC</w:t>
            </w:r>
          </w:p>
        </w:tc>
        <w:tc>
          <w:tcPr>
            <w:tcW w:w="2376" w:type="dxa"/>
            <w:tcBorders>
              <w:top w:val="single" w:color="auto" w:sz="12" w:space="0"/>
              <w:left w:val="nil"/>
              <w:bottom w:val="nil"/>
              <w:right w:val="nil"/>
            </w:tcBorders>
            <w:noWrap w:val="0"/>
            <w:tcMar>
              <w:top w:w="-1" w:type="dxa"/>
              <w:left w:w="-1" w:type="dxa"/>
              <w:bottom w:w="-1" w:type="dxa"/>
              <w:right w:w="-1" w:type="dxa"/>
            </w:tcMar>
            <w:vAlign w:val="center"/>
          </w:tcPr>
          <w:p w14:paraId="1671CBA3">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Log likelihood</w:t>
            </w:r>
          </w:p>
        </w:tc>
        <w:tc>
          <w:tcPr>
            <w:tcW w:w="2664" w:type="dxa"/>
            <w:tcBorders>
              <w:top w:val="single" w:color="auto" w:sz="12" w:space="0"/>
              <w:left w:val="nil"/>
              <w:bottom w:val="nil"/>
              <w:right w:val="nil"/>
            </w:tcBorders>
            <w:noWrap w:val="0"/>
            <w:tcMar>
              <w:top w:w="-1" w:type="dxa"/>
              <w:left w:w="-1" w:type="dxa"/>
              <w:bottom w:w="-1" w:type="dxa"/>
              <w:right w:w="-1" w:type="dxa"/>
            </w:tcMar>
            <w:vAlign w:val="center"/>
          </w:tcPr>
          <w:p w14:paraId="228BA574">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Nonlinearity P</w:t>
            </w:r>
          </w:p>
        </w:tc>
      </w:tr>
      <w:tr w14:paraId="580314F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976" w:type="dxa"/>
            <w:tcBorders>
              <w:top w:val="single" w:color="auto" w:sz="4" w:space="0"/>
              <w:left w:val="nil"/>
              <w:bottom w:val="nil"/>
              <w:right w:val="nil"/>
            </w:tcBorders>
            <w:noWrap w:val="0"/>
            <w:tcMar>
              <w:top w:w="-1" w:type="dxa"/>
              <w:left w:w="-1" w:type="dxa"/>
              <w:bottom w:w="-1" w:type="dxa"/>
              <w:right w:w="-1" w:type="dxa"/>
            </w:tcMar>
            <w:vAlign w:val="center"/>
          </w:tcPr>
          <w:p w14:paraId="021055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Linear TSH</w:t>
            </w:r>
          </w:p>
        </w:tc>
        <w:tc>
          <w:tcPr>
            <w:tcW w:w="1944" w:type="dxa"/>
            <w:tcBorders>
              <w:top w:val="single" w:color="auto" w:sz="4" w:space="0"/>
              <w:left w:val="nil"/>
              <w:bottom w:val="nil"/>
              <w:right w:val="nil"/>
            </w:tcBorders>
            <w:noWrap w:val="0"/>
            <w:tcMar>
              <w:top w:w="-1" w:type="dxa"/>
              <w:left w:w="-1" w:type="dxa"/>
              <w:bottom w:w="-1" w:type="dxa"/>
              <w:right w:w="-1" w:type="dxa"/>
            </w:tcMar>
            <w:vAlign w:val="center"/>
          </w:tcPr>
          <w:p w14:paraId="33EB0C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240/30</w:t>
            </w:r>
          </w:p>
        </w:tc>
        <w:tc>
          <w:tcPr>
            <w:tcW w:w="1944" w:type="dxa"/>
            <w:tcBorders>
              <w:top w:val="single" w:color="auto" w:sz="4" w:space="0"/>
              <w:left w:val="nil"/>
              <w:bottom w:val="nil"/>
              <w:right w:val="nil"/>
            </w:tcBorders>
            <w:noWrap w:val="0"/>
            <w:tcMar>
              <w:top w:w="-1" w:type="dxa"/>
              <w:left w:w="-1" w:type="dxa"/>
              <w:bottom w:w="-1" w:type="dxa"/>
              <w:right w:w="-1" w:type="dxa"/>
            </w:tcMar>
            <w:vAlign w:val="center"/>
          </w:tcPr>
          <w:p w14:paraId="0652E1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173.00</w:t>
            </w:r>
          </w:p>
        </w:tc>
        <w:tc>
          <w:tcPr>
            <w:tcW w:w="2376" w:type="dxa"/>
            <w:tcBorders>
              <w:top w:val="single" w:color="auto" w:sz="4" w:space="0"/>
              <w:left w:val="nil"/>
              <w:bottom w:val="nil"/>
              <w:right w:val="nil"/>
            </w:tcBorders>
            <w:noWrap w:val="0"/>
            <w:tcMar>
              <w:top w:w="-1" w:type="dxa"/>
              <w:left w:w="-1" w:type="dxa"/>
              <w:bottom w:w="-1" w:type="dxa"/>
              <w:right w:w="-1" w:type="dxa"/>
            </w:tcMar>
            <w:vAlign w:val="center"/>
          </w:tcPr>
          <w:p w14:paraId="4F298C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-84.50</w:t>
            </w:r>
          </w:p>
        </w:tc>
        <w:tc>
          <w:tcPr>
            <w:tcW w:w="2664" w:type="dxa"/>
            <w:tcBorders>
              <w:top w:val="single" w:color="auto" w:sz="4" w:space="0"/>
              <w:left w:val="nil"/>
              <w:bottom w:val="nil"/>
              <w:right w:val="nil"/>
            </w:tcBorders>
            <w:noWrap w:val="0"/>
            <w:tcMar>
              <w:top w:w="-1" w:type="dxa"/>
              <w:left w:w="-1" w:type="dxa"/>
              <w:bottom w:w="-1" w:type="dxa"/>
              <w:right w:w="-1" w:type="dxa"/>
            </w:tcMar>
            <w:vAlign w:val="center"/>
          </w:tcPr>
          <w:p w14:paraId="7ACA3C3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w:t>
            </w:r>
          </w:p>
        </w:tc>
      </w:tr>
      <w:tr w14:paraId="4501335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976" w:type="dxa"/>
            <w:tcBorders>
              <w:top w:val="nil"/>
              <w:left w:val="nil"/>
              <w:bottom w:val="nil"/>
              <w:right w:val="nil"/>
            </w:tcBorders>
            <w:noWrap w:val="0"/>
            <w:tcMar>
              <w:top w:w="-1" w:type="dxa"/>
              <w:left w:w="-1" w:type="dxa"/>
              <w:bottom w:w="-1" w:type="dxa"/>
              <w:right w:w="-1" w:type="dxa"/>
            </w:tcMar>
            <w:vAlign w:val="center"/>
          </w:tcPr>
          <w:p w14:paraId="3090DFC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log(TSH)</w:t>
            </w:r>
          </w:p>
        </w:tc>
        <w:tc>
          <w:tcPr>
            <w:tcW w:w="1944" w:type="dxa"/>
            <w:tcBorders>
              <w:top w:val="nil"/>
              <w:left w:val="nil"/>
              <w:bottom w:val="nil"/>
              <w:right w:val="nil"/>
            </w:tcBorders>
            <w:noWrap w:val="0"/>
            <w:tcMar>
              <w:top w:w="-1" w:type="dxa"/>
              <w:left w:w="-1" w:type="dxa"/>
              <w:bottom w:w="-1" w:type="dxa"/>
              <w:right w:w="-1" w:type="dxa"/>
            </w:tcMar>
            <w:vAlign w:val="center"/>
          </w:tcPr>
          <w:p w14:paraId="1DEB02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240/30</w:t>
            </w:r>
          </w:p>
        </w:tc>
        <w:tc>
          <w:tcPr>
            <w:tcW w:w="1944" w:type="dxa"/>
            <w:tcBorders>
              <w:top w:val="nil"/>
              <w:left w:val="nil"/>
              <w:bottom w:val="nil"/>
              <w:right w:val="nil"/>
            </w:tcBorders>
            <w:noWrap w:val="0"/>
            <w:tcMar>
              <w:top w:w="-1" w:type="dxa"/>
              <w:left w:w="-1" w:type="dxa"/>
              <w:bottom w:w="-1" w:type="dxa"/>
              <w:right w:w="-1" w:type="dxa"/>
            </w:tcMar>
            <w:vAlign w:val="center"/>
          </w:tcPr>
          <w:p w14:paraId="652B736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171.40</w:t>
            </w:r>
          </w:p>
        </w:tc>
        <w:tc>
          <w:tcPr>
            <w:tcW w:w="2376" w:type="dxa"/>
            <w:tcBorders>
              <w:top w:val="nil"/>
              <w:left w:val="nil"/>
              <w:bottom w:val="nil"/>
              <w:right w:val="nil"/>
            </w:tcBorders>
            <w:noWrap w:val="0"/>
            <w:tcMar>
              <w:top w:w="-1" w:type="dxa"/>
              <w:left w:w="-1" w:type="dxa"/>
              <w:bottom w:w="-1" w:type="dxa"/>
              <w:right w:w="-1" w:type="dxa"/>
            </w:tcMar>
            <w:vAlign w:val="center"/>
          </w:tcPr>
          <w:p w14:paraId="2BEB6D4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-83.70</w:t>
            </w:r>
          </w:p>
        </w:tc>
        <w:tc>
          <w:tcPr>
            <w:tcW w:w="2664" w:type="dxa"/>
            <w:tcBorders>
              <w:top w:val="nil"/>
              <w:left w:val="nil"/>
              <w:bottom w:val="nil"/>
              <w:right w:val="nil"/>
            </w:tcBorders>
            <w:noWrap w:val="0"/>
            <w:tcMar>
              <w:top w:w="-1" w:type="dxa"/>
              <w:left w:w="-1" w:type="dxa"/>
              <w:bottom w:w="-1" w:type="dxa"/>
              <w:right w:w="-1" w:type="dxa"/>
            </w:tcMar>
            <w:vAlign w:val="center"/>
          </w:tcPr>
          <w:p w14:paraId="748293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w:t>
            </w:r>
          </w:p>
        </w:tc>
      </w:tr>
      <w:tr w14:paraId="2D190BF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976" w:type="dxa"/>
            <w:tcBorders>
              <w:top w:val="nil"/>
              <w:left w:val="nil"/>
              <w:bottom w:val="single" w:color="auto" w:sz="12" w:space="0"/>
              <w:right w:val="nil"/>
            </w:tcBorders>
            <w:noWrap w:val="0"/>
            <w:tcMar>
              <w:top w:w="-1" w:type="dxa"/>
              <w:left w:w="-1" w:type="dxa"/>
              <w:bottom w:w="-1" w:type="dxa"/>
              <w:right w:w="-1" w:type="dxa"/>
            </w:tcMar>
            <w:vAlign w:val="center"/>
          </w:tcPr>
          <w:p w14:paraId="523AACF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Natural cubic spline, df=3</w:t>
            </w:r>
          </w:p>
        </w:tc>
        <w:tc>
          <w:tcPr>
            <w:tcW w:w="1944" w:type="dxa"/>
            <w:tcBorders>
              <w:top w:val="nil"/>
              <w:left w:val="nil"/>
              <w:bottom w:val="single" w:color="auto" w:sz="12" w:space="0"/>
              <w:right w:val="nil"/>
            </w:tcBorders>
            <w:noWrap w:val="0"/>
            <w:tcMar>
              <w:top w:w="-1" w:type="dxa"/>
              <w:left w:w="-1" w:type="dxa"/>
              <w:bottom w:w="-1" w:type="dxa"/>
              <w:right w:w="-1" w:type="dxa"/>
            </w:tcMar>
            <w:vAlign w:val="center"/>
          </w:tcPr>
          <w:p w14:paraId="1E009A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240/30</w:t>
            </w:r>
          </w:p>
        </w:tc>
        <w:tc>
          <w:tcPr>
            <w:tcW w:w="1944" w:type="dxa"/>
            <w:tcBorders>
              <w:top w:val="nil"/>
              <w:left w:val="nil"/>
              <w:bottom w:val="single" w:color="auto" w:sz="12" w:space="0"/>
              <w:right w:val="nil"/>
            </w:tcBorders>
            <w:noWrap w:val="0"/>
            <w:tcMar>
              <w:top w:w="-1" w:type="dxa"/>
              <w:left w:w="-1" w:type="dxa"/>
              <w:bottom w:w="-1" w:type="dxa"/>
              <w:right w:w="-1" w:type="dxa"/>
            </w:tcMar>
            <w:vAlign w:val="center"/>
          </w:tcPr>
          <w:p w14:paraId="7BFC5C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173.69</w:t>
            </w:r>
          </w:p>
        </w:tc>
        <w:tc>
          <w:tcPr>
            <w:tcW w:w="2376" w:type="dxa"/>
            <w:tcBorders>
              <w:top w:val="nil"/>
              <w:left w:val="nil"/>
              <w:bottom w:val="single" w:color="auto" w:sz="12" w:space="0"/>
              <w:right w:val="nil"/>
            </w:tcBorders>
            <w:noWrap w:val="0"/>
            <w:tcMar>
              <w:top w:w="-1" w:type="dxa"/>
              <w:left w:w="-1" w:type="dxa"/>
              <w:bottom w:w="-1" w:type="dxa"/>
              <w:right w:w="-1" w:type="dxa"/>
            </w:tcMar>
            <w:vAlign w:val="center"/>
          </w:tcPr>
          <w:p w14:paraId="0796FD6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-82.85</w:t>
            </w:r>
          </w:p>
        </w:tc>
        <w:tc>
          <w:tcPr>
            <w:tcW w:w="2664" w:type="dxa"/>
            <w:tcBorders>
              <w:top w:val="nil"/>
              <w:left w:val="nil"/>
              <w:bottom w:val="single" w:color="auto" w:sz="12" w:space="0"/>
              <w:right w:val="nil"/>
            </w:tcBorders>
            <w:noWrap w:val="0"/>
            <w:tcMar>
              <w:top w:w="-1" w:type="dxa"/>
              <w:left w:w="-1" w:type="dxa"/>
              <w:bottom w:w="-1" w:type="dxa"/>
              <w:right w:w="-1" w:type="dxa"/>
            </w:tcMar>
            <w:vAlign w:val="center"/>
          </w:tcPr>
          <w:p w14:paraId="5A6B651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0.191</w:t>
            </w:r>
          </w:p>
        </w:tc>
      </w:tr>
    </w:tbl>
    <w:p w14:paraId="345D8753">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AIC and log likelihood are relative-fit descriptions; no TSH threshold is estimated. Spline P compares the df=3 natural spline with the linear model and is outside the ten-test BH family.</w:t>
      </w:r>
    </w:p>
    <w:p w14:paraId="0813C259">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S8. IPW standardization of the recorded-event proportion and diagnostics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5760"/>
        <w:gridCol w:w="4680"/>
        <w:gridCol w:w="2736"/>
        <w:gridCol w:w="1728"/>
      </w:tblGrid>
      <w:tr w14:paraId="62BC16E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5760" w:type="dxa"/>
            <w:tcBorders>
              <w:top w:val="single" w:color="auto" w:sz="12" w:space="0"/>
              <w:left w:val="nil"/>
              <w:bottom w:val="nil"/>
              <w:right w:val="nil"/>
            </w:tcBorders>
            <w:noWrap w:val="0"/>
            <w:tcMar>
              <w:top w:w="-1" w:type="dxa"/>
              <w:left w:w="-1" w:type="dxa"/>
              <w:bottom w:w="-1" w:type="dxa"/>
              <w:right w:w="-1" w:type="dxa"/>
            </w:tcMar>
            <w:vAlign w:val="center"/>
          </w:tcPr>
          <w:p w14:paraId="2BF800B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Method</w:t>
            </w:r>
          </w:p>
        </w:tc>
        <w:tc>
          <w:tcPr>
            <w:tcW w:w="4680" w:type="dxa"/>
            <w:tcBorders>
              <w:top w:val="single" w:color="auto" w:sz="12" w:space="0"/>
              <w:left w:val="nil"/>
              <w:bottom w:val="nil"/>
              <w:right w:val="nil"/>
            </w:tcBorders>
            <w:noWrap w:val="0"/>
            <w:tcMar>
              <w:top w:w="-1" w:type="dxa"/>
              <w:left w:w="-1" w:type="dxa"/>
              <w:bottom w:w="-1" w:type="dxa"/>
              <w:right w:w="-1" w:type="dxa"/>
            </w:tcMar>
            <w:vAlign w:val="center"/>
          </w:tcPr>
          <w:p w14:paraId="51728CCE">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Observed/weighted proportion (95% CI)</w:t>
            </w:r>
          </w:p>
        </w:tc>
        <w:tc>
          <w:tcPr>
            <w:tcW w:w="2736" w:type="dxa"/>
            <w:tcBorders>
              <w:top w:val="single" w:color="auto" w:sz="12" w:space="0"/>
              <w:left w:val="nil"/>
              <w:bottom w:val="nil"/>
              <w:right w:val="nil"/>
            </w:tcBorders>
            <w:noWrap w:val="0"/>
            <w:tcMar>
              <w:top w:w="-1" w:type="dxa"/>
              <w:left w:w="-1" w:type="dxa"/>
              <w:bottom w:w="-1" w:type="dxa"/>
              <w:right w:w="-1" w:type="dxa"/>
            </w:tcMar>
            <w:vAlign w:val="center"/>
          </w:tcPr>
          <w:p w14:paraId="08E9A92D">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Difference, percentage points</w:t>
            </w:r>
          </w:p>
        </w:tc>
        <w:tc>
          <w:tcPr>
            <w:tcW w:w="1728" w:type="dxa"/>
            <w:tcBorders>
              <w:top w:val="single" w:color="auto" w:sz="12" w:space="0"/>
              <w:left w:val="nil"/>
              <w:bottom w:val="nil"/>
              <w:right w:val="nil"/>
            </w:tcBorders>
            <w:noWrap w:val="0"/>
            <w:tcMar>
              <w:top w:w="-1" w:type="dxa"/>
              <w:left w:w="-1" w:type="dxa"/>
              <w:bottom w:w="-1" w:type="dxa"/>
              <w:right w:w="-1" w:type="dxa"/>
            </w:tcMar>
            <w:vAlign w:val="center"/>
          </w:tcPr>
          <w:p w14:paraId="52E273C4">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ESS</w:t>
            </w:r>
          </w:p>
        </w:tc>
      </w:tr>
      <w:tr w14:paraId="04C6885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single" w:color="auto" w:sz="4" w:space="0"/>
              <w:left w:val="nil"/>
              <w:bottom w:val="nil"/>
              <w:right w:val="nil"/>
            </w:tcBorders>
            <w:noWrap w:val="0"/>
            <w:tcMar>
              <w:top w:w="-1" w:type="dxa"/>
              <w:left w:w="-1" w:type="dxa"/>
              <w:bottom w:w="-1" w:type="dxa"/>
              <w:right w:w="-1" w:type="dxa"/>
            </w:tcMar>
            <w:vAlign w:val="center"/>
          </w:tcPr>
          <w:p w14:paraId="61ABC66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Unweighted</w:t>
            </w:r>
          </w:p>
        </w:tc>
        <w:tc>
          <w:tcPr>
            <w:tcW w:w="4680" w:type="dxa"/>
            <w:tcBorders>
              <w:top w:val="single" w:color="auto" w:sz="4" w:space="0"/>
              <w:left w:val="nil"/>
              <w:bottom w:val="nil"/>
              <w:right w:val="nil"/>
            </w:tcBorders>
            <w:noWrap w:val="0"/>
            <w:tcMar>
              <w:top w:w="-1" w:type="dxa"/>
              <w:left w:w="-1" w:type="dxa"/>
              <w:bottom w:w="-1" w:type="dxa"/>
              <w:right w:w="-1" w:type="dxa"/>
            </w:tcMar>
            <w:vAlign w:val="center"/>
          </w:tcPr>
          <w:p w14:paraId="20BB7C6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12.5% (8.9%–17.3%)</w:t>
            </w:r>
          </w:p>
        </w:tc>
        <w:tc>
          <w:tcPr>
            <w:tcW w:w="2736" w:type="dxa"/>
            <w:tcBorders>
              <w:top w:val="single" w:color="auto" w:sz="4" w:space="0"/>
              <w:left w:val="nil"/>
              <w:bottom w:val="nil"/>
              <w:right w:val="nil"/>
            </w:tcBorders>
            <w:noWrap w:val="0"/>
            <w:tcMar>
              <w:top w:w="-1" w:type="dxa"/>
              <w:left w:w="-1" w:type="dxa"/>
              <w:bottom w:w="-1" w:type="dxa"/>
              <w:right w:w="-1" w:type="dxa"/>
            </w:tcMar>
            <w:vAlign w:val="center"/>
          </w:tcPr>
          <w:p w14:paraId="4961576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+0.00</w:t>
            </w:r>
          </w:p>
        </w:tc>
        <w:tc>
          <w:tcPr>
            <w:tcW w:w="1728" w:type="dxa"/>
            <w:tcBorders>
              <w:top w:val="single" w:color="auto" w:sz="4" w:space="0"/>
              <w:left w:val="nil"/>
              <w:bottom w:val="nil"/>
              <w:right w:val="nil"/>
            </w:tcBorders>
            <w:noWrap w:val="0"/>
            <w:tcMar>
              <w:top w:w="-1" w:type="dxa"/>
              <w:left w:w="-1" w:type="dxa"/>
              <w:bottom w:w="-1" w:type="dxa"/>
              <w:right w:w="-1" w:type="dxa"/>
            </w:tcMar>
            <w:vAlign w:val="center"/>
          </w:tcPr>
          <w:p w14:paraId="7C82649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240.0</w:t>
            </w:r>
          </w:p>
        </w:tc>
      </w:tr>
      <w:tr w14:paraId="719AC9E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nil"/>
              <w:right w:val="nil"/>
            </w:tcBorders>
            <w:noWrap w:val="0"/>
            <w:tcMar>
              <w:top w:w="-1" w:type="dxa"/>
              <w:left w:w="-1" w:type="dxa"/>
              <w:bottom w:w="-1" w:type="dxa"/>
              <w:right w:w="-1" w:type="dxa"/>
            </w:tcMar>
            <w:vAlign w:val="center"/>
          </w:tcPr>
          <w:p w14:paraId="4A04E12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Stabilized IPW</w:t>
            </w:r>
          </w:p>
        </w:tc>
        <w:tc>
          <w:tcPr>
            <w:tcW w:w="4680" w:type="dxa"/>
            <w:tcBorders>
              <w:top w:val="nil"/>
              <w:left w:val="nil"/>
              <w:bottom w:val="nil"/>
              <w:right w:val="nil"/>
            </w:tcBorders>
            <w:noWrap w:val="0"/>
            <w:tcMar>
              <w:top w:w="-1" w:type="dxa"/>
              <w:left w:w="-1" w:type="dxa"/>
              <w:bottom w:w="-1" w:type="dxa"/>
              <w:right w:w="-1" w:type="dxa"/>
            </w:tcMar>
            <w:vAlign w:val="center"/>
          </w:tcPr>
          <w:p w14:paraId="61877D1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12.6% (8.4%–17.0%)</w:t>
            </w:r>
          </w:p>
        </w:tc>
        <w:tc>
          <w:tcPr>
            <w:tcW w:w="2736" w:type="dxa"/>
            <w:tcBorders>
              <w:top w:val="nil"/>
              <w:left w:val="nil"/>
              <w:bottom w:val="nil"/>
              <w:right w:val="nil"/>
            </w:tcBorders>
            <w:noWrap w:val="0"/>
            <w:tcMar>
              <w:top w:w="-1" w:type="dxa"/>
              <w:left w:w="-1" w:type="dxa"/>
              <w:bottom w:w="-1" w:type="dxa"/>
              <w:right w:w="-1" w:type="dxa"/>
            </w:tcMar>
            <w:vAlign w:val="center"/>
          </w:tcPr>
          <w:p w14:paraId="2B7EF1E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+0.08</w:t>
            </w:r>
          </w:p>
        </w:tc>
        <w:tc>
          <w:tcPr>
            <w:tcW w:w="1728" w:type="dxa"/>
            <w:tcBorders>
              <w:top w:val="nil"/>
              <w:left w:val="nil"/>
              <w:bottom w:val="nil"/>
              <w:right w:val="nil"/>
            </w:tcBorders>
            <w:noWrap w:val="0"/>
            <w:tcMar>
              <w:top w:w="-1" w:type="dxa"/>
              <w:left w:w="-1" w:type="dxa"/>
              <w:bottom w:w="-1" w:type="dxa"/>
              <w:right w:w="-1" w:type="dxa"/>
            </w:tcMar>
            <w:vAlign w:val="center"/>
          </w:tcPr>
          <w:p w14:paraId="4A6B283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219.1</w:t>
            </w:r>
          </w:p>
        </w:tc>
      </w:tr>
      <w:tr w14:paraId="6FC15F3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760" w:type="dxa"/>
            <w:tcBorders>
              <w:top w:val="nil"/>
              <w:left w:val="nil"/>
              <w:bottom w:val="single" w:color="auto" w:sz="12" w:space="0"/>
              <w:right w:val="nil"/>
            </w:tcBorders>
            <w:noWrap w:val="0"/>
            <w:tcMar>
              <w:top w:w="-1" w:type="dxa"/>
              <w:left w:w="-1" w:type="dxa"/>
              <w:bottom w:w="-1" w:type="dxa"/>
              <w:right w:w="-1" w:type="dxa"/>
            </w:tcMar>
            <w:vAlign w:val="center"/>
          </w:tcPr>
          <w:p w14:paraId="0C67E86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Stabilized IPW, 1st/99th percentile capped</w:t>
            </w:r>
          </w:p>
        </w:tc>
        <w:tc>
          <w:tcPr>
            <w:tcW w:w="4680" w:type="dxa"/>
            <w:tcBorders>
              <w:top w:val="nil"/>
              <w:left w:val="nil"/>
              <w:bottom w:val="single" w:color="auto" w:sz="12" w:space="0"/>
              <w:right w:val="nil"/>
            </w:tcBorders>
            <w:noWrap w:val="0"/>
            <w:tcMar>
              <w:top w:w="-1" w:type="dxa"/>
              <w:left w:w="-1" w:type="dxa"/>
              <w:bottom w:w="-1" w:type="dxa"/>
              <w:right w:w="-1" w:type="dxa"/>
            </w:tcMar>
            <w:vAlign w:val="center"/>
          </w:tcPr>
          <w:p w14:paraId="676482E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12.6% (8.5%–17.1%)</w:t>
            </w:r>
          </w:p>
        </w:tc>
        <w:tc>
          <w:tcPr>
            <w:tcW w:w="2736" w:type="dxa"/>
            <w:tcBorders>
              <w:top w:val="nil"/>
              <w:left w:val="nil"/>
              <w:bottom w:val="single" w:color="auto" w:sz="12" w:space="0"/>
              <w:right w:val="nil"/>
            </w:tcBorders>
            <w:noWrap w:val="0"/>
            <w:tcMar>
              <w:top w:w="-1" w:type="dxa"/>
              <w:left w:w="-1" w:type="dxa"/>
              <w:bottom w:w="-1" w:type="dxa"/>
              <w:right w:w="-1" w:type="dxa"/>
            </w:tcMar>
            <w:vAlign w:val="center"/>
          </w:tcPr>
          <w:p w14:paraId="6DC3A0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+0.14</w:t>
            </w:r>
          </w:p>
        </w:tc>
        <w:tc>
          <w:tcPr>
            <w:tcW w:w="1728" w:type="dxa"/>
            <w:tcBorders>
              <w:top w:val="nil"/>
              <w:left w:val="nil"/>
              <w:bottom w:val="single" w:color="auto" w:sz="12" w:space="0"/>
              <w:right w:val="nil"/>
            </w:tcBorders>
            <w:noWrap w:val="0"/>
            <w:tcMar>
              <w:top w:w="-1" w:type="dxa"/>
              <w:left w:w="-1" w:type="dxa"/>
              <w:bottom w:w="-1" w:type="dxa"/>
              <w:right w:w="-1" w:type="dxa"/>
            </w:tcMar>
            <w:vAlign w:val="center"/>
          </w:tcPr>
          <w:p w14:paraId="355A883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221.5</w:t>
            </w:r>
          </w:p>
        </w:tc>
      </w:tr>
    </w:tbl>
    <w:p w14:paraId="1D029E45">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Target N=627, monitored N=240, recorded events=30. The weighted measure is a standardized recorded-event proportion, not a fully ascertained incidence estimate. Bootstrap used 2,000 full-target patient resamples with repeated imputation and model fitting; all succeeded.</w:t>
      </w:r>
    </w:p>
    <w:p w14:paraId="6F977A26">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S8 continued. Weight distribution</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3240"/>
        <w:gridCol w:w="3384"/>
        <w:gridCol w:w="3168"/>
        <w:gridCol w:w="3096"/>
        <w:gridCol w:w="2016"/>
      </w:tblGrid>
      <w:tr w14:paraId="27EFE20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3240" w:type="dxa"/>
            <w:tcBorders>
              <w:top w:val="single" w:color="auto" w:sz="12" w:space="0"/>
              <w:left w:val="nil"/>
              <w:bottom w:val="nil"/>
              <w:right w:val="nil"/>
            </w:tcBorders>
            <w:noWrap w:val="0"/>
            <w:tcMar>
              <w:top w:w="-1" w:type="dxa"/>
              <w:left w:w="-1" w:type="dxa"/>
              <w:bottom w:w="-1" w:type="dxa"/>
              <w:right w:w="-1" w:type="dxa"/>
            </w:tcMar>
            <w:vAlign w:val="center"/>
          </w:tcPr>
          <w:p w14:paraId="6E5D6DEE">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Weight set</w:t>
            </w:r>
          </w:p>
        </w:tc>
        <w:tc>
          <w:tcPr>
            <w:tcW w:w="3384" w:type="dxa"/>
            <w:tcBorders>
              <w:top w:val="single" w:color="auto" w:sz="12" w:space="0"/>
              <w:left w:val="nil"/>
              <w:bottom w:val="nil"/>
              <w:right w:val="nil"/>
            </w:tcBorders>
            <w:noWrap w:val="0"/>
            <w:tcMar>
              <w:top w:w="-1" w:type="dxa"/>
              <w:left w:w="-1" w:type="dxa"/>
              <w:bottom w:w="-1" w:type="dxa"/>
              <w:right w:w="-1" w:type="dxa"/>
            </w:tcMar>
            <w:vAlign w:val="center"/>
          </w:tcPr>
          <w:p w14:paraId="167DE5FE">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Minimum–maximum</w:t>
            </w:r>
          </w:p>
        </w:tc>
        <w:tc>
          <w:tcPr>
            <w:tcW w:w="3168" w:type="dxa"/>
            <w:tcBorders>
              <w:top w:val="single" w:color="auto" w:sz="12" w:space="0"/>
              <w:left w:val="nil"/>
              <w:bottom w:val="nil"/>
              <w:right w:val="nil"/>
            </w:tcBorders>
            <w:noWrap w:val="0"/>
            <w:tcMar>
              <w:top w:w="-1" w:type="dxa"/>
              <w:left w:w="-1" w:type="dxa"/>
              <w:bottom w:w="-1" w:type="dxa"/>
              <w:right w:w="-1" w:type="dxa"/>
            </w:tcMar>
            <w:vAlign w:val="center"/>
          </w:tcPr>
          <w:p w14:paraId="1B5126A0">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Cap points</w:t>
            </w:r>
          </w:p>
        </w:tc>
        <w:tc>
          <w:tcPr>
            <w:tcW w:w="3096" w:type="dxa"/>
            <w:tcBorders>
              <w:top w:val="single" w:color="auto" w:sz="12" w:space="0"/>
              <w:left w:val="nil"/>
              <w:bottom w:val="nil"/>
              <w:right w:val="nil"/>
            </w:tcBorders>
            <w:noWrap w:val="0"/>
            <w:tcMar>
              <w:top w:w="-1" w:type="dxa"/>
              <w:left w:w="-1" w:type="dxa"/>
              <w:bottom w:w="-1" w:type="dxa"/>
              <w:right w:w="-1" w:type="dxa"/>
            </w:tcMar>
            <w:vAlign w:val="center"/>
          </w:tcPr>
          <w:p w14:paraId="4D7DAE36">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Below/above caps</w:t>
            </w:r>
          </w:p>
        </w:tc>
        <w:tc>
          <w:tcPr>
            <w:tcW w:w="2016" w:type="dxa"/>
            <w:tcBorders>
              <w:top w:val="single" w:color="auto" w:sz="12" w:space="0"/>
              <w:left w:val="nil"/>
              <w:bottom w:val="nil"/>
              <w:right w:val="nil"/>
            </w:tcBorders>
            <w:noWrap w:val="0"/>
            <w:tcMar>
              <w:top w:w="-1" w:type="dxa"/>
              <w:left w:w="-1" w:type="dxa"/>
              <w:bottom w:w="-1" w:type="dxa"/>
              <w:right w:w="-1" w:type="dxa"/>
            </w:tcMar>
            <w:vAlign w:val="center"/>
          </w:tcPr>
          <w:p w14:paraId="1638C8C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ESS</w:t>
            </w:r>
          </w:p>
        </w:tc>
      </w:tr>
      <w:tr w14:paraId="761957A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240" w:type="dxa"/>
            <w:tcBorders>
              <w:top w:val="single" w:color="auto" w:sz="4" w:space="0"/>
              <w:left w:val="nil"/>
              <w:bottom w:val="nil"/>
              <w:right w:val="nil"/>
            </w:tcBorders>
            <w:noWrap w:val="0"/>
            <w:tcMar>
              <w:top w:w="-1" w:type="dxa"/>
              <w:left w:w="-1" w:type="dxa"/>
              <w:bottom w:w="-1" w:type="dxa"/>
              <w:right w:w="-1" w:type="dxa"/>
            </w:tcMar>
            <w:vAlign w:val="center"/>
          </w:tcPr>
          <w:p w14:paraId="2FBA45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Uncapped</w:t>
            </w:r>
          </w:p>
        </w:tc>
        <w:tc>
          <w:tcPr>
            <w:tcW w:w="3384" w:type="dxa"/>
            <w:tcBorders>
              <w:top w:val="single" w:color="auto" w:sz="4" w:space="0"/>
              <w:left w:val="nil"/>
              <w:bottom w:val="nil"/>
              <w:right w:val="nil"/>
            </w:tcBorders>
            <w:noWrap w:val="0"/>
            <w:tcMar>
              <w:top w:w="-1" w:type="dxa"/>
              <w:left w:w="-1" w:type="dxa"/>
              <w:bottom w:w="-1" w:type="dxa"/>
              <w:right w:w="-1" w:type="dxa"/>
            </w:tcMar>
            <w:vAlign w:val="center"/>
          </w:tcPr>
          <w:p w14:paraId="541CEE9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0.479–2.766</w:t>
            </w:r>
          </w:p>
        </w:tc>
        <w:tc>
          <w:tcPr>
            <w:tcW w:w="3168" w:type="dxa"/>
            <w:tcBorders>
              <w:top w:val="single" w:color="auto" w:sz="4" w:space="0"/>
              <w:left w:val="nil"/>
              <w:bottom w:val="nil"/>
              <w:right w:val="nil"/>
            </w:tcBorders>
            <w:noWrap w:val="0"/>
            <w:tcMar>
              <w:top w:w="-1" w:type="dxa"/>
              <w:left w:w="-1" w:type="dxa"/>
              <w:bottom w:w="-1" w:type="dxa"/>
              <w:right w:w="-1" w:type="dxa"/>
            </w:tcMar>
            <w:vAlign w:val="center"/>
          </w:tcPr>
          <w:p w14:paraId="27594E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w:t>
            </w:r>
          </w:p>
        </w:tc>
        <w:tc>
          <w:tcPr>
            <w:tcW w:w="3096" w:type="dxa"/>
            <w:tcBorders>
              <w:top w:val="single" w:color="auto" w:sz="4" w:space="0"/>
              <w:left w:val="nil"/>
              <w:bottom w:val="nil"/>
              <w:right w:val="nil"/>
            </w:tcBorders>
            <w:noWrap w:val="0"/>
            <w:tcMar>
              <w:top w:w="-1" w:type="dxa"/>
              <w:left w:w="-1" w:type="dxa"/>
              <w:bottom w:w="-1" w:type="dxa"/>
              <w:right w:w="-1" w:type="dxa"/>
            </w:tcMar>
            <w:vAlign w:val="center"/>
          </w:tcPr>
          <w:p w14:paraId="3B281B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w:t>
            </w:r>
          </w:p>
        </w:tc>
        <w:tc>
          <w:tcPr>
            <w:tcW w:w="2016" w:type="dxa"/>
            <w:tcBorders>
              <w:top w:val="single" w:color="auto" w:sz="4" w:space="0"/>
              <w:left w:val="nil"/>
              <w:bottom w:val="nil"/>
              <w:right w:val="nil"/>
            </w:tcBorders>
            <w:noWrap w:val="0"/>
            <w:tcMar>
              <w:top w:w="-1" w:type="dxa"/>
              <w:left w:w="-1" w:type="dxa"/>
              <w:bottom w:w="-1" w:type="dxa"/>
              <w:right w:w="-1" w:type="dxa"/>
            </w:tcMar>
            <w:vAlign w:val="center"/>
          </w:tcPr>
          <w:p w14:paraId="1653283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219.1</w:t>
            </w:r>
          </w:p>
        </w:tc>
      </w:tr>
      <w:tr w14:paraId="738DBF7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240" w:type="dxa"/>
            <w:tcBorders>
              <w:top w:val="nil"/>
              <w:left w:val="nil"/>
              <w:bottom w:val="single" w:color="auto" w:sz="12" w:space="0"/>
              <w:right w:val="nil"/>
            </w:tcBorders>
            <w:noWrap w:val="0"/>
            <w:tcMar>
              <w:top w:w="-1" w:type="dxa"/>
              <w:left w:w="-1" w:type="dxa"/>
              <w:bottom w:w="-1" w:type="dxa"/>
              <w:right w:w="-1" w:type="dxa"/>
            </w:tcMar>
            <w:vAlign w:val="center"/>
          </w:tcPr>
          <w:p w14:paraId="610A08C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Capped</w:t>
            </w:r>
          </w:p>
        </w:tc>
        <w:tc>
          <w:tcPr>
            <w:tcW w:w="3384" w:type="dxa"/>
            <w:tcBorders>
              <w:top w:val="nil"/>
              <w:left w:val="nil"/>
              <w:bottom w:val="single" w:color="auto" w:sz="12" w:space="0"/>
              <w:right w:val="nil"/>
            </w:tcBorders>
            <w:noWrap w:val="0"/>
            <w:tcMar>
              <w:top w:w="-1" w:type="dxa"/>
              <w:left w:w="-1" w:type="dxa"/>
              <w:bottom w:w="-1" w:type="dxa"/>
              <w:right w:w="-1" w:type="dxa"/>
            </w:tcMar>
            <w:vAlign w:val="center"/>
          </w:tcPr>
          <w:p w14:paraId="34F13D1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0.553–1.901</w:t>
            </w:r>
          </w:p>
        </w:tc>
        <w:tc>
          <w:tcPr>
            <w:tcW w:w="3168" w:type="dxa"/>
            <w:tcBorders>
              <w:top w:val="nil"/>
              <w:left w:val="nil"/>
              <w:bottom w:val="single" w:color="auto" w:sz="12" w:space="0"/>
              <w:right w:val="nil"/>
            </w:tcBorders>
            <w:noWrap w:val="0"/>
            <w:tcMar>
              <w:top w:w="-1" w:type="dxa"/>
              <w:left w:w="-1" w:type="dxa"/>
              <w:bottom w:w="-1" w:type="dxa"/>
              <w:right w:w="-1" w:type="dxa"/>
            </w:tcMar>
            <w:vAlign w:val="center"/>
          </w:tcPr>
          <w:p w14:paraId="11EB5BB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0.553/1.901</w:t>
            </w:r>
          </w:p>
        </w:tc>
        <w:tc>
          <w:tcPr>
            <w:tcW w:w="3096" w:type="dxa"/>
            <w:tcBorders>
              <w:top w:val="nil"/>
              <w:left w:val="nil"/>
              <w:bottom w:val="single" w:color="auto" w:sz="12" w:space="0"/>
              <w:right w:val="nil"/>
            </w:tcBorders>
            <w:noWrap w:val="0"/>
            <w:tcMar>
              <w:top w:w="-1" w:type="dxa"/>
              <w:left w:w="-1" w:type="dxa"/>
              <w:bottom w:w="-1" w:type="dxa"/>
              <w:right w:w="-1" w:type="dxa"/>
            </w:tcMar>
            <w:vAlign w:val="center"/>
          </w:tcPr>
          <w:p w14:paraId="7805B83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3/3</w:t>
            </w:r>
          </w:p>
        </w:tc>
        <w:tc>
          <w:tcPr>
            <w:tcW w:w="2016" w:type="dxa"/>
            <w:tcBorders>
              <w:top w:val="nil"/>
              <w:left w:val="nil"/>
              <w:bottom w:val="single" w:color="auto" w:sz="12" w:space="0"/>
              <w:right w:val="nil"/>
            </w:tcBorders>
            <w:noWrap w:val="0"/>
            <w:tcMar>
              <w:top w:w="-1" w:type="dxa"/>
              <w:left w:w="-1" w:type="dxa"/>
              <w:bottom w:w="-1" w:type="dxa"/>
              <w:right w:w="-1" w:type="dxa"/>
            </w:tcMar>
            <w:vAlign w:val="center"/>
          </w:tcPr>
          <w:p w14:paraId="69AF128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221.5</w:t>
            </w:r>
          </w:p>
        </w:tc>
      </w:tr>
    </w:tbl>
    <w:p w14:paraId="12FE92F3">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S8 continued. Covariate balance against the full target population</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3744"/>
        <w:gridCol w:w="4752"/>
        <w:gridCol w:w="1152"/>
        <w:gridCol w:w="1656"/>
        <w:gridCol w:w="1800"/>
        <w:gridCol w:w="1656"/>
      </w:tblGrid>
      <w:tr w14:paraId="54C101E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3744" w:type="dxa"/>
            <w:tcBorders>
              <w:top w:val="single" w:color="auto" w:sz="12" w:space="0"/>
              <w:left w:val="nil"/>
              <w:bottom w:val="nil"/>
              <w:right w:val="nil"/>
            </w:tcBorders>
            <w:noWrap w:val="0"/>
            <w:tcMar>
              <w:top w:w="-1" w:type="dxa"/>
              <w:left w:w="-1" w:type="dxa"/>
              <w:bottom w:w="-1" w:type="dxa"/>
              <w:right w:w="-1" w:type="dxa"/>
            </w:tcMar>
            <w:vAlign w:val="center"/>
          </w:tcPr>
          <w:p w14:paraId="276778B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Characteristic</w:t>
            </w:r>
          </w:p>
        </w:tc>
        <w:tc>
          <w:tcPr>
            <w:tcW w:w="4752" w:type="dxa"/>
            <w:tcBorders>
              <w:top w:val="single" w:color="auto" w:sz="12" w:space="0"/>
              <w:left w:val="nil"/>
              <w:bottom w:val="nil"/>
              <w:right w:val="nil"/>
            </w:tcBorders>
            <w:noWrap w:val="0"/>
            <w:tcMar>
              <w:top w:w="-1" w:type="dxa"/>
              <w:left w:w="-1" w:type="dxa"/>
              <w:bottom w:w="-1" w:type="dxa"/>
              <w:right w:w="-1" w:type="dxa"/>
            </w:tcMar>
            <w:vAlign w:val="center"/>
          </w:tcPr>
          <w:p w14:paraId="6760BBD7">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Level</w:t>
            </w:r>
          </w:p>
        </w:tc>
        <w:tc>
          <w:tcPr>
            <w:tcW w:w="1152" w:type="dxa"/>
            <w:tcBorders>
              <w:top w:val="single" w:color="auto" w:sz="12" w:space="0"/>
              <w:left w:val="nil"/>
              <w:bottom w:val="nil"/>
              <w:right w:val="nil"/>
            </w:tcBorders>
            <w:noWrap w:val="0"/>
            <w:tcMar>
              <w:top w:w="-1" w:type="dxa"/>
              <w:left w:w="-1" w:type="dxa"/>
              <w:bottom w:w="-1" w:type="dxa"/>
              <w:right w:w="-1" w:type="dxa"/>
            </w:tcMar>
            <w:vAlign w:val="center"/>
          </w:tcPr>
          <w:p w14:paraId="56074D7F">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In model</w:t>
            </w:r>
          </w:p>
        </w:tc>
        <w:tc>
          <w:tcPr>
            <w:tcW w:w="1656" w:type="dxa"/>
            <w:tcBorders>
              <w:top w:val="single" w:color="auto" w:sz="12" w:space="0"/>
              <w:left w:val="nil"/>
              <w:bottom w:val="nil"/>
              <w:right w:val="nil"/>
            </w:tcBorders>
            <w:noWrap w:val="0"/>
            <w:tcMar>
              <w:top w:w="-1" w:type="dxa"/>
              <w:left w:w="-1" w:type="dxa"/>
              <w:bottom w:w="-1" w:type="dxa"/>
              <w:right w:w="-1" w:type="dxa"/>
            </w:tcMar>
            <w:vAlign w:val="center"/>
          </w:tcPr>
          <w:p w14:paraId="59928E30">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SMD before</w:t>
            </w:r>
          </w:p>
        </w:tc>
        <w:tc>
          <w:tcPr>
            <w:tcW w:w="1800" w:type="dxa"/>
            <w:tcBorders>
              <w:top w:val="single" w:color="auto" w:sz="12" w:space="0"/>
              <w:left w:val="nil"/>
              <w:bottom w:val="nil"/>
              <w:right w:val="nil"/>
            </w:tcBorders>
            <w:noWrap w:val="0"/>
            <w:tcMar>
              <w:top w:w="-1" w:type="dxa"/>
              <w:left w:w="-1" w:type="dxa"/>
              <w:bottom w:w="-1" w:type="dxa"/>
              <w:right w:w="-1" w:type="dxa"/>
            </w:tcMar>
            <w:vAlign w:val="center"/>
          </w:tcPr>
          <w:p w14:paraId="23A7DBD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SMD uncapped</w:t>
            </w:r>
          </w:p>
        </w:tc>
        <w:tc>
          <w:tcPr>
            <w:tcW w:w="1656" w:type="dxa"/>
            <w:tcBorders>
              <w:top w:val="single" w:color="auto" w:sz="12" w:space="0"/>
              <w:left w:val="nil"/>
              <w:bottom w:val="nil"/>
              <w:right w:val="nil"/>
            </w:tcBorders>
            <w:noWrap w:val="0"/>
            <w:tcMar>
              <w:top w:w="-1" w:type="dxa"/>
              <w:left w:w="-1" w:type="dxa"/>
              <w:bottom w:w="-1" w:type="dxa"/>
              <w:right w:w="-1" w:type="dxa"/>
            </w:tcMar>
            <w:vAlign w:val="center"/>
          </w:tcPr>
          <w:p w14:paraId="3490D3E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SMD capped</w:t>
            </w:r>
          </w:p>
        </w:tc>
      </w:tr>
      <w:tr w14:paraId="795AA67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single" w:color="auto" w:sz="4" w:space="0"/>
              <w:left w:val="nil"/>
              <w:bottom w:val="nil"/>
              <w:right w:val="nil"/>
            </w:tcBorders>
            <w:noWrap w:val="0"/>
            <w:tcMar>
              <w:top w:w="-1" w:type="dxa"/>
              <w:left w:w="-1" w:type="dxa"/>
              <w:bottom w:w="-1" w:type="dxa"/>
              <w:right w:w="-1" w:type="dxa"/>
            </w:tcMar>
            <w:vAlign w:val="center"/>
          </w:tcPr>
          <w:p w14:paraId="35C9844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year</w:t>
            </w:r>
          </w:p>
        </w:tc>
        <w:tc>
          <w:tcPr>
            <w:tcW w:w="4752" w:type="dxa"/>
            <w:tcBorders>
              <w:top w:val="single" w:color="auto" w:sz="4" w:space="0"/>
              <w:left w:val="nil"/>
              <w:bottom w:val="nil"/>
              <w:right w:val="nil"/>
            </w:tcBorders>
            <w:noWrap w:val="0"/>
            <w:tcMar>
              <w:top w:w="-1" w:type="dxa"/>
              <w:left w:w="-1" w:type="dxa"/>
              <w:bottom w:w="-1" w:type="dxa"/>
              <w:right w:w="-1" w:type="dxa"/>
            </w:tcMar>
            <w:vAlign w:val="center"/>
          </w:tcPr>
          <w:p w14:paraId="50E3CB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2020</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2C83E01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single" w:color="auto" w:sz="4" w:space="0"/>
              <w:left w:val="nil"/>
              <w:bottom w:val="nil"/>
              <w:right w:val="nil"/>
            </w:tcBorders>
            <w:noWrap w:val="0"/>
            <w:tcMar>
              <w:top w:w="-1" w:type="dxa"/>
              <w:left w:w="-1" w:type="dxa"/>
              <w:bottom w:w="-1" w:type="dxa"/>
              <w:right w:w="-1" w:type="dxa"/>
            </w:tcMar>
            <w:vAlign w:val="center"/>
          </w:tcPr>
          <w:p w14:paraId="7A22F07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0.062</w:t>
            </w:r>
          </w:p>
        </w:tc>
        <w:tc>
          <w:tcPr>
            <w:tcW w:w="1800" w:type="dxa"/>
            <w:tcBorders>
              <w:top w:val="single" w:color="auto" w:sz="4" w:space="0"/>
              <w:left w:val="nil"/>
              <w:bottom w:val="nil"/>
              <w:right w:val="nil"/>
            </w:tcBorders>
            <w:noWrap w:val="0"/>
            <w:tcMar>
              <w:top w:w="-1" w:type="dxa"/>
              <w:left w:w="-1" w:type="dxa"/>
              <w:bottom w:w="-1" w:type="dxa"/>
              <w:right w:w="-1" w:type="dxa"/>
            </w:tcMar>
            <w:vAlign w:val="center"/>
          </w:tcPr>
          <w:p w14:paraId="7FBA8B8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0.009</w:t>
            </w:r>
          </w:p>
        </w:tc>
        <w:tc>
          <w:tcPr>
            <w:tcW w:w="1656" w:type="dxa"/>
            <w:tcBorders>
              <w:top w:val="single" w:color="auto" w:sz="4" w:space="0"/>
              <w:left w:val="nil"/>
              <w:bottom w:val="nil"/>
              <w:right w:val="nil"/>
            </w:tcBorders>
            <w:noWrap w:val="0"/>
            <w:tcMar>
              <w:top w:w="-1" w:type="dxa"/>
              <w:left w:w="-1" w:type="dxa"/>
              <w:bottom w:w="-1" w:type="dxa"/>
              <w:right w:w="-1" w:type="dxa"/>
            </w:tcMar>
            <w:vAlign w:val="center"/>
          </w:tcPr>
          <w:p w14:paraId="2454EA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0.014</w:t>
            </w:r>
          </w:p>
        </w:tc>
      </w:tr>
      <w:tr w14:paraId="36C82A4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35FD9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year</w:t>
            </w:r>
          </w:p>
        </w:tc>
        <w:tc>
          <w:tcPr>
            <w:tcW w:w="4752" w:type="dxa"/>
            <w:tcBorders>
              <w:top w:val="nil"/>
              <w:left w:val="nil"/>
              <w:bottom w:val="nil"/>
              <w:right w:val="nil"/>
            </w:tcBorders>
            <w:noWrap w:val="0"/>
            <w:tcMar>
              <w:top w:w="-1" w:type="dxa"/>
              <w:left w:w="-1" w:type="dxa"/>
              <w:bottom w:w="-1" w:type="dxa"/>
              <w:right w:w="-1" w:type="dxa"/>
            </w:tcMar>
            <w:vAlign w:val="center"/>
          </w:tcPr>
          <w:p w14:paraId="17A9B3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2021</w:t>
            </w:r>
          </w:p>
        </w:tc>
        <w:tc>
          <w:tcPr>
            <w:tcW w:w="1152" w:type="dxa"/>
            <w:tcBorders>
              <w:top w:val="nil"/>
              <w:left w:val="nil"/>
              <w:bottom w:val="nil"/>
              <w:right w:val="nil"/>
            </w:tcBorders>
            <w:noWrap w:val="0"/>
            <w:tcMar>
              <w:top w:w="-1" w:type="dxa"/>
              <w:left w:w="-1" w:type="dxa"/>
              <w:bottom w:w="-1" w:type="dxa"/>
              <w:right w:w="-1" w:type="dxa"/>
            </w:tcMar>
            <w:vAlign w:val="center"/>
          </w:tcPr>
          <w:p w14:paraId="38D5795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337E8F4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0.151</w:t>
            </w:r>
          </w:p>
        </w:tc>
        <w:tc>
          <w:tcPr>
            <w:tcW w:w="1800" w:type="dxa"/>
            <w:tcBorders>
              <w:top w:val="nil"/>
              <w:left w:val="nil"/>
              <w:bottom w:val="nil"/>
              <w:right w:val="nil"/>
            </w:tcBorders>
            <w:noWrap w:val="0"/>
            <w:tcMar>
              <w:top w:w="-1" w:type="dxa"/>
              <w:left w:w="-1" w:type="dxa"/>
              <w:bottom w:w="-1" w:type="dxa"/>
              <w:right w:w="-1" w:type="dxa"/>
            </w:tcMar>
            <w:vAlign w:val="center"/>
          </w:tcPr>
          <w:p w14:paraId="6D6FE60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0.015</w:t>
            </w:r>
          </w:p>
        </w:tc>
        <w:tc>
          <w:tcPr>
            <w:tcW w:w="1656" w:type="dxa"/>
            <w:tcBorders>
              <w:top w:val="nil"/>
              <w:left w:val="nil"/>
              <w:bottom w:val="nil"/>
              <w:right w:val="nil"/>
            </w:tcBorders>
            <w:noWrap w:val="0"/>
            <w:tcMar>
              <w:top w:w="-1" w:type="dxa"/>
              <w:left w:w="-1" w:type="dxa"/>
              <w:bottom w:w="-1" w:type="dxa"/>
              <w:right w:w="-1" w:type="dxa"/>
            </w:tcMar>
            <w:vAlign w:val="center"/>
          </w:tcPr>
          <w:p w14:paraId="4F472D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0.018</w:t>
            </w:r>
          </w:p>
        </w:tc>
      </w:tr>
      <w:tr w14:paraId="41C2F54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68163D8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year</w:t>
            </w:r>
          </w:p>
        </w:tc>
        <w:tc>
          <w:tcPr>
            <w:tcW w:w="4752" w:type="dxa"/>
            <w:tcBorders>
              <w:top w:val="nil"/>
              <w:left w:val="nil"/>
              <w:bottom w:val="nil"/>
              <w:right w:val="nil"/>
            </w:tcBorders>
            <w:noWrap w:val="0"/>
            <w:tcMar>
              <w:top w:w="-1" w:type="dxa"/>
              <w:left w:w="-1" w:type="dxa"/>
              <w:bottom w:w="-1" w:type="dxa"/>
              <w:right w:w="-1" w:type="dxa"/>
            </w:tcMar>
            <w:vAlign w:val="center"/>
          </w:tcPr>
          <w:p w14:paraId="36888AE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2022</w:t>
            </w:r>
          </w:p>
        </w:tc>
        <w:tc>
          <w:tcPr>
            <w:tcW w:w="1152" w:type="dxa"/>
            <w:tcBorders>
              <w:top w:val="nil"/>
              <w:left w:val="nil"/>
              <w:bottom w:val="nil"/>
              <w:right w:val="nil"/>
            </w:tcBorders>
            <w:noWrap w:val="0"/>
            <w:tcMar>
              <w:top w:w="-1" w:type="dxa"/>
              <w:left w:w="-1" w:type="dxa"/>
              <w:bottom w:w="-1" w:type="dxa"/>
              <w:right w:w="-1" w:type="dxa"/>
            </w:tcMar>
            <w:vAlign w:val="center"/>
          </w:tcPr>
          <w:p w14:paraId="381E1C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155D578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0.081</w:t>
            </w:r>
          </w:p>
        </w:tc>
        <w:tc>
          <w:tcPr>
            <w:tcW w:w="1800" w:type="dxa"/>
            <w:tcBorders>
              <w:top w:val="nil"/>
              <w:left w:val="nil"/>
              <w:bottom w:val="nil"/>
              <w:right w:val="nil"/>
            </w:tcBorders>
            <w:noWrap w:val="0"/>
            <w:tcMar>
              <w:top w:w="-1" w:type="dxa"/>
              <w:left w:w="-1" w:type="dxa"/>
              <w:bottom w:w="-1" w:type="dxa"/>
              <w:right w:w="-1" w:type="dxa"/>
            </w:tcMar>
            <w:vAlign w:val="center"/>
          </w:tcPr>
          <w:p w14:paraId="537CF9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0.016</w:t>
            </w:r>
          </w:p>
        </w:tc>
        <w:tc>
          <w:tcPr>
            <w:tcW w:w="1656" w:type="dxa"/>
            <w:tcBorders>
              <w:top w:val="nil"/>
              <w:left w:val="nil"/>
              <w:bottom w:val="nil"/>
              <w:right w:val="nil"/>
            </w:tcBorders>
            <w:noWrap w:val="0"/>
            <w:tcMar>
              <w:top w:w="-1" w:type="dxa"/>
              <w:left w:w="-1" w:type="dxa"/>
              <w:bottom w:w="-1" w:type="dxa"/>
              <w:right w:w="-1" w:type="dxa"/>
            </w:tcMar>
            <w:vAlign w:val="center"/>
          </w:tcPr>
          <w:p w14:paraId="27F356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0.016</w:t>
            </w:r>
          </w:p>
        </w:tc>
      </w:tr>
      <w:tr w14:paraId="51BD593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DC54DF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year</w:t>
            </w:r>
          </w:p>
        </w:tc>
        <w:tc>
          <w:tcPr>
            <w:tcW w:w="4752" w:type="dxa"/>
            <w:tcBorders>
              <w:top w:val="nil"/>
              <w:left w:val="nil"/>
              <w:bottom w:val="nil"/>
              <w:right w:val="nil"/>
            </w:tcBorders>
            <w:noWrap w:val="0"/>
            <w:tcMar>
              <w:top w:w="-1" w:type="dxa"/>
              <w:left w:w="-1" w:type="dxa"/>
              <w:bottom w:w="-1" w:type="dxa"/>
              <w:right w:w="-1" w:type="dxa"/>
            </w:tcMar>
            <w:vAlign w:val="center"/>
          </w:tcPr>
          <w:p w14:paraId="6C3DBCC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2023</w:t>
            </w:r>
          </w:p>
        </w:tc>
        <w:tc>
          <w:tcPr>
            <w:tcW w:w="1152" w:type="dxa"/>
            <w:tcBorders>
              <w:top w:val="nil"/>
              <w:left w:val="nil"/>
              <w:bottom w:val="nil"/>
              <w:right w:val="nil"/>
            </w:tcBorders>
            <w:noWrap w:val="0"/>
            <w:tcMar>
              <w:top w:w="-1" w:type="dxa"/>
              <w:left w:w="-1" w:type="dxa"/>
              <w:bottom w:w="-1" w:type="dxa"/>
              <w:right w:w="-1" w:type="dxa"/>
            </w:tcMar>
            <w:vAlign w:val="center"/>
          </w:tcPr>
          <w:p w14:paraId="0A3540B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7E65CE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0.028</w:t>
            </w:r>
          </w:p>
        </w:tc>
        <w:tc>
          <w:tcPr>
            <w:tcW w:w="1800" w:type="dxa"/>
            <w:tcBorders>
              <w:top w:val="nil"/>
              <w:left w:val="nil"/>
              <w:bottom w:val="nil"/>
              <w:right w:val="nil"/>
            </w:tcBorders>
            <w:noWrap w:val="0"/>
            <w:tcMar>
              <w:top w:w="-1" w:type="dxa"/>
              <w:left w:w="-1" w:type="dxa"/>
              <w:bottom w:w="-1" w:type="dxa"/>
              <w:right w:w="-1" w:type="dxa"/>
            </w:tcMar>
            <w:vAlign w:val="center"/>
          </w:tcPr>
          <w:p w14:paraId="5507F8A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0.039</w:t>
            </w:r>
          </w:p>
        </w:tc>
        <w:tc>
          <w:tcPr>
            <w:tcW w:w="1656" w:type="dxa"/>
            <w:tcBorders>
              <w:top w:val="nil"/>
              <w:left w:val="nil"/>
              <w:bottom w:val="nil"/>
              <w:right w:val="nil"/>
            </w:tcBorders>
            <w:noWrap w:val="0"/>
            <w:tcMar>
              <w:top w:w="-1" w:type="dxa"/>
              <w:left w:w="-1" w:type="dxa"/>
              <w:bottom w:w="-1" w:type="dxa"/>
              <w:right w:w="-1" w:type="dxa"/>
            </w:tcMar>
            <w:vAlign w:val="center"/>
          </w:tcPr>
          <w:p w14:paraId="6CA9A04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0.036</w:t>
            </w:r>
          </w:p>
        </w:tc>
      </w:tr>
      <w:tr w14:paraId="5E6EC67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3FF954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First ICI year</w:t>
            </w:r>
          </w:p>
        </w:tc>
        <w:tc>
          <w:tcPr>
            <w:tcW w:w="4752" w:type="dxa"/>
            <w:tcBorders>
              <w:top w:val="nil"/>
              <w:left w:val="nil"/>
              <w:bottom w:val="nil"/>
              <w:right w:val="nil"/>
            </w:tcBorders>
            <w:noWrap w:val="0"/>
            <w:tcMar>
              <w:top w:w="-1" w:type="dxa"/>
              <w:left w:w="-1" w:type="dxa"/>
              <w:bottom w:w="-1" w:type="dxa"/>
              <w:right w:w="-1" w:type="dxa"/>
            </w:tcMar>
            <w:vAlign w:val="center"/>
          </w:tcPr>
          <w:p w14:paraId="1759302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2024</w:t>
            </w:r>
          </w:p>
        </w:tc>
        <w:tc>
          <w:tcPr>
            <w:tcW w:w="1152" w:type="dxa"/>
            <w:tcBorders>
              <w:top w:val="nil"/>
              <w:left w:val="nil"/>
              <w:bottom w:val="nil"/>
              <w:right w:val="nil"/>
            </w:tcBorders>
            <w:noWrap w:val="0"/>
            <w:tcMar>
              <w:top w:w="-1" w:type="dxa"/>
              <w:left w:w="-1" w:type="dxa"/>
              <w:bottom w:w="-1" w:type="dxa"/>
              <w:right w:w="-1" w:type="dxa"/>
            </w:tcMar>
            <w:vAlign w:val="center"/>
          </w:tcPr>
          <w:p w14:paraId="076C52E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0304F93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0.016</w:t>
            </w:r>
          </w:p>
        </w:tc>
        <w:tc>
          <w:tcPr>
            <w:tcW w:w="1800" w:type="dxa"/>
            <w:tcBorders>
              <w:top w:val="nil"/>
              <w:left w:val="nil"/>
              <w:bottom w:val="nil"/>
              <w:right w:val="nil"/>
            </w:tcBorders>
            <w:noWrap w:val="0"/>
            <w:tcMar>
              <w:top w:w="-1" w:type="dxa"/>
              <w:left w:w="-1" w:type="dxa"/>
              <w:bottom w:w="-1" w:type="dxa"/>
              <w:right w:w="-1" w:type="dxa"/>
            </w:tcMar>
            <w:vAlign w:val="center"/>
          </w:tcPr>
          <w:p w14:paraId="23F14A6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0.010</w:t>
            </w:r>
          </w:p>
        </w:tc>
        <w:tc>
          <w:tcPr>
            <w:tcW w:w="1656" w:type="dxa"/>
            <w:tcBorders>
              <w:top w:val="nil"/>
              <w:left w:val="nil"/>
              <w:bottom w:val="nil"/>
              <w:right w:val="nil"/>
            </w:tcBorders>
            <w:noWrap w:val="0"/>
            <w:tcMar>
              <w:top w:w="-1" w:type="dxa"/>
              <w:left w:w="-1" w:type="dxa"/>
              <w:bottom w:w="-1" w:type="dxa"/>
              <w:right w:w="-1" w:type="dxa"/>
            </w:tcMar>
            <w:vAlign w:val="center"/>
          </w:tcPr>
          <w:p w14:paraId="3BF435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0.012</w:t>
            </w:r>
          </w:p>
        </w:tc>
      </w:tr>
      <w:tr w14:paraId="2F8E8DC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4CBF44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Age</w:t>
            </w:r>
          </w:p>
        </w:tc>
        <w:tc>
          <w:tcPr>
            <w:tcW w:w="4752" w:type="dxa"/>
            <w:tcBorders>
              <w:top w:val="nil"/>
              <w:left w:val="nil"/>
              <w:bottom w:val="nil"/>
              <w:right w:val="nil"/>
            </w:tcBorders>
            <w:noWrap w:val="0"/>
            <w:tcMar>
              <w:top w:w="-1" w:type="dxa"/>
              <w:left w:w="-1" w:type="dxa"/>
              <w:bottom w:w="-1" w:type="dxa"/>
              <w:right w:w="-1" w:type="dxa"/>
            </w:tcMar>
            <w:vAlign w:val="center"/>
          </w:tcPr>
          <w:p w14:paraId="1BB3982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Years</w:t>
            </w:r>
          </w:p>
        </w:tc>
        <w:tc>
          <w:tcPr>
            <w:tcW w:w="1152" w:type="dxa"/>
            <w:tcBorders>
              <w:top w:val="nil"/>
              <w:left w:val="nil"/>
              <w:bottom w:val="nil"/>
              <w:right w:val="nil"/>
            </w:tcBorders>
            <w:noWrap w:val="0"/>
            <w:tcMar>
              <w:top w:w="-1" w:type="dxa"/>
              <w:left w:w="-1" w:type="dxa"/>
              <w:bottom w:w="-1" w:type="dxa"/>
              <w:right w:w="-1" w:type="dxa"/>
            </w:tcMar>
            <w:vAlign w:val="center"/>
          </w:tcPr>
          <w:p w14:paraId="773E51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1647A4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0.106</w:t>
            </w:r>
          </w:p>
        </w:tc>
        <w:tc>
          <w:tcPr>
            <w:tcW w:w="1800" w:type="dxa"/>
            <w:tcBorders>
              <w:top w:val="nil"/>
              <w:left w:val="nil"/>
              <w:bottom w:val="nil"/>
              <w:right w:val="nil"/>
            </w:tcBorders>
            <w:noWrap w:val="0"/>
            <w:tcMar>
              <w:top w:w="-1" w:type="dxa"/>
              <w:left w:w="-1" w:type="dxa"/>
              <w:bottom w:w="-1" w:type="dxa"/>
              <w:right w:w="-1" w:type="dxa"/>
            </w:tcMar>
            <w:vAlign w:val="center"/>
          </w:tcPr>
          <w:p w14:paraId="33081E8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0.001</w:t>
            </w:r>
          </w:p>
        </w:tc>
        <w:tc>
          <w:tcPr>
            <w:tcW w:w="1656" w:type="dxa"/>
            <w:tcBorders>
              <w:top w:val="nil"/>
              <w:left w:val="nil"/>
              <w:bottom w:val="nil"/>
              <w:right w:val="nil"/>
            </w:tcBorders>
            <w:noWrap w:val="0"/>
            <w:tcMar>
              <w:top w:w="-1" w:type="dxa"/>
              <w:left w:w="-1" w:type="dxa"/>
              <w:bottom w:w="-1" w:type="dxa"/>
              <w:right w:w="-1" w:type="dxa"/>
            </w:tcMar>
            <w:vAlign w:val="center"/>
          </w:tcPr>
          <w:p w14:paraId="4D4960D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0.011</w:t>
            </w:r>
          </w:p>
        </w:tc>
      </w:tr>
      <w:tr w14:paraId="711196B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4915F39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Sex</w:t>
            </w:r>
          </w:p>
        </w:tc>
        <w:tc>
          <w:tcPr>
            <w:tcW w:w="4752" w:type="dxa"/>
            <w:tcBorders>
              <w:top w:val="nil"/>
              <w:left w:val="nil"/>
              <w:bottom w:val="nil"/>
              <w:right w:val="nil"/>
            </w:tcBorders>
            <w:noWrap w:val="0"/>
            <w:tcMar>
              <w:top w:w="-1" w:type="dxa"/>
              <w:left w:w="-1" w:type="dxa"/>
              <w:bottom w:w="-1" w:type="dxa"/>
              <w:right w:w="-1" w:type="dxa"/>
            </w:tcMar>
            <w:vAlign w:val="center"/>
          </w:tcPr>
          <w:p w14:paraId="6B266C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Female</w:t>
            </w:r>
          </w:p>
        </w:tc>
        <w:tc>
          <w:tcPr>
            <w:tcW w:w="1152" w:type="dxa"/>
            <w:tcBorders>
              <w:top w:val="nil"/>
              <w:left w:val="nil"/>
              <w:bottom w:val="nil"/>
              <w:right w:val="nil"/>
            </w:tcBorders>
            <w:noWrap w:val="0"/>
            <w:tcMar>
              <w:top w:w="-1" w:type="dxa"/>
              <w:left w:w="-1" w:type="dxa"/>
              <w:bottom w:w="-1" w:type="dxa"/>
              <w:right w:w="-1" w:type="dxa"/>
            </w:tcMar>
            <w:vAlign w:val="center"/>
          </w:tcPr>
          <w:p w14:paraId="026ED2A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7B2D6B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0.030</w:t>
            </w:r>
          </w:p>
        </w:tc>
        <w:tc>
          <w:tcPr>
            <w:tcW w:w="1800" w:type="dxa"/>
            <w:tcBorders>
              <w:top w:val="nil"/>
              <w:left w:val="nil"/>
              <w:bottom w:val="nil"/>
              <w:right w:val="nil"/>
            </w:tcBorders>
            <w:noWrap w:val="0"/>
            <w:tcMar>
              <w:top w:w="-1" w:type="dxa"/>
              <w:left w:w="-1" w:type="dxa"/>
              <w:bottom w:w="-1" w:type="dxa"/>
              <w:right w:w="-1" w:type="dxa"/>
            </w:tcMar>
            <w:vAlign w:val="center"/>
          </w:tcPr>
          <w:p w14:paraId="1F8E527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0.020</w:t>
            </w:r>
          </w:p>
        </w:tc>
        <w:tc>
          <w:tcPr>
            <w:tcW w:w="1656" w:type="dxa"/>
            <w:tcBorders>
              <w:top w:val="nil"/>
              <w:left w:val="nil"/>
              <w:bottom w:val="nil"/>
              <w:right w:val="nil"/>
            </w:tcBorders>
            <w:noWrap w:val="0"/>
            <w:tcMar>
              <w:top w:w="-1" w:type="dxa"/>
              <w:left w:w="-1" w:type="dxa"/>
              <w:bottom w:w="-1" w:type="dxa"/>
              <w:right w:w="-1" w:type="dxa"/>
            </w:tcMar>
            <w:vAlign w:val="center"/>
          </w:tcPr>
          <w:p w14:paraId="7037979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0.023</w:t>
            </w:r>
          </w:p>
        </w:tc>
      </w:tr>
      <w:tr w14:paraId="1AC8E29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208E92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BMI</w:t>
            </w:r>
          </w:p>
        </w:tc>
        <w:tc>
          <w:tcPr>
            <w:tcW w:w="4752" w:type="dxa"/>
            <w:tcBorders>
              <w:top w:val="nil"/>
              <w:left w:val="nil"/>
              <w:bottom w:val="nil"/>
              <w:right w:val="nil"/>
            </w:tcBorders>
            <w:noWrap w:val="0"/>
            <w:tcMar>
              <w:top w:w="-1" w:type="dxa"/>
              <w:left w:w="-1" w:type="dxa"/>
              <w:bottom w:w="-1" w:type="dxa"/>
              <w:right w:w="-1" w:type="dxa"/>
            </w:tcMar>
            <w:vAlign w:val="center"/>
          </w:tcPr>
          <w:p w14:paraId="769729B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kg/m2, median imputed</w:t>
            </w:r>
          </w:p>
        </w:tc>
        <w:tc>
          <w:tcPr>
            <w:tcW w:w="1152" w:type="dxa"/>
            <w:tcBorders>
              <w:top w:val="nil"/>
              <w:left w:val="nil"/>
              <w:bottom w:val="nil"/>
              <w:right w:val="nil"/>
            </w:tcBorders>
            <w:noWrap w:val="0"/>
            <w:tcMar>
              <w:top w:w="-1" w:type="dxa"/>
              <w:left w:w="-1" w:type="dxa"/>
              <w:bottom w:w="-1" w:type="dxa"/>
              <w:right w:w="-1" w:type="dxa"/>
            </w:tcMar>
            <w:vAlign w:val="center"/>
          </w:tcPr>
          <w:p w14:paraId="1BF1202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5B3F3BC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0.064</w:t>
            </w:r>
          </w:p>
        </w:tc>
        <w:tc>
          <w:tcPr>
            <w:tcW w:w="1800" w:type="dxa"/>
            <w:tcBorders>
              <w:top w:val="nil"/>
              <w:left w:val="nil"/>
              <w:bottom w:val="nil"/>
              <w:right w:val="nil"/>
            </w:tcBorders>
            <w:noWrap w:val="0"/>
            <w:tcMar>
              <w:top w:w="-1" w:type="dxa"/>
              <w:left w:w="-1" w:type="dxa"/>
              <w:bottom w:w="-1" w:type="dxa"/>
              <w:right w:w="-1" w:type="dxa"/>
            </w:tcMar>
            <w:vAlign w:val="center"/>
          </w:tcPr>
          <w:p w14:paraId="26DEB8E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0.031</w:t>
            </w:r>
          </w:p>
        </w:tc>
        <w:tc>
          <w:tcPr>
            <w:tcW w:w="1656" w:type="dxa"/>
            <w:tcBorders>
              <w:top w:val="nil"/>
              <w:left w:val="nil"/>
              <w:bottom w:val="nil"/>
              <w:right w:val="nil"/>
            </w:tcBorders>
            <w:noWrap w:val="0"/>
            <w:tcMar>
              <w:top w:w="-1" w:type="dxa"/>
              <w:left w:w="-1" w:type="dxa"/>
              <w:bottom w:w="-1" w:type="dxa"/>
              <w:right w:w="-1" w:type="dxa"/>
            </w:tcMar>
            <w:vAlign w:val="center"/>
          </w:tcPr>
          <w:p w14:paraId="4DD19EC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0.030</w:t>
            </w:r>
          </w:p>
        </w:tc>
      </w:tr>
      <w:tr w14:paraId="5708F4D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5EA409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BMI missingness</w:t>
            </w:r>
          </w:p>
        </w:tc>
        <w:tc>
          <w:tcPr>
            <w:tcW w:w="4752" w:type="dxa"/>
            <w:tcBorders>
              <w:top w:val="nil"/>
              <w:left w:val="nil"/>
              <w:bottom w:val="nil"/>
              <w:right w:val="nil"/>
            </w:tcBorders>
            <w:noWrap w:val="0"/>
            <w:tcMar>
              <w:top w:w="-1" w:type="dxa"/>
              <w:left w:w="-1" w:type="dxa"/>
              <w:bottom w:w="-1" w:type="dxa"/>
              <w:right w:w="-1" w:type="dxa"/>
            </w:tcMar>
            <w:vAlign w:val="center"/>
          </w:tcPr>
          <w:p w14:paraId="16A1BA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Missing</w:t>
            </w:r>
          </w:p>
        </w:tc>
        <w:tc>
          <w:tcPr>
            <w:tcW w:w="1152" w:type="dxa"/>
            <w:tcBorders>
              <w:top w:val="nil"/>
              <w:left w:val="nil"/>
              <w:bottom w:val="nil"/>
              <w:right w:val="nil"/>
            </w:tcBorders>
            <w:noWrap w:val="0"/>
            <w:tcMar>
              <w:top w:w="-1" w:type="dxa"/>
              <w:left w:w="-1" w:type="dxa"/>
              <w:bottom w:w="-1" w:type="dxa"/>
              <w:right w:w="-1" w:type="dxa"/>
            </w:tcMar>
            <w:vAlign w:val="center"/>
          </w:tcPr>
          <w:p w14:paraId="5DD502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656" w:type="dxa"/>
            <w:tcBorders>
              <w:top w:val="nil"/>
              <w:left w:val="nil"/>
              <w:bottom w:val="nil"/>
              <w:right w:val="nil"/>
            </w:tcBorders>
            <w:noWrap w:val="0"/>
            <w:tcMar>
              <w:top w:w="-1" w:type="dxa"/>
              <w:left w:w="-1" w:type="dxa"/>
              <w:bottom w:w="-1" w:type="dxa"/>
              <w:right w:w="-1" w:type="dxa"/>
            </w:tcMar>
            <w:vAlign w:val="center"/>
          </w:tcPr>
          <w:p w14:paraId="1F00F64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0.171</w:t>
            </w:r>
          </w:p>
        </w:tc>
        <w:tc>
          <w:tcPr>
            <w:tcW w:w="1800" w:type="dxa"/>
            <w:tcBorders>
              <w:top w:val="nil"/>
              <w:left w:val="nil"/>
              <w:bottom w:val="nil"/>
              <w:right w:val="nil"/>
            </w:tcBorders>
            <w:noWrap w:val="0"/>
            <w:tcMar>
              <w:top w:w="-1" w:type="dxa"/>
              <w:left w:w="-1" w:type="dxa"/>
              <w:bottom w:w="-1" w:type="dxa"/>
              <w:right w:w="-1" w:type="dxa"/>
            </w:tcMar>
            <w:vAlign w:val="center"/>
          </w:tcPr>
          <w:p w14:paraId="569A254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0.171</w:t>
            </w:r>
          </w:p>
        </w:tc>
        <w:tc>
          <w:tcPr>
            <w:tcW w:w="1656" w:type="dxa"/>
            <w:tcBorders>
              <w:top w:val="nil"/>
              <w:left w:val="nil"/>
              <w:bottom w:val="nil"/>
              <w:right w:val="nil"/>
            </w:tcBorders>
            <w:noWrap w:val="0"/>
            <w:tcMar>
              <w:top w:w="-1" w:type="dxa"/>
              <w:left w:w="-1" w:type="dxa"/>
              <w:bottom w:w="-1" w:type="dxa"/>
              <w:right w:w="-1" w:type="dxa"/>
            </w:tcMar>
            <w:vAlign w:val="center"/>
          </w:tcPr>
          <w:p w14:paraId="14FABE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0.171</w:t>
            </w:r>
          </w:p>
        </w:tc>
      </w:tr>
      <w:tr w14:paraId="0232A7F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73718EF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Tumour group</w:t>
            </w:r>
          </w:p>
        </w:tc>
        <w:tc>
          <w:tcPr>
            <w:tcW w:w="4752" w:type="dxa"/>
            <w:tcBorders>
              <w:top w:val="nil"/>
              <w:left w:val="nil"/>
              <w:bottom w:val="nil"/>
              <w:right w:val="nil"/>
            </w:tcBorders>
            <w:noWrap w:val="0"/>
            <w:tcMar>
              <w:top w:w="-1" w:type="dxa"/>
              <w:left w:w="-1" w:type="dxa"/>
              <w:bottom w:w="-1" w:type="dxa"/>
              <w:right w:w="-1" w:type="dxa"/>
            </w:tcMar>
            <w:vAlign w:val="center"/>
          </w:tcPr>
          <w:p w14:paraId="598940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Lung/thoracic</w:t>
            </w:r>
          </w:p>
        </w:tc>
        <w:tc>
          <w:tcPr>
            <w:tcW w:w="1152" w:type="dxa"/>
            <w:tcBorders>
              <w:top w:val="nil"/>
              <w:left w:val="nil"/>
              <w:bottom w:val="nil"/>
              <w:right w:val="nil"/>
            </w:tcBorders>
            <w:noWrap w:val="0"/>
            <w:tcMar>
              <w:top w:w="-1" w:type="dxa"/>
              <w:left w:w="-1" w:type="dxa"/>
              <w:bottom w:w="-1" w:type="dxa"/>
              <w:right w:w="-1" w:type="dxa"/>
            </w:tcMar>
            <w:vAlign w:val="center"/>
          </w:tcPr>
          <w:p w14:paraId="7CBAB84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18D7B8D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0.130</w:t>
            </w:r>
          </w:p>
        </w:tc>
        <w:tc>
          <w:tcPr>
            <w:tcW w:w="1800" w:type="dxa"/>
            <w:tcBorders>
              <w:top w:val="nil"/>
              <w:left w:val="nil"/>
              <w:bottom w:val="nil"/>
              <w:right w:val="nil"/>
            </w:tcBorders>
            <w:noWrap w:val="0"/>
            <w:tcMar>
              <w:top w:w="-1" w:type="dxa"/>
              <w:left w:w="-1" w:type="dxa"/>
              <w:bottom w:w="-1" w:type="dxa"/>
              <w:right w:w="-1" w:type="dxa"/>
            </w:tcMar>
            <w:vAlign w:val="center"/>
          </w:tcPr>
          <w:p w14:paraId="1710B7A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0.001</w:t>
            </w:r>
          </w:p>
        </w:tc>
        <w:tc>
          <w:tcPr>
            <w:tcW w:w="1656" w:type="dxa"/>
            <w:tcBorders>
              <w:top w:val="nil"/>
              <w:left w:val="nil"/>
              <w:bottom w:val="nil"/>
              <w:right w:val="nil"/>
            </w:tcBorders>
            <w:noWrap w:val="0"/>
            <w:tcMar>
              <w:top w:w="-1" w:type="dxa"/>
              <w:left w:w="-1" w:type="dxa"/>
              <w:bottom w:w="-1" w:type="dxa"/>
              <w:right w:w="-1" w:type="dxa"/>
            </w:tcMar>
            <w:vAlign w:val="center"/>
          </w:tcPr>
          <w:p w14:paraId="0C913B9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0.004</w:t>
            </w:r>
          </w:p>
        </w:tc>
      </w:tr>
      <w:tr w14:paraId="1055CC9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7950EE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Tumour group</w:t>
            </w:r>
          </w:p>
        </w:tc>
        <w:tc>
          <w:tcPr>
            <w:tcW w:w="4752" w:type="dxa"/>
            <w:tcBorders>
              <w:top w:val="nil"/>
              <w:left w:val="nil"/>
              <w:bottom w:val="nil"/>
              <w:right w:val="nil"/>
            </w:tcBorders>
            <w:noWrap w:val="0"/>
            <w:tcMar>
              <w:top w:w="-1" w:type="dxa"/>
              <w:left w:w="-1" w:type="dxa"/>
              <w:bottom w:w="-1" w:type="dxa"/>
              <w:right w:w="-1" w:type="dxa"/>
            </w:tcMar>
            <w:vAlign w:val="center"/>
          </w:tcPr>
          <w:p w14:paraId="0708571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Digestive/HBP</w:t>
            </w:r>
          </w:p>
        </w:tc>
        <w:tc>
          <w:tcPr>
            <w:tcW w:w="1152" w:type="dxa"/>
            <w:tcBorders>
              <w:top w:val="nil"/>
              <w:left w:val="nil"/>
              <w:bottom w:val="nil"/>
              <w:right w:val="nil"/>
            </w:tcBorders>
            <w:noWrap w:val="0"/>
            <w:tcMar>
              <w:top w:w="-1" w:type="dxa"/>
              <w:left w:w="-1" w:type="dxa"/>
              <w:bottom w:w="-1" w:type="dxa"/>
              <w:right w:w="-1" w:type="dxa"/>
            </w:tcMar>
            <w:vAlign w:val="center"/>
          </w:tcPr>
          <w:p w14:paraId="5082C0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5E3FE28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0.095</w:t>
            </w:r>
          </w:p>
        </w:tc>
        <w:tc>
          <w:tcPr>
            <w:tcW w:w="1800" w:type="dxa"/>
            <w:tcBorders>
              <w:top w:val="nil"/>
              <w:left w:val="nil"/>
              <w:bottom w:val="nil"/>
              <w:right w:val="nil"/>
            </w:tcBorders>
            <w:noWrap w:val="0"/>
            <w:tcMar>
              <w:top w:w="-1" w:type="dxa"/>
              <w:left w:w="-1" w:type="dxa"/>
              <w:bottom w:w="-1" w:type="dxa"/>
              <w:right w:w="-1" w:type="dxa"/>
            </w:tcMar>
            <w:vAlign w:val="center"/>
          </w:tcPr>
          <w:p w14:paraId="3BD62C0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0.001</w:t>
            </w:r>
          </w:p>
        </w:tc>
        <w:tc>
          <w:tcPr>
            <w:tcW w:w="1656" w:type="dxa"/>
            <w:tcBorders>
              <w:top w:val="nil"/>
              <w:left w:val="nil"/>
              <w:bottom w:val="nil"/>
              <w:right w:val="nil"/>
            </w:tcBorders>
            <w:noWrap w:val="0"/>
            <w:tcMar>
              <w:top w:w="-1" w:type="dxa"/>
              <w:left w:w="-1" w:type="dxa"/>
              <w:bottom w:w="-1" w:type="dxa"/>
              <w:right w:w="-1" w:type="dxa"/>
            </w:tcMar>
            <w:vAlign w:val="center"/>
          </w:tcPr>
          <w:p w14:paraId="7C26754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0.004</w:t>
            </w:r>
          </w:p>
        </w:tc>
      </w:tr>
      <w:tr w14:paraId="49790E0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29FCC6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Tumour group</w:t>
            </w:r>
          </w:p>
        </w:tc>
        <w:tc>
          <w:tcPr>
            <w:tcW w:w="4752" w:type="dxa"/>
            <w:tcBorders>
              <w:top w:val="nil"/>
              <w:left w:val="nil"/>
              <w:bottom w:val="nil"/>
              <w:right w:val="nil"/>
            </w:tcBorders>
            <w:noWrap w:val="0"/>
            <w:tcMar>
              <w:top w:w="-1" w:type="dxa"/>
              <w:left w:w="-1" w:type="dxa"/>
              <w:bottom w:w="-1" w:type="dxa"/>
              <w:right w:w="-1" w:type="dxa"/>
            </w:tcMar>
            <w:vAlign w:val="center"/>
          </w:tcPr>
          <w:p w14:paraId="4C7A68B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Urologic/gynecologic</w:t>
            </w:r>
          </w:p>
        </w:tc>
        <w:tc>
          <w:tcPr>
            <w:tcW w:w="1152" w:type="dxa"/>
            <w:tcBorders>
              <w:top w:val="nil"/>
              <w:left w:val="nil"/>
              <w:bottom w:val="nil"/>
              <w:right w:val="nil"/>
            </w:tcBorders>
            <w:noWrap w:val="0"/>
            <w:tcMar>
              <w:top w:w="-1" w:type="dxa"/>
              <w:left w:w="-1" w:type="dxa"/>
              <w:bottom w:w="-1" w:type="dxa"/>
              <w:right w:w="-1" w:type="dxa"/>
            </w:tcMar>
            <w:vAlign w:val="center"/>
          </w:tcPr>
          <w:p w14:paraId="4C02C51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08064F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0.037</w:t>
            </w:r>
          </w:p>
        </w:tc>
        <w:tc>
          <w:tcPr>
            <w:tcW w:w="1800" w:type="dxa"/>
            <w:tcBorders>
              <w:top w:val="nil"/>
              <w:left w:val="nil"/>
              <w:bottom w:val="nil"/>
              <w:right w:val="nil"/>
            </w:tcBorders>
            <w:noWrap w:val="0"/>
            <w:tcMar>
              <w:top w:w="-1" w:type="dxa"/>
              <w:left w:w="-1" w:type="dxa"/>
              <w:bottom w:w="-1" w:type="dxa"/>
              <w:right w:w="-1" w:type="dxa"/>
            </w:tcMar>
            <w:vAlign w:val="center"/>
          </w:tcPr>
          <w:p w14:paraId="09A5B59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0.017</w:t>
            </w:r>
          </w:p>
        </w:tc>
        <w:tc>
          <w:tcPr>
            <w:tcW w:w="1656" w:type="dxa"/>
            <w:tcBorders>
              <w:top w:val="nil"/>
              <w:left w:val="nil"/>
              <w:bottom w:val="nil"/>
              <w:right w:val="nil"/>
            </w:tcBorders>
            <w:noWrap w:val="0"/>
            <w:tcMar>
              <w:top w:w="-1" w:type="dxa"/>
              <w:left w:w="-1" w:type="dxa"/>
              <w:bottom w:w="-1" w:type="dxa"/>
              <w:right w:w="-1" w:type="dxa"/>
            </w:tcMar>
            <w:vAlign w:val="center"/>
          </w:tcPr>
          <w:p w14:paraId="44061C1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0.008</w:t>
            </w:r>
          </w:p>
        </w:tc>
      </w:tr>
      <w:tr w14:paraId="1DB7AD8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643F9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Tumour group</w:t>
            </w:r>
          </w:p>
        </w:tc>
        <w:tc>
          <w:tcPr>
            <w:tcW w:w="4752" w:type="dxa"/>
            <w:tcBorders>
              <w:top w:val="nil"/>
              <w:left w:val="nil"/>
              <w:bottom w:val="nil"/>
              <w:right w:val="nil"/>
            </w:tcBorders>
            <w:noWrap w:val="0"/>
            <w:tcMar>
              <w:top w:w="-1" w:type="dxa"/>
              <w:left w:w="-1" w:type="dxa"/>
              <w:bottom w:w="-1" w:type="dxa"/>
              <w:right w:w="-1" w:type="dxa"/>
            </w:tcMar>
            <w:vAlign w:val="center"/>
          </w:tcPr>
          <w:p w14:paraId="3888552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HN/skin/other rare</w:t>
            </w:r>
          </w:p>
        </w:tc>
        <w:tc>
          <w:tcPr>
            <w:tcW w:w="1152" w:type="dxa"/>
            <w:tcBorders>
              <w:top w:val="nil"/>
              <w:left w:val="nil"/>
              <w:bottom w:val="nil"/>
              <w:right w:val="nil"/>
            </w:tcBorders>
            <w:noWrap w:val="0"/>
            <w:tcMar>
              <w:top w:w="-1" w:type="dxa"/>
              <w:left w:w="-1" w:type="dxa"/>
              <w:bottom w:w="-1" w:type="dxa"/>
              <w:right w:w="-1" w:type="dxa"/>
            </w:tcMar>
            <w:vAlign w:val="center"/>
          </w:tcPr>
          <w:p w14:paraId="0A8908D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0BE76EF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0.015</w:t>
            </w:r>
          </w:p>
        </w:tc>
        <w:tc>
          <w:tcPr>
            <w:tcW w:w="1800" w:type="dxa"/>
            <w:tcBorders>
              <w:top w:val="nil"/>
              <w:left w:val="nil"/>
              <w:bottom w:val="nil"/>
              <w:right w:val="nil"/>
            </w:tcBorders>
            <w:noWrap w:val="0"/>
            <w:tcMar>
              <w:top w:w="-1" w:type="dxa"/>
              <w:left w:w="-1" w:type="dxa"/>
              <w:bottom w:w="-1" w:type="dxa"/>
              <w:right w:w="-1" w:type="dxa"/>
            </w:tcMar>
            <w:vAlign w:val="center"/>
          </w:tcPr>
          <w:p w14:paraId="5DBDFAB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0.029</w:t>
            </w:r>
          </w:p>
        </w:tc>
        <w:tc>
          <w:tcPr>
            <w:tcW w:w="1656" w:type="dxa"/>
            <w:tcBorders>
              <w:top w:val="nil"/>
              <w:left w:val="nil"/>
              <w:bottom w:val="nil"/>
              <w:right w:val="nil"/>
            </w:tcBorders>
            <w:noWrap w:val="0"/>
            <w:tcMar>
              <w:top w:w="-1" w:type="dxa"/>
              <w:left w:w="-1" w:type="dxa"/>
              <w:bottom w:w="-1" w:type="dxa"/>
              <w:right w:w="-1" w:type="dxa"/>
            </w:tcMar>
            <w:vAlign w:val="center"/>
          </w:tcPr>
          <w:p w14:paraId="02FD915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0.028</w:t>
            </w:r>
          </w:p>
        </w:tc>
      </w:tr>
      <w:tr w14:paraId="0B15DAF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14A5F1D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antibody</w:t>
            </w:r>
          </w:p>
        </w:tc>
        <w:tc>
          <w:tcPr>
            <w:tcW w:w="4752" w:type="dxa"/>
            <w:tcBorders>
              <w:top w:val="nil"/>
              <w:left w:val="nil"/>
              <w:bottom w:val="nil"/>
              <w:right w:val="nil"/>
            </w:tcBorders>
            <w:noWrap w:val="0"/>
            <w:tcMar>
              <w:top w:w="-1" w:type="dxa"/>
              <w:left w:w="-1" w:type="dxa"/>
              <w:bottom w:w="-1" w:type="dxa"/>
              <w:right w:w="-1" w:type="dxa"/>
            </w:tcMar>
            <w:vAlign w:val="center"/>
          </w:tcPr>
          <w:p w14:paraId="2D96551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negative</w:t>
            </w:r>
          </w:p>
        </w:tc>
        <w:tc>
          <w:tcPr>
            <w:tcW w:w="1152" w:type="dxa"/>
            <w:tcBorders>
              <w:top w:val="nil"/>
              <w:left w:val="nil"/>
              <w:bottom w:val="nil"/>
              <w:right w:val="nil"/>
            </w:tcBorders>
            <w:noWrap w:val="0"/>
            <w:tcMar>
              <w:top w:w="-1" w:type="dxa"/>
              <w:left w:w="-1" w:type="dxa"/>
              <w:bottom w:w="-1" w:type="dxa"/>
              <w:right w:w="-1" w:type="dxa"/>
            </w:tcMar>
            <w:vAlign w:val="center"/>
          </w:tcPr>
          <w:p w14:paraId="562363B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45DFE5C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0.045</w:t>
            </w:r>
          </w:p>
        </w:tc>
        <w:tc>
          <w:tcPr>
            <w:tcW w:w="1800" w:type="dxa"/>
            <w:tcBorders>
              <w:top w:val="nil"/>
              <w:left w:val="nil"/>
              <w:bottom w:val="nil"/>
              <w:right w:val="nil"/>
            </w:tcBorders>
            <w:noWrap w:val="0"/>
            <w:tcMar>
              <w:top w:w="-1" w:type="dxa"/>
              <w:left w:w="-1" w:type="dxa"/>
              <w:bottom w:w="-1" w:type="dxa"/>
              <w:right w:w="-1" w:type="dxa"/>
            </w:tcMar>
            <w:vAlign w:val="center"/>
          </w:tcPr>
          <w:p w14:paraId="202CD43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0.014</w:t>
            </w:r>
          </w:p>
        </w:tc>
        <w:tc>
          <w:tcPr>
            <w:tcW w:w="1656" w:type="dxa"/>
            <w:tcBorders>
              <w:top w:val="nil"/>
              <w:left w:val="nil"/>
              <w:bottom w:val="nil"/>
              <w:right w:val="nil"/>
            </w:tcBorders>
            <w:noWrap w:val="0"/>
            <w:tcMar>
              <w:top w:w="-1" w:type="dxa"/>
              <w:left w:w="-1" w:type="dxa"/>
              <w:bottom w:w="-1" w:type="dxa"/>
              <w:right w:w="-1" w:type="dxa"/>
            </w:tcMar>
            <w:vAlign w:val="center"/>
          </w:tcPr>
          <w:p w14:paraId="5DE3A01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0.012</w:t>
            </w:r>
          </w:p>
        </w:tc>
      </w:tr>
      <w:tr w14:paraId="048C24A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206E6D9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antibody</w:t>
            </w:r>
          </w:p>
        </w:tc>
        <w:tc>
          <w:tcPr>
            <w:tcW w:w="4752" w:type="dxa"/>
            <w:tcBorders>
              <w:top w:val="nil"/>
              <w:left w:val="nil"/>
              <w:bottom w:val="nil"/>
              <w:right w:val="nil"/>
            </w:tcBorders>
            <w:noWrap w:val="0"/>
            <w:tcMar>
              <w:top w:w="-1" w:type="dxa"/>
              <w:left w:w="-1" w:type="dxa"/>
              <w:bottom w:w="-1" w:type="dxa"/>
              <w:right w:w="-1" w:type="dxa"/>
            </w:tcMar>
            <w:vAlign w:val="center"/>
          </w:tcPr>
          <w:p w14:paraId="0BE18DA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positive</w:t>
            </w:r>
          </w:p>
        </w:tc>
        <w:tc>
          <w:tcPr>
            <w:tcW w:w="1152" w:type="dxa"/>
            <w:tcBorders>
              <w:top w:val="nil"/>
              <w:left w:val="nil"/>
              <w:bottom w:val="nil"/>
              <w:right w:val="nil"/>
            </w:tcBorders>
            <w:noWrap w:val="0"/>
            <w:tcMar>
              <w:top w:w="-1" w:type="dxa"/>
              <w:left w:w="-1" w:type="dxa"/>
              <w:bottom w:w="-1" w:type="dxa"/>
              <w:right w:w="-1" w:type="dxa"/>
            </w:tcMar>
            <w:vAlign w:val="center"/>
          </w:tcPr>
          <w:p w14:paraId="14C98D0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42D396A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0.083</w:t>
            </w:r>
          </w:p>
        </w:tc>
        <w:tc>
          <w:tcPr>
            <w:tcW w:w="1800" w:type="dxa"/>
            <w:tcBorders>
              <w:top w:val="nil"/>
              <w:left w:val="nil"/>
              <w:bottom w:val="nil"/>
              <w:right w:val="nil"/>
            </w:tcBorders>
            <w:noWrap w:val="0"/>
            <w:tcMar>
              <w:top w:w="-1" w:type="dxa"/>
              <w:left w:w="-1" w:type="dxa"/>
              <w:bottom w:w="-1" w:type="dxa"/>
              <w:right w:w="-1" w:type="dxa"/>
            </w:tcMar>
            <w:vAlign w:val="center"/>
          </w:tcPr>
          <w:p w14:paraId="7D82A24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0.009</w:t>
            </w:r>
          </w:p>
        </w:tc>
        <w:tc>
          <w:tcPr>
            <w:tcW w:w="1656" w:type="dxa"/>
            <w:tcBorders>
              <w:top w:val="nil"/>
              <w:left w:val="nil"/>
              <w:bottom w:val="nil"/>
              <w:right w:val="nil"/>
            </w:tcBorders>
            <w:noWrap w:val="0"/>
            <w:tcMar>
              <w:top w:w="-1" w:type="dxa"/>
              <w:left w:w="-1" w:type="dxa"/>
              <w:bottom w:w="-1" w:type="dxa"/>
              <w:right w:w="-1" w:type="dxa"/>
            </w:tcMar>
            <w:vAlign w:val="center"/>
          </w:tcPr>
          <w:p w14:paraId="160FE24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0.011</w:t>
            </w:r>
          </w:p>
        </w:tc>
      </w:tr>
      <w:tr w14:paraId="4665C5E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0751CC6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antibody</w:t>
            </w:r>
          </w:p>
        </w:tc>
        <w:tc>
          <w:tcPr>
            <w:tcW w:w="4752" w:type="dxa"/>
            <w:tcBorders>
              <w:top w:val="nil"/>
              <w:left w:val="nil"/>
              <w:bottom w:val="nil"/>
              <w:right w:val="nil"/>
            </w:tcBorders>
            <w:noWrap w:val="0"/>
            <w:tcMar>
              <w:top w:w="-1" w:type="dxa"/>
              <w:left w:w="-1" w:type="dxa"/>
              <w:bottom w:w="-1" w:type="dxa"/>
              <w:right w:w="-1" w:type="dxa"/>
            </w:tcMar>
            <w:vAlign w:val="center"/>
          </w:tcPr>
          <w:p w14:paraId="423A32E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not_tested</w:t>
            </w:r>
          </w:p>
        </w:tc>
        <w:tc>
          <w:tcPr>
            <w:tcW w:w="1152" w:type="dxa"/>
            <w:tcBorders>
              <w:top w:val="nil"/>
              <w:left w:val="nil"/>
              <w:bottom w:val="nil"/>
              <w:right w:val="nil"/>
            </w:tcBorders>
            <w:noWrap w:val="0"/>
            <w:tcMar>
              <w:top w:w="-1" w:type="dxa"/>
              <w:left w:w="-1" w:type="dxa"/>
              <w:bottom w:w="-1" w:type="dxa"/>
              <w:right w:w="-1" w:type="dxa"/>
            </w:tcMar>
            <w:vAlign w:val="center"/>
          </w:tcPr>
          <w:p w14:paraId="582F1DD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3802FC3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0.107</w:t>
            </w:r>
          </w:p>
        </w:tc>
        <w:tc>
          <w:tcPr>
            <w:tcW w:w="1800" w:type="dxa"/>
            <w:tcBorders>
              <w:top w:val="nil"/>
              <w:left w:val="nil"/>
              <w:bottom w:val="nil"/>
              <w:right w:val="nil"/>
            </w:tcBorders>
            <w:noWrap w:val="0"/>
            <w:tcMar>
              <w:top w:w="-1" w:type="dxa"/>
              <w:left w:w="-1" w:type="dxa"/>
              <w:bottom w:w="-1" w:type="dxa"/>
              <w:right w:w="-1" w:type="dxa"/>
            </w:tcMar>
            <w:vAlign w:val="center"/>
          </w:tcPr>
          <w:p w14:paraId="3422F11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0.060</w:t>
            </w:r>
          </w:p>
        </w:tc>
        <w:tc>
          <w:tcPr>
            <w:tcW w:w="1656" w:type="dxa"/>
            <w:tcBorders>
              <w:top w:val="nil"/>
              <w:left w:val="nil"/>
              <w:bottom w:val="nil"/>
              <w:right w:val="nil"/>
            </w:tcBorders>
            <w:noWrap w:val="0"/>
            <w:tcMar>
              <w:top w:w="-1" w:type="dxa"/>
              <w:left w:w="-1" w:type="dxa"/>
              <w:bottom w:w="-1" w:type="dxa"/>
              <w:right w:w="-1" w:type="dxa"/>
            </w:tcMar>
            <w:vAlign w:val="center"/>
          </w:tcPr>
          <w:p w14:paraId="3EF6D0F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0.060</w:t>
            </w:r>
          </w:p>
        </w:tc>
      </w:tr>
      <w:tr w14:paraId="1BD4C0D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nil"/>
              <w:right w:val="nil"/>
            </w:tcBorders>
            <w:noWrap w:val="0"/>
            <w:tcMar>
              <w:top w:w="-1" w:type="dxa"/>
              <w:left w:w="-1" w:type="dxa"/>
              <w:bottom w:w="-1" w:type="dxa"/>
              <w:right w:w="-1" w:type="dxa"/>
            </w:tcMar>
            <w:vAlign w:val="center"/>
          </w:tcPr>
          <w:p w14:paraId="401A4AD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TSH</w:t>
            </w:r>
          </w:p>
        </w:tc>
        <w:tc>
          <w:tcPr>
            <w:tcW w:w="4752" w:type="dxa"/>
            <w:tcBorders>
              <w:top w:val="nil"/>
              <w:left w:val="nil"/>
              <w:bottom w:val="nil"/>
              <w:right w:val="nil"/>
            </w:tcBorders>
            <w:noWrap w:val="0"/>
            <w:tcMar>
              <w:top w:w="-1" w:type="dxa"/>
              <w:left w:w="-1" w:type="dxa"/>
              <w:bottom w:w="-1" w:type="dxa"/>
              <w:right w:w="-1" w:type="dxa"/>
            </w:tcMar>
            <w:vAlign w:val="center"/>
          </w:tcPr>
          <w:p w14:paraId="20C953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mIU/L</w:t>
            </w:r>
          </w:p>
        </w:tc>
        <w:tc>
          <w:tcPr>
            <w:tcW w:w="1152" w:type="dxa"/>
            <w:tcBorders>
              <w:top w:val="nil"/>
              <w:left w:val="nil"/>
              <w:bottom w:val="nil"/>
              <w:right w:val="nil"/>
            </w:tcBorders>
            <w:noWrap w:val="0"/>
            <w:tcMar>
              <w:top w:w="-1" w:type="dxa"/>
              <w:left w:w="-1" w:type="dxa"/>
              <w:bottom w:w="-1" w:type="dxa"/>
              <w:right w:w="-1" w:type="dxa"/>
            </w:tcMar>
            <w:vAlign w:val="center"/>
          </w:tcPr>
          <w:p w14:paraId="73AECF3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nil"/>
              <w:right w:val="nil"/>
            </w:tcBorders>
            <w:noWrap w:val="0"/>
            <w:tcMar>
              <w:top w:w="-1" w:type="dxa"/>
              <w:left w:w="-1" w:type="dxa"/>
              <w:bottom w:w="-1" w:type="dxa"/>
              <w:right w:w="-1" w:type="dxa"/>
            </w:tcMar>
            <w:vAlign w:val="center"/>
          </w:tcPr>
          <w:p w14:paraId="0955FA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0.070</w:t>
            </w:r>
          </w:p>
        </w:tc>
        <w:tc>
          <w:tcPr>
            <w:tcW w:w="1800" w:type="dxa"/>
            <w:tcBorders>
              <w:top w:val="nil"/>
              <w:left w:val="nil"/>
              <w:bottom w:val="nil"/>
              <w:right w:val="nil"/>
            </w:tcBorders>
            <w:noWrap w:val="0"/>
            <w:tcMar>
              <w:top w:w="-1" w:type="dxa"/>
              <w:left w:w="-1" w:type="dxa"/>
              <w:bottom w:w="-1" w:type="dxa"/>
              <w:right w:w="-1" w:type="dxa"/>
            </w:tcMar>
            <w:vAlign w:val="center"/>
          </w:tcPr>
          <w:p w14:paraId="33D0DD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0.020</w:t>
            </w:r>
          </w:p>
        </w:tc>
        <w:tc>
          <w:tcPr>
            <w:tcW w:w="1656" w:type="dxa"/>
            <w:tcBorders>
              <w:top w:val="nil"/>
              <w:left w:val="nil"/>
              <w:bottom w:val="nil"/>
              <w:right w:val="nil"/>
            </w:tcBorders>
            <w:noWrap w:val="0"/>
            <w:tcMar>
              <w:top w:w="-1" w:type="dxa"/>
              <w:left w:w="-1" w:type="dxa"/>
              <w:bottom w:w="-1" w:type="dxa"/>
              <w:right w:w="-1" w:type="dxa"/>
            </w:tcMar>
            <w:vAlign w:val="center"/>
          </w:tcPr>
          <w:p w14:paraId="2C300F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0.017</w:t>
            </w:r>
          </w:p>
        </w:tc>
      </w:tr>
      <w:tr w14:paraId="7C4FDB6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744" w:type="dxa"/>
            <w:tcBorders>
              <w:top w:val="nil"/>
              <w:left w:val="nil"/>
              <w:bottom w:val="single" w:color="auto" w:sz="12" w:space="0"/>
              <w:right w:val="nil"/>
            </w:tcBorders>
            <w:noWrap w:val="0"/>
            <w:tcMar>
              <w:top w:w="-1" w:type="dxa"/>
              <w:left w:w="-1" w:type="dxa"/>
              <w:bottom w:w="-1" w:type="dxa"/>
              <w:right w:w="-1" w:type="dxa"/>
            </w:tcMar>
            <w:vAlign w:val="center"/>
          </w:tcPr>
          <w:p w14:paraId="5B0C68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FT4</w:t>
            </w:r>
          </w:p>
        </w:tc>
        <w:tc>
          <w:tcPr>
            <w:tcW w:w="4752" w:type="dxa"/>
            <w:tcBorders>
              <w:top w:val="nil"/>
              <w:left w:val="nil"/>
              <w:bottom w:val="single" w:color="auto" w:sz="12" w:space="0"/>
              <w:right w:val="nil"/>
            </w:tcBorders>
            <w:noWrap w:val="0"/>
            <w:tcMar>
              <w:top w:w="-1" w:type="dxa"/>
              <w:left w:w="-1" w:type="dxa"/>
              <w:bottom w:w="-1" w:type="dxa"/>
              <w:right w:w="-1" w:type="dxa"/>
            </w:tcMar>
            <w:vAlign w:val="center"/>
          </w:tcPr>
          <w:p w14:paraId="676379C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pmol/L</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60A7C0E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656" w:type="dxa"/>
            <w:tcBorders>
              <w:top w:val="nil"/>
              <w:left w:val="nil"/>
              <w:bottom w:val="single" w:color="auto" w:sz="12" w:space="0"/>
              <w:right w:val="nil"/>
            </w:tcBorders>
            <w:noWrap w:val="0"/>
            <w:tcMar>
              <w:top w:w="-1" w:type="dxa"/>
              <w:left w:w="-1" w:type="dxa"/>
              <w:bottom w:w="-1" w:type="dxa"/>
              <w:right w:w="-1" w:type="dxa"/>
            </w:tcMar>
            <w:vAlign w:val="center"/>
          </w:tcPr>
          <w:p w14:paraId="76B293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0.037</w:t>
            </w:r>
          </w:p>
        </w:tc>
        <w:tc>
          <w:tcPr>
            <w:tcW w:w="1800" w:type="dxa"/>
            <w:tcBorders>
              <w:top w:val="nil"/>
              <w:left w:val="nil"/>
              <w:bottom w:val="single" w:color="auto" w:sz="12" w:space="0"/>
              <w:right w:val="nil"/>
            </w:tcBorders>
            <w:noWrap w:val="0"/>
            <w:tcMar>
              <w:top w:w="-1" w:type="dxa"/>
              <w:left w:w="-1" w:type="dxa"/>
              <w:bottom w:w="-1" w:type="dxa"/>
              <w:right w:w="-1" w:type="dxa"/>
            </w:tcMar>
            <w:vAlign w:val="center"/>
          </w:tcPr>
          <w:p w14:paraId="4195A4A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0.007</w:t>
            </w:r>
          </w:p>
        </w:tc>
        <w:tc>
          <w:tcPr>
            <w:tcW w:w="1656" w:type="dxa"/>
            <w:tcBorders>
              <w:top w:val="nil"/>
              <w:left w:val="nil"/>
              <w:bottom w:val="single" w:color="auto" w:sz="12" w:space="0"/>
              <w:right w:val="nil"/>
            </w:tcBorders>
            <w:noWrap w:val="0"/>
            <w:tcMar>
              <w:top w:w="-1" w:type="dxa"/>
              <w:left w:w="-1" w:type="dxa"/>
              <w:bottom w:w="-1" w:type="dxa"/>
              <w:right w:w="-1" w:type="dxa"/>
            </w:tcMar>
            <w:vAlign w:val="center"/>
          </w:tcPr>
          <w:p w14:paraId="42DD22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0.010</w:t>
            </w:r>
          </w:p>
        </w:tc>
      </w:tr>
    </w:tbl>
    <w:p w14:paraId="13913F13">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Maximum capped SMD among fitted covariates is 0.060. BMI missingness is excluded from that maximum and remains 0.171. BMI was missing in nine target patients and zero monitored patients; weighting provides no directly observed outcomes for this subgroup. All patients initiated PD-1 inhibitors; ICI class was not modelled. Capping changes weights, not inclusion.</w:t>
      </w:r>
    </w:p>
    <w:p w14:paraId="174D7675">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S9. Scenario-based sensitivity analysis for unmonitored patients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3888"/>
        <w:gridCol w:w="3600"/>
        <w:gridCol w:w="2376"/>
        <w:gridCol w:w="5040"/>
      </w:tblGrid>
      <w:tr w14:paraId="18634AF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3888" w:type="dxa"/>
            <w:tcBorders>
              <w:top w:val="single" w:color="auto" w:sz="12" w:space="0"/>
              <w:left w:val="nil"/>
              <w:bottom w:val="nil"/>
              <w:right w:val="nil"/>
            </w:tcBorders>
            <w:noWrap w:val="0"/>
            <w:tcMar>
              <w:top w:w="-1" w:type="dxa"/>
              <w:left w:w="-1" w:type="dxa"/>
              <w:bottom w:w="-1" w:type="dxa"/>
              <w:right w:w="-1" w:type="dxa"/>
            </w:tcMar>
            <w:vAlign w:val="center"/>
          </w:tcPr>
          <w:p w14:paraId="60672C8E">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Assumed unmonitored/monitored multiplier</w:t>
            </w:r>
          </w:p>
        </w:tc>
        <w:tc>
          <w:tcPr>
            <w:tcW w:w="3600" w:type="dxa"/>
            <w:tcBorders>
              <w:top w:val="single" w:color="auto" w:sz="12" w:space="0"/>
              <w:left w:val="nil"/>
              <w:bottom w:val="nil"/>
              <w:right w:val="nil"/>
            </w:tcBorders>
            <w:noWrap w:val="0"/>
            <w:tcMar>
              <w:top w:w="-1" w:type="dxa"/>
              <w:left w:w="-1" w:type="dxa"/>
              <w:bottom w:w="-1" w:type="dxa"/>
              <w:right w:w="-1" w:type="dxa"/>
            </w:tcMar>
            <w:vAlign w:val="center"/>
          </w:tcPr>
          <w:p w14:paraId="05453987">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Assumed unmonitored proportion</w:t>
            </w:r>
          </w:p>
        </w:tc>
        <w:tc>
          <w:tcPr>
            <w:tcW w:w="2376" w:type="dxa"/>
            <w:tcBorders>
              <w:top w:val="single" w:color="auto" w:sz="12" w:space="0"/>
              <w:left w:val="nil"/>
              <w:bottom w:val="nil"/>
              <w:right w:val="nil"/>
            </w:tcBorders>
            <w:noWrap w:val="0"/>
            <w:tcMar>
              <w:top w:w="-1" w:type="dxa"/>
              <w:left w:w="-1" w:type="dxa"/>
              <w:bottom w:w="-1" w:type="dxa"/>
              <w:right w:w="-1" w:type="dxa"/>
            </w:tcMar>
            <w:vAlign w:val="center"/>
          </w:tcPr>
          <w:p w14:paraId="103DA04A">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Expected total events</w:t>
            </w:r>
          </w:p>
        </w:tc>
        <w:tc>
          <w:tcPr>
            <w:tcW w:w="5040" w:type="dxa"/>
            <w:tcBorders>
              <w:top w:val="single" w:color="auto" w:sz="12" w:space="0"/>
              <w:left w:val="nil"/>
              <w:bottom w:val="nil"/>
              <w:right w:val="nil"/>
            </w:tcBorders>
            <w:noWrap w:val="0"/>
            <w:tcMar>
              <w:top w:w="-1" w:type="dxa"/>
              <w:left w:w="-1" w:type="dxa"/>
              <w:bottom w:w="-1" w:type="dxa"/>
              <w:right w:w="-1" w:type="dxa"/>
            </w:tcMar>
            <w:vAlign w:val="center"/>
          </w:tcPr>
          <w:p w14:paraId="76753926">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Target scenario proportion (transformed 95% CI)</w:t>
            </w:r>
          </w:p>
        </w:tc>
      </w:tr>
      <w:tr w14:paraId="2D9066D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888" w:type="dxa"/>
            <w:tcBorders>
              <w:top w:val="single" w:color="auto" w:sz="4" w:space="0"/>
              <w:left w:val="nil"/>
              <w:bottom w:val="nil"/>
              <w:right w:val="nil"/>
            </w:tcBorders>
            <w:noWrap w:val="0"/>
            <w:tcMar>
              <w:top w:w="-1" w:type="dxa"/>
              <w:left w:w="-1" w:type="dxa"/>
              <w:bottom w:w="-1" w:type="dxa"/>
              <w:right w:w="-1" w:type="dxa"/>
            </w:tcMar>
            <w:vAlign w:val="center"/>
          </w:tcPr>
          <w:p w14:paraId="5DFA723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0.0</w:t>
            </w:r>
          </w:p>
        </w:tc>
        <w:tc>
          <w:tcPr>
            <w:tcW w:w="3600" w:type="dxa"/>
            <w:tcBorders>
              <w:top w:val="single" w:color="auto" w:sz="4" w:space="0"/>
              <w:left w:val="nil"/>
              <w:bottom w:val="nil"/>
              <w:right w:val="nil"/>
            </w:tcBorders>
            <w:noWrap w:val="0"/>
            <w:tcMar>
              <w:top w:w="-1" w:type="dxa"/>
              <w:left w:w="-1" w:type="dxa"/>
              <w:bottom w:w="-1" w:type="dxa"/>
              <w:right w:w="-1" w:type="dxa"/>
            </w:tcMar>
            <w:vAlign w:val="center"/>
          </w:tcPr>
          <w:p w14:paraId="0909C6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0.0%</w:t>
            </w:r>
          </w:p>
        </w:tc>
        <w:tc>
          <w:tcPr>
            <w:tcW w:w="2376" w:type="dxa"/>
            <w:tcBorders>
              <w:top w:val="single" w:color="auto" w:sz="4" w:space="0"/>
              <w:left w:val="nil"/>
              <w:bottom w:val="nil"/>
              <w:right w:val="nil"/>
            </w:tcBorders>
            <w:noWrap w:val="0"/>
            <w:tcMar>
              <w:top w:w="-1" w:type="dxa"/>
              <w:left w:w="-1" w:type="dxa"/>
              <w:bottom w:w="-1" w:type="dxa"/>
              <w:right w:w="-1" w:type="dxa"/>
            </w:tcMar>
            <w:vAlign w:val="center"/>
          </w:tcPr>
          <w:p w14:paraId="6004F0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30.0</w:t>
            </w:r>
          </w:p>
        </w:tc>
        <w:tc>
          <w:tcPr>
            <w:tcW w:w="5040" w:type="dxa"/>
            <w:tcBorders>
              <w:top w:val="single" w:color="auto" w:sz="4" w:space="0"/>
              <w:left w:val="nil"/>
              <w:bottom w:val="nil"/>
              <w:right w:val="nil"/>
            </w:tcBorders>
            <w:noWrap w:val="0"/>
            <w:tcMar>
              <w:top w:w="-1" w:type="dxa"/>
              <w:left w:w="-1" w:type="dxa"/>
              <w:bottom w:w="-1" w:type="dxa"/>
              <w:right w:w="-1" w:type="dxa"/>
            </w:tcMar>
            <w:vAlign w:val="center"/>
          </w:tcPr>
          <w:p w14:paraId="3C8EE6A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4.8% (3.4–6.6%)</w:t>
            </w:r>
          </w:p>
        </w:tc>
      </w:tr>
      <w:tr w14:paraId="43138D1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888" w:type="dxa"/>
            <w:tcBorders>
              <w:top w:val="nil"/>
              <w:left w:val="nil"/>
              <w:bottom w:val="nil"/>
              <w:right w:val="nil"/>
            </w:tcBorders>
            <w:noWrap w:val="0"/>
            <w:tcMar>
              <w:top w:w="-1" w:type="dxa"/>
              <w:left w:w="-1" w:type="dxa"/>
              <w:bottom w:w="-1" w:type="dxa"/>
              <w:right w:w="-1" w:type="dxa"/>
            </w:tcMar>
            <w:vAlign w:val="center"/>
          </w:tcPr>
          <w:p w14:paraId="5FA118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0.5</w:t>
            </w:r>
          </w:p>
        </w:tc>
        <w:tc>
          <w:tcPr>
            <w:tcW w:w="3600" w:type="dxa"/>
            <w:tcBorders>
              <w:top w:val="nil"/>
              <w:left w:val="nil"/>
              <w:bottom w:val="nil"/>
              <w:right w:val="nil"/>
            </w:tcBorders>
            <w:noWrap w:val="0"/>
            <w:tcMar>
              <w:top w:w="-1" w:type="dxa"/>
              <w:left w:w="-1" w:type="dxa"/>
              <w:bottom w:w="-1" w:type="dxa"/>
              <w:right w:w="-1" w:type="dxa"/>
            </w:tcMar>
            <w:vAlign w:val="center"/>
          </w:tcPr>
          <w:p w14:paraId="3D66B2E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6.2%</w:t>
            </w:r>
          </w:p>
        </w:tc>
        <w:tc>
          <w:tcPr>
            <w:tcW w:w="2376" w:type="dxa"/>
            <w:tcBorders>
              <w:top w:val="nil"/>
              <w:left w:val="nil"/>
              <w:bottom w:val="nil"/>
              <w:right w:val="nil"/>
            </w:tcBorders>
            <w:noWrap w:val="0"/>
            <w:tcMar>
              <w:top w:w="-1" w:type="dxa"/>
              <w:left w:w="-1" w:type="dxa"/>
              <w:bottom w:w="-1" w:type="dxa"/>
              <w:right w:w="-1" w:type="dxa"/>
            </w:tcMar>
            <w:vAlign w:val="center"/>
          </w:tcPr>
          <w:p w14:paraId="24AC5ED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54.2</w:t>
            </w:r>
          </w:p>
        </w:tc>
        <w:tc>
          <w:tcPr>
            <w:tcW w:w="5040" w:type="dxa"/>
            <w:tcBorders>
              <w:top w:val="nil"/>
              <w:left w:val="nil"/>
              <w:bottom w:val="nil"/>
              <w:right w:val="nil"/>
            </w:tcBorders>
            <w:noWrap w:val="0"/>
            <w:tcMar>
              <w:top w:w="-1" w:type="dxa"/>
              <w:left w:w="-1" w:type="dxa"/>
              <w:bottom w:w="-1" w:type="dxa"/>
              <w:right w:w="-1" w:type="dxa"/>
            </w:tcMar>
            <w:vAlign w:val="center"/>
          </w:tcPr>
          <w:p w14:paraId="6C8FE0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8.6% (6.2–11.9%)</w:t>
            </w:r>
          </w:p>
        </w:tc>
      </w:tr>
      <w:tr w14:paraId="46E4328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888" w:type="dxa"/>
            <w:tcBorders>
              <w:top w:val="nil"/>
              <w:left w:val="nil"/>
              <w:bottom w:val="nil"/>
              <w:right w:val="nil"/>
            </w:tcBorders>
            <w:noWrap w:val="0"/>
            <w:tcMar>
              <w:top w:w="-1" w:type="dxa"/>
              <w:left w:w="-1" w:type="dxa"/>
              <w:bottom w:w="-1" w:type="dxa"/>
              <w:right w:w="-1" w:type="dxa"/>
            </w:tcMar>
            <w:vAlign w:val="center"/>
          </w:tcPr>
          <w:p w14:paraId="36ABC27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1.0</w:t>
            </w:r>
          </w:p>
        </w:tc>
        <w:tc>
          <w:tcPr>
            <w:tcW w:w="3600" w:type="dxa"/>
            <w:tcBorders>
              <w:top w:val="nil"/>
              <w:left w:val="nil"/>
              <w:bottom w:val="nil"/>
              <w:right w:val="nil"/>
            </w:tcBorders>
            <w:noWrap w:val="0"/>
            <w:tcMar>
              <w:top w:w="-1" w:type="dxa"/>
              <w:left w:w="-1" w:type="dxa"/>
              <w:bottom w:w="-1" w:type="dxa"/>
              <w:right w:w="-1" w:type="dxa"/>
            </w:tcMar>
            <w:vAlign w:val="center"/>
          </w:tcPr>
          <w:p w14:paraId="06C8A0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12.5%</w:t>
            </w:r>
          </w:p>
        </w:tc>
        <w:tc>
          <w:tcPr>
            <w:tcW w:w="2376" w:type="dxa"/>
            <w:tcBorders>
              <w:top w:val="nil"/>
              <w:left w:val="nil"/>
              <w:bottom w:val="nil"/>
              <w:right w:val="nil"/>
            </w:tcBorders>
            <w:noWrap w:val="0"/>
            <w:tcMar>
              <w:top w:w="-1" w:type="dxa"/>
              <w:left w:w="-1" w:type="dxa"/>
              <w:bottom w:w="-1" w:type="dxa"/>
              <w:right w:w="-1" w:type="dxa"/>
            </w:tcMar>
            <w:vAlign w:val="center"/>
          </w:tcPr>
          <w:p w14:paraId="22F2DC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78.4</w:t>
            </w:r>
          </w:p>
        </w:tc>
        <w:tc>
          <w:tcPr>
            <w:tcW w:w="5040" w:type="dxa"/>
            <w:tcBorders>
              <w:top w:val="nil"/>
              <w:left w:val="nil"/>
              <w:bottom w:val="nil"/>
              <w:right w:val="nil"/>
            </w:tcBorders>
            <w:noWrap w:val="0"/>
            <w:tcMar>
              <w:top w:w="-1" w:type="dxa"/>
              <w:left w:w="-1" w:type="dxa"/>
              <w:bottom w:w="-1" w:type="dxa"/>
              <w:right w:w="-1" w:type="dxa"/>
            </w:tcMar>
            <w:vAlign w:val="center"/>
          </w:tcPr>
          <w:p w14:paraId="327760F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12.5% (8.9–17.3%)</w:t>
            </w:r>
          </w:p>
        </w:tc>
      </w:tr>
      <w:tr w14:paraId="2E15D9B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888" w:type="dxa"/>
            <w:tcBorders>
              <w:top w:val="nil"/>
              <w:left w:val="nil"/>
              <w:bottom w:val="nil"/>
              <w:right w:val="nil"/>
            </w:tcBorders>
            <w:noWrap w:val="0"/>
            <w:tcMar>
              <w:top w:w="-1" w:type="dxa"/>
              <w:left w:w="-1" w:type="dxa"/>
              <w:bottom w:w="-1" w:type="dxa"/>
              <w:right w:w="-1" w:type="dxa"/>
            </w:tcMar>
            <w:vAlign w:val="center"/>
          </w:tcPr>
          <w:p w14:paraId="099256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1.5</w:t>
            </w:r>
          </w:p>
        </w:tc>
        <w:tc>
          <w:tcPr>
            <w:tcW w:w="3600" w:type="dxa"/>
            <w:tcBorders>
              <w:top w:val="nil"/>
              <w:left w:val="nil"/>
              <w:bottom w:val="nil"/>
              <w:right w:val="nil"/>
            </w:tcBorders>
            <w:noWrap w:val="0"/>
            <w:tcMar>
              <w:top w:w="-1" w:type="dxa"/>
              <w:left w:w="-1" w:type="dxa"/>
              <w:bottom w:w="-1" w:type="dxa"/>
              <w:right w:w="-1" w:type="dxa"/>
            </w:tcMar>
            <w:vAlign w:val="center"/>
          </w:tcPr>
          <w:p w14:paraId="7C718E8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18.8%</w:t>
            </w:r>
          </w:p>
        </w:tc>
        <w:tc>
          <w:tcPr>
            <w:tcW w:w="2376" w:type="dxa"/>
            <w:tcBorders>
              <w:top w:val="nil"/>
              <w:left w:val="nil"/>
              <w:bottom w:val="nil"/>
              <w:right w:val="nil"/>
            </w:tcBorders>
            <w:noWrap w:val="0"/>
            <w:tcMar>
              <w:top w:w="-1" w:type="dxa"/>
              <w:left w:w="-1" w:type="dxa"/>
              <w:bottom w:w="-1" w:type="dxa"/>
              <w:right w:w="-1" w:type="dxa"/>
            </w:tcMar>
            <w:vAlign w:val="center"/>
          </w:tcPr>
          <w:p w14:paraId="564FB4B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102.6</w:t>
            </w:r>
          </w:p>
        </w:tc>
        <w:tc>
          <w:tcPr>
            <w:tcW w:w="5040" w:type="dxa"/>
            <w:tcBorders>
              <w:top w:val="nil"/>
              <w:left w:val="nil"/>
              <w:bottom w:val="nil"/>
              <w:right w:val="nil"/>
            </w:tcBorders>
            <w:noWrap w:val="0"/>
            <w:tcMar>
              <w:top w:w="-1" w:type="dxa"/>
              <w:left w:w="-1" w:type="dxa"/>
              <w:bottom w:w="-1" w:type="dxa"/>
              <w:right w:w="-1" w:type="dxa"/>
            </w:tcMar>
            <w:vAlign w:val="center"/>
          </w:tcPr>
          <w:p w14:paraId="043465B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16.4% (11.6–22.6%)</w:t>
            </w:r>
          </w:p>
        </w:tc>
      </w:tr>
      <w:tr w14:paraId="79944F2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3888" w:type="dxa"/>
            <w:tcBorders>
              <w:top w:val="nil"/>
              <w:left w:val="nil"/>
              <w:bottom w:val="single" w:color="auto" w:sz="12" w:space="0"/>
              <w:right w:val="nil"/>
            </w:tcBorders>
            <w:noWrap w:val="0"/>
            <w:tcMar>
              <w:top w:w="-1" w:type="dxa"/>
              <w:left w:w="-1" w:type="dxa"/>
              <w:bottom w:w="-1" w:type="dxa"/>
              <w:right w:w="-1" w:type="dxa"/>
            </w:tcMar>
            <w:vAlign w:val="center"/>
          </w:tcPr>
          <w:p w14:paraId="6A248C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2.0</w:t>
            </w:r>
          </w:p>
        </w:tc>
        <w:tc>
          <w:tcPr>
            <w:tcW w:w="3600" w:type="dxa"/>
            <w:tcBorders>
              <w:top w:val="nil"/>
              <w:left w:val="nil"/>
              <w:bottom w:val="single" w:color="auto" w:sz="12" w:space="0"/>
              <w:right w:val="nil"/>
            </w:tcBorders>
            <w:noWrap w:val="0"/>
            <w:tcMar>
              <w:top w:w="-1" w:type="dxa"/>
              <w:left w:w="-1" w:type="dxa"/>
              <w:bottom w:w="-1" w:type="dxa"/>
              <w:right w:w="-1" w:type="dxa"/>
            </w:tcMar>
            <w:vAlign w:val="center"/>
          </w:tcPr>
          <w:p w14:paraId="7C9E80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25.0%</w:t>
            </w:r>
          </w:p>
        </w:tc>
        <w:tc>
          <w:tcPr>
            <w:tcW w:w="2376" w:type="dxa"/>
            <w:tcBorders>
              <w:top w:val="nil"/>
              <w:left w:val="nil"/>
              <w:bottom w:val="single" w:color="auto" w:sz="12" w:space="0"/>
              <w:right w:val="nil"/>
            </w:tcBorders>
            <w:noWrap w:val="0"/>
            <w:tcMar>
              <w:top w:w="-1" w:type="dxa"/>
              <w:left w:w="-1" w:type="dxa"/>
              <w:bottom w:w="-1" w:type="dxa"/>
              <w:right w:w="-1" w:type="dxa"/>
            </w:tcMar>
            <w:vAlign w:val="center"/>
          </w:tcPr>
          <w:p w14:paraId="3DF13C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126.8</w:t>
            </w:r>
          </w:p>
        </w:tc>
        <w:tc>
          <w:tcPr>
            <w:tcW w:w="5040" w:type="dxa"/>
            <w:tcBorders>
              <w:top w:val="nil"/>
              <w:left w:val="nil"/>
              <w:bottom w:val="single" w:color="auto" w:sz="12" w:space="0"/>
              <w:right w:val="nil"/>
            </w:tcBorders>
            <w:noWrap w:val="0"/>
            <w:tcMar>
              <w:top w:w="-1" w:type="dxa"/>
              <w:left w:w="-1" w:type="dxa"/>
              <w:bottom w:w="-1" w:type="dxa"/>
              <w:right w:w="-1" w:type="dxa"/>
            </w:tcMar>
            <w:vAlign w:val="center"/>
          </w:tcPr>
          <w:p w14:paraId="2359F4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20.2% (14.4–28.0%)</w:t>
            </w:r>
          </w:p>
        </w:tc>
      </w:tr>
    </w:tbl>
    <w:p w14:paraId="57EE586C">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Target N=627; 387 lack a first-year retest. These are assumed scenarios, not observed events in unmonitored patients. Interval transformations propagate uncertainty in the monitored proportion only. Scenarios do not additionally correct missed events after monitoring cessation.</w:t>
      </w:r>
    </w:p>
    <w:p w14:paraId="709E2EAF">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S10. First-year monitoring coverage by recorded-event status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8280"/>
        <w:gridCol w:w="3312"/>
        <w:gridCol w:w="3312"/>
      </w:tblGrid>
      <w:tr w14:paraId="6864775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8280" w:type="dxa"/>
            <w:tcBorders>
              <w:top w:val="single" w:color="auto" w:sz="12" w:space="0"/>
              <w:left w:val="nil"/>
              <w:bottom w:val="nil"/>
              <w:right w:val="nil"/>
            </w:tcBorders>
            <w:noWrap w:val="0"/>
            <w:tcMar>
              <w:top w:w="-1" w:type="dxa"/>
              <w:left w:w="-1" w:type="dxa"/>
              <w:bottom w:w="-1" w:type="dxa"/>
              <w:right w:w="-1" w:type="dxa"/>
            </w:tcMar>
            <w:vAlign w:val="center"/>
          </w:tcPr>
          <w:p w14:paraId="03F76706">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Measure</w:t>
            </w:r>
          </w:p>
        </w:tc>
        <w:tc>
          <w:tcPr>
            <w:tcW w:w="3312" w:type="dxa"/>
            <w:tcBorders>
              <w:top w:val="single" w:color="auto" w:sz="12" w:space="0"/>
              <w:left w:val="nil"/>
              <w:bottom w:val="nil"/>
              <w:right w:val="nil"/>
            </w:tcBorders>
            <w:noWrap w:val="0"/>
            <w:tcMar>
              <w:top w:w="-1" w:type="dxa"/>
              <w:left w:w="-1" w:type="dxa"/>
              <w:bottom w:w="-1" w:type="dxa"/>
              <w:right w:w="-1" w:type="dxa"/>
            </w:tcMar>
            <w:vAlign w:val="center"/>
          </w:tcPr>
          <w:p w14:paraId="33EED123">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Recorded event</w:t>
            </w:r>
          </w:p>
        </w:tc>
        <w:tc>
          <w:tcPr>
            <w:tcW w:w="3312" w:type="dxa"/>
            <w:tcBorders>
              <w:top w:val="single" w:color="auto" w:sz="12" w:space="0"/>
              <w:left w:val="nil"/>
              <w:bottom w:val="nil"/>
              <w:right w:val="nil"/>
            </w:tcBorders>
            <w:noWrap w:val="0"/>
            <w:tcMar>
              <w:top w:w="-1" w:type="dxa"/>
              <w:left w:w="-1" w:type="dxa"/>
              <w:bottom w:w="-1" w:type="dxa"/>
              <w:right w:w="-1" w:type="dxa"/>
            </w:tcMar>
            <w:vAlign w:val="center"/>
          </w:tcPr>
          <w:p w14:paraId="3EB5F806">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No recorded event</w:t>
            </w:r>
          </w:p>
        </w:tc>
      </w:tr>
      <w:tr w14:paraId="615166B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single" w:color="auto" w:sz="4" w:space="0"/>
              <w:left w:val="nil"/>
              <w:bottom w:val="nil"/>
              <w:right w:val="nil"/>
            </w:tcBorders>
            <w:noWrap w:val="0"/>
            <w:tcMar>
              <w:top w:w="-1" w:type="dxa"/>
              <w:left w:w="-1" w:type="dxa"/>
              <w:bottom w:w="-1" w:type="dxa"/>
              <w:right w:w="-1" w:type="dxa"/>
            </w:tcMar>
            <w:vAlign w:val="center"/>
          </w:tcPr>
          <w:p w14:paraId="1AC501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Patients</w:t>
            </w:r>
          </w:p>
        </w:tc>
        <w:tc>
          <w:tcPr>
            <w:tcW w:w="3312" w:type="dxa"/>
            <w:tcBorders>
              <w:top w:val="single" w:color="auto" w:sz="4" w:space="0"/>
              <w:left w:val="nil"/>
              <w:bottom w:val="nil"/>
              <w:right w:val="nil"/>
            </w:tcBorders>
            <w:noWrap w:val="0"/>
            <w:tcMar>
              <w:top w:w="-1" w:type="dxa"/>
              <w:left w:w="-1" w:type="dxa"/>
              <w:bottom w:w="-1" w:type="dxa"/>
              <w:right w:w="-1" w:type="dxa"/>
            </w:tcMar>
            <w:vAlign w:val="center"/>
          </w:tcPr>
          <w:p w14:paraId="18A2466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30</w:t>
            </w:r>
          </w:p>
        </w:tc>
        <w:tc>
          <w:tcPr>
            <w:tcW w:w="3312" w:type="dxa"/>
            <w:tcBorders>
              <w:top w:val="single" w:color="auto" w:sz="4" w:space="0"/>
              <w:left w:val="nil"/>
              <w:bottom w:val="nil"/>
              <w:right w:val="nil"/>
            </w:tcBorders>
            <w:noWrap w:val="0"/>
            <w:tcMar>
              <w:top w:w="-1" w:type="dxa"/>
              <w:left w:w="-1" w:type="dxa"/>
              <w:bottom w:w="-1" w:type="dxa"/>
              <w:right w:w="-1" w:type="dxa"/>
            </w:tcMar>
            <w:vAlign w:val="center"/>
          </w:tcPr>
          <w:p w14:paraId="085A2C0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210</w:t>
            </w:r>
          </w:p>
        </w:tc>
      </w:tr>
      <w:tr w14:paraId="35332B0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7CC3471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First thyroid test day, median [IQR]</w:t>
            </w:r>
          </w:p>
        </w:tc>
        <w:tc>
          <w:tcPr>
            <w:tcW w:w="3312" w:type="dxa"/>
            <w:tcBorders>
              <w:top w:val="nil"/>
              <w:left w:val="nil"/>
              <w:bottom w:val="nil"/>
              <w:right w:val="nil"/>
            </w:tcBorders>
            <w:noWrap w:val="0"/>
            <w:tcMar>
              <w:top w:w="-1" w:type="dxa"/>
              <w:left w:w="-1" w:type="dxa"/>
              <w:bottom w:w="-1" w:type="dxa"/>
              <w:right w:w="-1" w:type="dxa"/>
            </w:tcMar>
            <w:vAlign w:val="center"/>
          </w:tcPr>
          <w:p w14:paraId="3B32F9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27.5 [21.2, 73.5]</w:t>
            </w:r>
          </w:p>
        </w:tc>
        <w:tc>
          <w:tcPr>
            <w:tcW w:w="3312" w:type="dxa"/>
            <w:tcBorders>
              <w:top w:val="nil"/>
              <w:left w:val="nil"/>
              <w:bottom w:val="nil"/>
              <w:right w:val="nil"/>
            </w:tcBorders>
            <w:noWrap w:val="0"/>
            <w:tcMar>
              <w:top w:w="-1" w:type="dxa"/>
              <w:left w:w="-1" w:type="dxa"/>
              <w:bottom w:w="-1" w:type="dxa"/>
              <w:right w:w="-1" w:type="dxa"/>
            </w:tcMar>
            <w:vAlign w:val="center"/>
          </w:tcPr>
          <w:p w14:paraId="4A7165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31.0 [23.0, 52.0]</w:t>
            </w:r>
          </w:p>
        </w:tc>
      </w:tr>
      <w:tr w14:paraId="475C7D0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5ED7C5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Last thyroid test day within Days 1-365, median [IQR]</w:t>
            </w:r>
          </w:p>
        </w:tc>
        <w:tc>
          <w:tcPr>
            <w:tcW w:w="3312" w:type="dxa"/>
            <w:tcBorders>
              <w:top w:val="nil"/>
              <w:left w:val="nil"/>
              <w:bottom w:val="nil"/>
              <w:right w:val="nil"/>
            </w:tcBorders>
            <w:noWrap w:val="0"/>
            <w:tcMar>
              <w:top w:w="-1" w:type="dxa"/>
              <w:left w:w="-1" w:type="dxa"/>
              <w:bottom w:w="-1" w:type="dxa"/>
              <w:right w:w="-1" w:type="dxa"/>
            </w:tcMar>
            <w:vAlign w:val="center"/>
          </w:tcPr>
          <w:p w14:paraId="5D927DE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148.5 [92.5, 239.0]</w:t>
            </w:r>
          </w:p>
        </w:tc>
        <w:tc>
          <w:tcPr>
            <w:tcW w:w="3312" w:type="dxa"/>
            <w:tcBorders>
              <w:top w:val="nil"/>
              <w:left w:val="nil"/>
              <w:bottom w:val="nil"/>
              <w:right w:val="nil"/>
            </w:tcBorders>
            <w:noWrap w:val="0"/>
            <w:tcMar>
              <w:top w:w="-1" w:type="dxa"/>
              <w:left w:w="-1" w:type="dxa"/>
              <w:bottom w:w="-1" w:type="dxa"/>
              <w:right w:w="-1" w:type="dxa"/>
            </w:tcMar>
            <w:vAlign w:val="center"/>
          </w:tcPr>
          <w:p w14:paraId="6CE72A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85.5 [40.2, 175.8]</w:t>
            </w:r>
          </w:p>
        </w:tc>
      </w:tr>
      <w:tr w14:paraId="4B45A2C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5B90B37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Tests within Days 1-365, median [IQR]</w:t>
            </w:r>
          </w:p>
        </w:tc>
        <w:tc>
          <w:tcPr>
            <w:tcW w:w="3312" w:type="dxa"/>
            <w:tcBorders>
              <w:top w:val="nil"/>
              <w:left w:val="nil"/>
              <w:bottom w:val="nil"/>
              <w:right w:val="nil"/>
            </w:tcBorders>
            <w:noWrap w:val="0"/>
            <w:tcMar>
              <w:top w:w="-1" w:type="dxa"/>
              <w:left w:w="-1" w:type="dxa"/>
              <w:bottom w:w="-1" w:type="dxa"/>
              <w:right w:w="-1" w:type="dxa"/>
            </w:tcMar>
            <w:vAlign w:val="center"/>
          </w:tcPr>
          <w:p w14:paraId="692F404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3.0 [1.0, 6.0]</w:t>
            </w:r>
          </w:p>
        </w:tc>
        <w:tc>
          <w:tcPr>
            <w:tcW w:w="3312" w:type="dxa"/>
            <w:tcBorders>
              <w:top w:val="nil"/>
              <w:left w:val="nil"/>
              <w:bottom w:val="nil"/>
              <w:right w:val="nil"/>
            </w:tcBorders>
            <w:noWrap w:val="0"/>
            <w:tcMar>
              <w:top w:w="-1" w:type="dxa"/>
              <w:left w:w="-1" w:type="dxa"/>
              <w:bottom w:w="-1" w:type="dxa"/>
              <w:right w:w="-1" w:type="dxa"/>
            </w:tcMar>
            <w:vAlign w:val="center"/>
          </w:tcPr>
          <w:p w14:paraId="618551F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2.0 [1.0, 3.0]</w:t>
            </w:r>
          </w:p>
        </w:tc>
      </w:tr>
      <w:tr w14:paraId="54E8AE8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0A36E51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Exactly one test within Days 1-365</w:t>
            </w:r>
          </w:p>
        </w:tc>
        <w:tc>
          <w:tcPr>
            <w:tcW w:w="3312" w:type="dxa"/>
            <w:tcBorders>
              <w:top w:val="nil"/>
              <w:left w:val="nil"/>
              <w:bottom w:val="nil"/>
              <w:right w:val="nil"/>
            </w:tcBorders>
            <w:noWrap w:val="0"/>
            <w:tcMar>
              <w:top w:w="-1" w:type="dxa"/>
              <w:left w:w="-1" w:type="dxa"/>
              <w:bottom w:w="-1" w:type="dxa"/>
              <w:right w:w="-1" w:type="dxa"/>
            </w:tcMar>
            <w:vAlign w:val="center"/>
          </w:tcPr>
          <w:p w14:paraId="735BDB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9/30 (30.0%)</w:t>
            </w:r>
          </w:p>
        </w:tc>
        <w:tc>
          <w:tcPr>
            <w:tcW w:w="3312" w:type="dxa"/>
            <w:tcBorders>
              <w:top w:val="nil"/>
              <w:left w:val="nil"/>
              <w:bottom w:val="nil"/>
              <w:right w:val="nil"/>
            </w:tcBorders>
            <w:noWrap w:val="0"/>
            <w:tcMar>
              <w:top w:w="-1" w:type="dxa"/>
              <w:left w:w="-1" w:type="dxa"/>
              <w:bottom w:w="-1" w:type="dxa"/>
              <w:right w:w="-1" w:type="dxa"/>
            </w:tcMar>
            <w:vAlign w:val="center"/>
          </w:tcPr>
          <w:p w14:paraId="33535E6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91/210 (43.3%)</w:t>
            </w:r>
          </w:p>
        </w:tc>
      </w:tr>
      <w:tr w14:paraId="60D4858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3CA1610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Last available thyroid test before Day 365</w:t>
            </w:r>
          </w:p>
        </w:tc>
        <w:tc>
          <w:tcPr>
            <w:tcW w:w="3312" w:type="dxa"/>
            <w:tcBorders>
              <w:top w:val="nil"/>
              <w:left w:val="nil"/>
              <w:bottom w:val="nil"/>
              <w:right w:val="nil"/>
            </w:tcBorders>
            <w:noWrap w:val="0"/>
            <w:tcMar>
              <w:top w:w="-1" w:type="dxa"/>
              <w:left w:w="-1" w:type="dxa"/>
              <w:bottom w:w="-1" w:type="dxa"/>
              <w:right w:w="-1" w:type="dxa"/>
            </w:tcMar>
            <w:vAlign w:val="center"/>
          </w:tcPr>
          <w:p w14:paraId="0258772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26/30 (86.7%)</w:t>
            </w:r>
          </w:p>
        </w:tc>
        <w:tc>
          <w:tcPr>
            <w:tcW w:w="3312" w:type="dxa"/>
            <w:tcBorders>
              <w:top w:val="nil"/>
              <w:left w:val="nil"/>
              <w:bottom w:val="nil"/>
              <w:right w:val="nil"/>
            </w:tcBorders>
            <w:noWrap w:val="0"/>
            <w:tcMar>
              <w:top w:w="-1" w:type="dxa"/>
              <w:left w:w="-1" w:type="dxa"/>
              <w:bottom w:w="-1" w:type="dxa"/>
              <w:right w:w="-1" w:type="dxa"/>
            </w:tcMar>
            <w:vAlign w:val="center"/>
          </w:tcPr>
          <w:p w14:paraId="49002AC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196/210 (93.3%)</w:t>
            </w:r>
          </w:p>
        </w:tc>
      </w:tr>
      <w:tr w14:paraId="53BD049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39EC2A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Tested at least once on Days 1-90</w:t>
            </w:r>
          </w:p>
        </w:tc>
        <w:tc>
          <w:tcPr>
            <w:tcW w:w="3312" w:type="dxa"/>
            <w:tcBorders>
              <w:top w:val="nil"/>
              <w:left w:val="nil"/>
              <w:bottom w:val="nil"/>
              <w:right w:val="nil"/>
            </w:tcBorders>
            <w:noWrap w:val="0"/>
            <w:tcMar>
              <w:top w:w="-1" w:type="dxa"/>
              <w:left w:w="-1" w:type="dxa"/>
              <w:bottom w:w="-1" w:type="dxa"/>
              <w:right w:w="-1" w:type="dxa"/>
            </w:tcMar>
            <w:vAlign w:val="center"/>
          </w:tcPr>
          <w:p w14:paraId="73894EB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24/30 (80.0%)</w:t>
            </w:r>
          </w:p>
        </w:tc>
        <w:tc>
          <w:tcPr>
            <w:tcW w:w="3312" w:type="dxa"/>
            <w:tcBorders>
              <w:top w:val="nil"/>
              <w:left w:val="nil"/>
              <w:bottom w:val="nil"/>
              <w:right w:val="nil"/>
            </w:tcBorders>
            <w:noWrap w:val="0"/>
            <w:tcMar>
              <w:top w:w="-1" w:type="dxa"/>
              <w:left w:w="-1" w:type="dxa"/>
              <w:bottom w:w="-1" w:type="dxa"/>
              <w:right w:w="-1" w:type="dxa"/>
            </w:tcMar>
            <w:vAlign w:val="center"/>
          </w:tcPr>
          <w:p w14:paraId="2A27CA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185/210 (88.1%)</w:t>
            </w:r>
          </w:p>
        </w:tc>
      </w:tr>
      <w:tr w14:paraId="3778131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6B8633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Tested at least once on Days 91-180</w:t>
            </w:r>
          </w:p>
        </w:tc>
        <w:tc>
          <w:tcPr>
            <w:tcW w:w="3312" w:type="dxa"/>
            <w:tcBorders>
              <w:top w:val="nil"/>
              <w:left w:val="nil"/>
              <w:bottom w:val="nil"/>
              <w:right w:val="nil"/>
            </w:tcBorders>
            <w:noWrap w:val="0"/>
            <w:tcMar>
              <w:top w:w="-1" w:type="dxa"/>
              <w:left w:w="-1" w:type="dxa"/>
              <w:bottom w:w="-1" w:type="dxa"/>
              <w:right w:w="-1" w:type="dxa"/>
            </w:tcMar>
            <w:vAlign w:val="center"/>
          </w:tcPr>
          <w:p w14:paraId="7587732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23/30 (76.7%)</w:t>
            </w:r>
          </w:p>
        </w:tc>
        <w:tc>
          <w:tcPr>
            <w:tcW w:w="3312" w:type="dxa"/>
            <w:tcBorders>
              <w:top w:val="nil"/>
              <w:left w:val="nil"/>
              <w:bottom w:val="nil"/>
              <w:right w:val="nil"/>
            </w:tcBorders>
            <w:noWrap w:val="0"/>
            <w:tcMar>
              <w:top w:w="-1" w:type="dxa"/>
              <w:left w:w="-1" w:type="dxa"/>
              <w:bottom w:w="-1" w:type="dxa"/>
              <w:right w:w="-1" w:type="dxa"/>
            </w:tcMar>
            <w:vAlign w:val="center"/>
          </w:tcPr>
          <w:p w14:paraId="01650CF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86/210 (41.0%)</w:t>
            </w:r>
          </w:p>
        </w:tc>
      </w:tr>
      <w:tr w14:paraId="17EF436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nil"/>
              <w:right w:val="nil"/>
            </w:tcBorders>
            <w:noWrap w:val="0"/>
            <w:tcMar>
              <w:top w:w="-1" w:type="dxa"/>
              <w:left w:w="-1" w:type="dxa"/>
              <w:bottom w:w="-1" w:type="dxa"/>
              <w:right w:w="-1" w:type="dxa"/>
            </w:tcMar>
            <w:vAlign w:val="center"/>
          </w:tcPr>
          <w:p w14:paraId="59B58F0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Tested at least once on Days 181-270</w:t>
            </w:r>
          </w:p>
        </w:tc>
        <w:tc>
          <w:tcPr>
            <w:tcW w:w="3312" w:type="dxa"/>
            <w:tcBorders>
              <w:top w:val="nil"/>
              <w:left w:val="nil"/>
              <w:bottom w:val="nil"/>
              <w:right w:val="nil"/>
            </w:tcBorders>
            <w:noWrap w:val="0"/>
            <w:tcMar>
              <w:top w:w="-1" w:type="dxa"/>
              <w:left w:w="-1" w:type="dxa"/>
              <w:bottom w:w="-1" w:type="dxa"/>
              <w:right w:w="-1" w:type="dxa"/>
            </w:tcMar>
            <w:vAlign w:val="center"/>
          </w:tcPr>
          <w:p w14:paraId="6430882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11/30 (36.7%)</w:t>
            </w:r>
          </w:p>
        </w:tc>
        <w:tc>
          <w:tcPr>
            <w:tcW w:w="3312" w:type="dxa"/>
            <w:tcBorders>
              <w:top w:val="nil"/>
              <w:left w:val="nil"/>
              <w:bottom w:val="nil"/>
              <w:right w:val="nil"/>
            </w:tcBorders>
            <w:noWrap w:val="0"/>
            <w:tcMar>
              <w:top w:w="-1" w:type="dxa"/>
              <w:left w:w="-1" w:type="dxa"/>
              <w:bottom w:w="-1" w:type="dxa"/>
              <w:right w:w="-1" w:type="dxa"/>
            </w:tcMar>
            <w:vAlign w:val="center"/>
          </w:tcPr>
          <w:p w14:paraId="5BE583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39/210 (18.6%)</w:t>
            </w:r>
          </w:p>
        </w:tc>
      </w:tr>
      <w:tr w14:paraId="3E3B44B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8280" w:type="dxa"/>
            <w:tcBorders>
              <w:top w:val="nil"/>
              <w:left w:val="nil"/>
              <w:bottom w:val="single" w:color="auto" w:sz="12" w:space="0"/>
              <w:right w:val="nil"/>
            </w:tcBorders>
            <w:noWrap w:val="0"/>
            <w:tcMar>
              <w:top w:w="-1" w:type="dxa"/>
              <w:left w:w="-1" w:type="dxa"/>
              <w:bottom w:w="-1" w:type="dxa"/>
              <w:right w:w="-1" w:type="dxa"/>
            </w:tcMar>
            <w:vAlign w:val="center"/>
          </w:tcPr>
          <w:p w14:paraId="257C68F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Tested at least once on Days 271-365</w:t>
            </w:r>
          </w:p>
        </w:tc>
        <w:tc>
          <w:tcPr>
            <w:tcW w:w="3312" w:type="dxa"/>
            <w:tcBorders>
              <w:top w:val="nil"/>
              <w:left w:val="nil"/>
              <w:bottom w:val="single" w:color="auto" w:sz="12" w:space="0"/>
              <w:right w:val="nil"/>
            </w:tcBorders>
            <w:noWrap w:val="0"/>
            <w:tcMar>
              <w:top w:w="-1" w:type="dxa"/>
              <w:left w:w="-1" w:type="dxa"/>
              <w:bottom w:w="-1" w:type="dxa"/>
              <w:right w:w="-1" w:type="dxa"/>
            </w:tcMar>
            <w:vAlign w:val="center"/>
          </w:tcPr>
          <w:p w14:paraId="092F11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6/30 (20.0%)</w:t>
            </w:r>
          </w:p>
        </w:tc>
        <w:tc>
          <w:tcPr>
            <w:tcW w:w="3312" w:type="dxa"/>
            <w:tcBorders>
              <w:top w:val="nil"/>
              <w:left w:val="nil"/>
              <w:bottom w:val="single" w:color="auto" w:sz="12" w:space="0"/>
              <w:right w:val="nil"/>
            </w:tcBorders>
            <w:noWrap w:val="0"/>
            <w:tcMar>
              <w:top w:w="-1" w:type="dxa"/>
              <w:left w:w="-1" w:type="dxa"/>
              <w:bottom w:w="-1" w:type="dxa"/>
              <w:right w:w="-1" w:type="dxa"/>
            </w:tcMar>
            <w:vAlign w:val="center"/>
          </w:tcPr>
          <w:p w14:paraId="39E9EDE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17/210 (8.1%)</w:t>
            </w:r>
          </w:p>
        </w:tc>
      </w:tr>
    </w:tbl>
    <w:p w14:paraId="049689FF">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 primary cohort contains 30 recorded-event and 210 no-recorded-event patients. Tests are TSH-containing report panels; 239 patients had paired TSH/FT4 at least once. First/last first-year test summaries are restricted to Days 1–365; the separate last-available-test row uses all available post-treatment TSH reports. Quarterly membership overlaps; counts must not be summed. A late record does not prove complete observation between tests.</w:t>
      </w:r>
    </w:p>
    <w:p w14:paraId="660CDEF7">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S11. First PD-1 inhibitor distribution</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5328"/>
        <w:gridCol w:w="4752"/>
        <w:gridCol w:w="4824"/>
      </w:tblGrid>
      <w:tr w14:paraId="79ACD42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5328" w:type="dxa"/>
            <w:tcBorders>
              <w:top w:val="single" w:color="auto" w:sz="12" w:space="0"/>
              <w:left w:val="nil"/>
              <w:bottom w:val="nil"/>
              <w:right w:val="nil"/>
            </w:tcBorders>
            <w:noWrap w:val="0"/>
            <w:tcMar>
              <w:top w:w="-1" w:type="dxa"/>
              <w:left w:w="-1" w:type="dxa"/>
              <w:bottom w:w="-1" w:type="dxa"/>
              <w:right w:w="-1" w:type="dxa"/>
            </w:tcMar>
            <w:vAlign w:val="center"/>
          </w:tcPr>
          <w:p w14:paraId="4EE4E9D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First PD-1 inhibitor</w:t>
            </w:r>
          </w:p>
        </w:tc>
        <w:tc>
          <w:tcPr>
            <w:tcW w:w="4752" w:type="dxa"/>
            <w:tcBorders>
              <w:top w:val="single" w:color="auto" w:sz="12" w:space="0"/>
              <w:left w:val="nil"/>
              <w:bottom w:val="nil"/>
              <w:right w:val="nil"/>
            </w:tcBorders>
            <w:noWrap w:val="0"/>
            <w:tcMar>
              <w:top w:w="-1" w:type="dxa"/>
              <w:left w:w="-1" w:type="dxa"/>
              <w:bottom w:w="-1" w:type="dxa"/>
              <w:right w:w="-1" w:type="dxa"/>
            </w:tcMar>
            <w:vAlign w:val="center"/>
          </w:tcPr>
          <w:p w14:paraId="3D0D09AC">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Target population, n (%)</w:t>
            </w:r>
          </w:p>
        </w:tc>
        <w:tc>
          <w:tcPr>
            <w:tcW w:w="4824" w:type="dxa"/>
            <w:tcBorders>
              <w:top w:val="single" w:color="auto" w:sz="12" w:space="0"/>
              <w:left w:val="nil"/>
              <w:bottom w:val="nil"/>
              <w:right w:val="nil"/>
            </w:tcBorders>
            <w:noWrap w:val="0"/>
            <w:tcMar>
              <w:top w:w="-1" w:type="dxa"/>
              <w:left w:w="-1" w:type="dxa"/>
              <w:bottom w:w="-1" w:type="dxa"/>
              <w:right w:w="-1" w:type="dxa"/>
            </w:tcMar>
            <w:vAlign w:val="center"/>
          </w:tcPr>
          <w:p w14:paraId="075BA9AF">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color w:val="000000"/>
                <w:sz w:val="18"/>
              </w:rPr>
              <w:t>Primary monitored cohort, n (%)</w:t>
            </w:r>
          </w:p>
        </w:tc>
      </w:tr>
      <w:tr w14:paraId="7FC7613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single" w:color="auto" w:sz="4" w:space="0"/>
              <w:left w:val="nil"/>
              <w:bottom w:val="nil"/>
              <w:right w:val="nil"/>
            </w:tcBorders>
            <w:noWrap w:val="0"/>
            <w:tcMar>
              <w:top w:w="-1" w:type="dxa"/>
              <w:left w:w="-1" w:type="dxa"/>
              <w:bottom w:w="-1" w:type="dxa"/>
              <w:right w:w="-1" w:type="dxa"/>
            </w:tcMar>
            <w:vAlign w:val="center"/>
          </w:tcPr>
          <w:p w14:paraId="71BAEAB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Sintilimab</w:t>
            </w:r>
          </w:p>
        </w:tc>
        <w:tc>
          <w:tcPr>
            <w:tcW w:w="4752" w:type="dxa"/>
            <w:tcBorders>
              <w:top w:val="single" w:color="auto" w:sz="4" w:space="0"/>
              <w:left w:val="nil"/>
              <w:bottom w:val="nil"/>
              <w:right w:val="nil"/>
            </w:tcBorders>
            <w:noWrap w:val="0"/>
            <w:tcMar>
              <w:top w:w="-1" w:type="dxa"/>
              <w:left w:w="-1" w:type="dxa"/>
              <w:bottom w:w="-1" w:type="dxa"/>
              <w:right w:w="-1" w:type="dxa"/>
            </w:tcMar>
            <w:vAlign w:val="center"/>
          </w:tcPr>
          <w:p w14:paraId="31434D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227/627 (36.2%)</w:t>
            </w:r>
          </w:p>
        </w:tc>
        <w:tc>
          <w:tcPr>
            <w:tcW w:w="4824" w:type="dxa"/>
            <w:tcBorders>
              <w:top w:val="single" w:color="auto" w:sz="4" w:space="0"/>
              <w:left w:val="nil"/>
              <w:bottom w:val="nil"/>
              <w:right w:val="nil"/>
            </w:tcBorders>
            <w:noWrap w:val="0"/>
            <w:tcMar>
              <w:top w:w="-1" w:type="dxa"/>
              <w:left w:w="-1" w:type="dxa"/>
              <w:bottom w:w="-1" w:type="dxa"/>
              <w:right w:w="-1" w:type="dxa"/>
            </w:tcMar>
            <w:vAlign w:val="center"/>
          </w:tcPr>
          <w:p w14:paraId="2ACDCD0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78/240 (32.5%)</w:t>
            </w:r>
          </w:p>
        </w:tc>
      </w:tr>
      <w:tr w14:paraId="10188DA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nil"/>
              <w:left w:val="nil"/>
              <w:bottom w:val="nil"/>
              <w:right w:val="nil"/>
            </w:tcBorders>
            <w:noWrap w:val="0"/>
            <w:tcMar>
              <w:top w:w="-1" w:type="dxa"/>
              <w:left w:w="-1" w:type="dxa"/>
              <w:bottom w:w="-1" w:type="dxa"/>
              <w:right w:w="-1" w:type="dxa"/>
            </w:tcMar>
            <w:vAlign w:val="center"/>
          </w:tcPr>
          <w:p w14:paraId="3540498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Tislelizumab</w:t>
            </w:r>
          </w:p>
        </w:tc>
        <w:tc>
          <w:tcPr>
            <w:tcW w:w="4752" w:type="dxa"/>
            <w:tcBorders>
              <w:top w:val="nil"/>
              <w:left w:val="nil"/>
              <w:bottom w:val="nil"/>
              <w:right w:val="nil"/>
            </w:tcBorders>
            <w:noWrap w:val="0"/>
            <w:tcMar>
              <w:top w:w="-1" w:type="dxa"/>
              <w:left w:w="-1" w:type="dxa"/>
              <w:bottom w:w="-1" w:type="dxa"/>
              <w:right w:w="-1" w:type="dxa"/>
            </w:tcMar>
            <w:vAlign w:val="center"/>
          </w:tcPr>
          <w:p w14:paraId="0F2097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194/627 (30.9%)</w:t>
            </w:r>
          </w:p>
        </w:tc>
        <w:tc>
          <w:tcPr>
            <w:tcW w:w="4824" w:type="dxa"/>
            <w:tcBorders>
              <w:top w:val="nil"/>
              <w:left w:val="nil"/>
              <w:bottom w:val="nil"/>
              <w:right w:val="nil"/>
            </w:tcBorders>
            <w:noWrap w:val="0"/>
            <w:tcMar>
              <w:top w:w="-1" w:type="dxa"/>
              <w:left w:w="-1" w:type="dxa"/>
              <w:bottom w:w="-1" w:type="dxa"/>
              <w:right w:w="-1" w:type="dxa"/>
            </w:tcMar>
            <w:vAlign w:val="center"/>
          </w:tcPr>
          <w:p w14:paraId="054ED61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71/240 (29.6%)</w:t>
            </w:r>
          </w:p>
        </w:tc>
      </w:tr>
      <w:tr w14:paraId="20036D7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nil"/>
              <w:left w:val="nil"/>
              <w:bottom w:val="nil"/>
              <w:right w:val="nil"/>
            </w:tcBorders>
            <w:noWrap w:val="0"/>
            <w:tcMar>
              <w:top w:w="-1" w:type="dxa"/>
              <w:left w:w="-1" w:type="dxa"/>
              <w:bottom w:w="-1" w:type="dxa"/>
              <w:right w:w="-1" w:type="dxa"/>
            </w:tcMar>
            <w:vAlign w:val="center"/>
          </w:tcPr>
          <w:p w14:paraId="431F01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Camrelizumab</w:t>
            </w:r>
          </w:p>
        </w:tc>
        <w:tc>
          <w:tcPr>
            <w:tcW w:w="4752" w:type="dxa"/>
            <w:tcBorders>
              <w:top w:val="nil"/>
              <w:left w:val="nil"/>
              <w:bottom w:val="nil"/>
              <w:right w:val="nil"/>
            </w:tcBorders>
            <w:noWrap w:val="0"/>
            <w:tcMar>
              <w:top w:w="-1" w:type="dxa"/>
              <w:left w:w="-1" w:type="dxa"/>
              <w:bottom w:w="-1" w:type="dxa"/>
              <w:right w:w="-1" w:type="dxa"/>
            </w:tcMar>
            <w:vAlign w:val="center"/>
          </w:tcPr>
          <w:p w14:paraId="013567E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158/627 (25.2%)</w:t>
            </w:r>
          </w:p>
        </w:tc>
        <w:tc>
          <w:tcPr>
            <w:tcW w:w="4824" w:type="dxa"/>
            <w:tcBorders>
              <w:top w:val="nil"/>
              <w:left w:val="nil"/>
              <w:bottom w:val="nil"/>
              <w:right w:val="nil"/>
            </w:tcBorders>
            <w:noWrap w:val="0"/>
            <w:tcMar>
              <w:top w:w="-1" w:type="dxa"/>
              <w:left w:w="-1" w:type="dxa"/>
              <w:bottom w:w="-1" w:type="dxa"/>
              <w:right w:w="-1" w:type="dxa"/>
            </w:tcMar>
            <w:vAlign w:val="center"/>
          </w:tcPr>
          <w:p w14:paraId="4F72665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72/240 (30.0%)</w:t>
            </w:r>
          </w:p>
        </w:tc>
      </w:tr>
      <w:tr w14:paraId="7579DAD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nil"/>
              <w:left w:val="nil"/>
              <w:bottom w:val="nil"/>
              <w:right w:val="nil"/>
            </w:tcBorders>
            <w:noWrap w:val="0"/>
            <w:tcMar>
              <w:top w:w="-1" w:type="dxa"/>
              <w:left w:w="-1" w:type="dxa"/>
              <w:bottom w:w="-1" w:type="dxa"/>
              <w:right w:w="-1" w:type="dxa"/>
            </w:tcMar>
            <w:vAlign w:val="center"/>
          </w:tcPr>
          <w:p w14:paraId="216A3B0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Pembrolizumab</w:t>
            </w:r>
          </w:p>
        </w:tc>
        <w:tc>
          <w:tcPr>
            <w:tcW w:w="4752" w:type="dxa"/>
            <w:tcBorders>
              <w:top w:val="nil"/>
              <w:left w:val="nil"/>
              <w:bottom w:val="nil"/>
              <w:right w:val="nil"/>
            </w:tcBorders>
            <w:noWrap w:val="0"/>
            <w:tcMar>
              <w:top w:w="-1" w:type="dxa"/>
              <w:left w:w="-1" w:type="dxa"/>
              <w:bottom w:w="-1" w:type="dxa"/>
              <w:right w:w="-1" w:type="dxa"/>
            </w:tcMar>
            <w:vAlign w:val="center"/>
          </w:tcPr>
          <w:p w14:paraId="51632CD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25/627 (4.0%)</w:t>
            </w:r>
          </w:p>
        </w:tc>
        <w:tc>
          <w:tcPr>
            <w:tcW w:w="4824" w:type="dxa"/>
            <w:tcBorders>
              <w:top w:val="nil"/>
              <w:left w:val="nil"/>
              <w:bottom w:val="nil"/>
              <w:right w:val="nil"/>
            </w:tcBorders>
            <w:noWrap w:val="0"/>
            <w:tcMar>
              <w:top w:w="-1" w:type="dxa"/>
              <w:left w:w="-1" w:type="dxa"/>
              <w:bottom w:w="-1" w:type="dxa"/>
              <w:right w:w="-1" w:type="dxa"/>
            </w:tcMar>
            <w:vAlign w:val="center"/>
          </w:tcPr>
          <w:p w14:paraId="391DF5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12/240 (5.0%)</w:t>
            </w:r>
          </w:p>
        </w:tc>
      </w:tr>
      <w:tr w14:paraId="2BD8453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nil"/>
              <w:left w:val="nil"/>
              <w:bottom w:val="nil"/>
              <w:right w:val="nil"/>
            </w:tcBorders>
            <w:noWrap w:val="0"/>
            <w:tcMar>
              <w:top w:w="-1" w:type="dxa"/>
              <w:left w:w="-1" w:type="dxa"/>
              <w:bottom w:w="-1" w:type="dxa"/>
              <w:right w:w="-1" w:type="dxa"/>
            </w:tcMar>
            <w:vAlign w:val="center"/>
          </w:tcPr>
          <w:p w14:paraId="3B9269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Toripalimab</w:t>
            </w:r>
          </w:p>
        </w:tc>
        <w:tc>
          <w:tcPr>
            <w:tcW w:w="4752" w:type="dxa"/>
            <w:tcBorders>
              <w:top w:val="nil"/>
              <w:left w:val="nil"/>
              <w:bottom w:val="nil"/>
              <w:right w:val="nil"/>
            </w:tcBorders>
            <w:noWrap w:val="0"/>
            <w:tcMar>
              <w:top w:w="-1" w:type="dxa"/>
              <w:left w:w="-1" w:type="dxa"/>
              <w:bottom w:w="-1" w:type="dxa"/>
              <w:right w:w="-1" w:type="dxa"/>
            </w:tcMar>
            <w:vAlign w:val="center"/>
          </w:tcPr>
          <w:p w14:paraId="72A8D93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20/627 (3.2%)</w:t>
            </w:r>
          </w:p>
        </w:tc>
        <w:tc>
          <w:tcPr>
            <w:tcW w:w="4824" w:type="dxa"/>
            <w:tcBorders>
              <w:top w:val="nil"/>
              <w:left w:val="nil"/>
              <w:bottom w:val="nil"/>
              <w:right w:val="nil"/>
            </w:tcBorders>
            <w:noWrap w:val="0"/>
            <w:tcMar>
              <w:top w:w="-1" w:type="dxa"/>
              <w:left w:w="-1" w:type="dxa"/>
              <w:bottom w:w="-1" w:type="dxa"/>
              <w:right w:w="-1" w:type="dxa"/>
            </w:tcMar>
            <w:vAlign w:val="center"/>
          </w:tcPr>
          <w:p w14:paraId="106D773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6/240 (2.5%)</w:t>
            </w:r>
          </w:p>
        </w:tc>
      </w:tr>
      <w:tr w14:paraId="65C737E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5328" w:type="dxa"/>
            <w:tcBorders>
              <w:top w:val="nil"/>
              <w:left w:val="nil"/>
              <w:bottom w:val="single" w:color="auto" w:sz="12" w:space="0"/>
              <w:right w:val="nil"/>
            </w:tcBorders>
            <w:noWrap w:val="0"/>
            <w:tcMar>
              <w:top w:w="-1" w:type="dxa"/>
              <w:left w:w="-1" w:type="dxa"/>
              <w:bottom w:w="-1" w:type="dxa"/>
              <w:right w:w="-1" w:type="dxa"/>
            </w:tcMar>
            <w:vAlign w:val="center"/>
          </w:tcPr>
          <w:p w14:paraId="10EA0AC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Nivolumab</w:t>
            </w:r>
          </w:p>
        </w:tc>
        <w:tc>
          <w:tcPr>
            <w:tcW w:w="4752" w:type="dxa"/>
            <w:tcBorders>
              <w:top w:val="nil"/>
              <w:left w:val="nil"/>
              <w:bottom w:val="single" w:color="auto" w:sz="12" w:space="0"/>
              <w:right w:val="nil"/>
            </w:tcBorders>
            <w:noWrap w:val="0"/>
            <w:tcMar>
              <w:top w:w="-1" w:type="dxa"/>
              <w:left w:w="-1" w:type="dxa"/>
              <w:bottom w:w="-1" w:type="dxa"/>
              <w:right w:w="-1" w:type="dxa"/>
            </w:tcMar>
            <w:vAlign w:val="center"/>
          </w:tcPr>
          <w:p w14:paraId="4CA95A9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3/627 (0.5%)</w:t>
            </w:r>
          </w:p>
        </w:tc>
        <w:tc>
          <w:tcPr>
            <w:tcW w:w="4824" w:type="dxa"/>
            <w:tcBorders>
              <w:top w:val="nil"/>
              <w:left w:val="nil"/>
              <w:bottom w:val="single" w:color="auto" w:sz="12" w:space="0"/>
              <w:right w:val="nil"/>
            </w:tcBorders>
            <w:noWrap w:val="0"/>
            <w:tcMar>
              <w:top w:w="-1" w:type="dxa"/>
              <w:left w:w="-1" w:type="dxa"/>
              <w:bottom w:w="-1" w:type="dxa"/>
              <w:right w:w="-1" w:type="dxa"/>
            </w:tcMar>
            <w:vAlign w:val="center"/>
          </w:tcPr>
          <w:p w14:paraId="751D232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pPr>
            <w:r>
              <w:rPr>
                <w:rFonts w:ascii="Times New Roman" w:hAnsi="Times New Roman"/>
                <w:b w:val="0"/>
                <w:color w:val="000000"/>
                <w:sz w:val="18"/>
              </w:rPr>
              <w:t>1/240 (0.4%)</w:t>
            </w:r>
          </w:p>
        </w:tc>
      </w:tr>
    </w:tbl>
    <w:p w14:paraId="059C36AB">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Each patient is counted once by the first identifiable PD-1 agent, not by prescription frequency. Subsequent regimen changes are not an exposure-response comparison.</w:t>
      </w:r>
    </w:p>
    <w:p w14:paraId="6C57279C">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S12. Sensitivity analyses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2880"/>
        <w:gridCol w:w="936"/>
        <w:gridCol w:w="1224"/>
        <w:gridCol w:w="2376"/>
        <w:gridCol w:w="2376"/>
        <w:gridCol w:w="2592"/>
        <w:gridCol w:w="2520"/>
      </w:tblGrid>
      <w:tr w14:paraId="2A29A0A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2880" w:type="dxa"/>
            <w:tcBorders>
              <w:top w:val="single" w:color="auto" w:sz="12" w:space="0"/>
              <w:left w:val="nil"/>
              <w:bottom w:val="nil"/>
              <w:right w:val="nil"/>
            </w:tcBorders>
            <w:noWrap w:val="0"/>
            <w:tcMar>
              <w:top w:w="-1" w:type="dxa"/>
              <w:left w:w="-1" w:type="dxa"/>
              <w:bottom w:w="-1" w:type="dxa"/>
              <w:right w:w="-1" w:type="dxa"/>
            </w:tcMar>
            <w:vAlign w:val="center"/>
          </w:tcPr>
          <w:p w14:paraId="1F7E6FE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Analysis</w:t>
            </w:r>
          </w:p>
        </w:tc>
        <w:tc>
          <w:tcPr>
            <w:tcW w:w="936" w:type="dxa"/>
            <w:tcBorders>
              <w:top w:val="single" w:color="auto" w:sz="12" w:space="0"/>
              <w:left w:val="nil"/>
              <w:bottom w:val="nil"/>
              <w:right w:val="nil"/>
            </w:tcBorders>
            <w:noWrap w:val="0"/>
            <w:tcMar>
              <w:top w:w="-1" w:type="dxa"/>
              <w:left w:w="-1" w:type="dxa"/>
              <w:bottom w:w="-1" w:type="dxa"/>
              <w:right w:w="-1" w:type="dxa"/>
            </w:tcMar>
            <w:vAlign w:val="center"/>
          </w:tcPr>
          <w:p w14:paraId="1A6D62D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Target N</w:t>
            </w:r>
          </w:p>
        </w:tc>
        <w:tc>
          <w:tcPr>
            <w:tcW w:w="1224" w:type="dxa"/>
            <w:tcBorders>
              <w:top w:val="single" w:color="auto" w:sz="12" w:space="0"/>
              <w:left w:val="nil"/>
              <w:bottom w:val="nil"/>
              <w:right w:val="nil"/>
            </w:tcBorders>
            <w:noWrap w:val="0"/>
            <w:tcMar>
              <w:top w:w="-1" w:type="dxa"/>
              <w:left w:w="-1" w:type="dxa"/>
              <w:bottom w:w="-1" w:type="dxa"/>
              <w:right w:w="-1" w:type="dxa"/>
            </w:tcMar>
            <w:vAlign w:val="center"/>
          </w:tcPr>
          <w:p w14:paraId="4C3BF207">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Events/monitored</w:t>
            </w:r>
          </w:p>
        </w:tc>
        <w:tc>
          <w:tcPr>
            <w:tcW w:w="2376" w:type="dxa"/>
            <w:tcBorders>
              <w:top w:val="single" w:color="auto" w:sz="12" w:space="0"/>
              <w:left w:val="nil"/>
              <w:bottom w:val="nil"/>
              <w:right w:val="nil"/>
            </w:tcBorders>
            <w:noWrap w:val="0"/>
            <w:tcMar>
              <w:top w:w="-1" w:type="dxa"/>
              <w:left w:w="-1" w:type="dxa"/>
              <w:bottom w:w="-1" w:type="dxa"/>
              <w:right w:w="-1" w:type="dxa"/>
            </w:tcMar>
            <w:vAlign w:val="center"/>
          </w:tcPr>
          <w:p w14:paraId="67EC770D">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Observed % (95% CI)</w:t>
            </w:r>
          </w:p>
        </w:tc>
        <w:tc>
          <w:tcPr>
            <w:tcW w:w="2376" w:type="dxa"/>
            <w:tcBorders>
              <w:top w:val="single" w:color="auto" w:sz="12" w:space="0"/>
              <w:left w:val="nil"/>
              <w:bottom w:val="nil"/>
              <w:right w:val="nil"/>
            </w:tcBorders>
            <w:noWrap w:val="0"/>
            <w:tcMar>
              <w:top w:w="-1" w:type="dxa"/>
              <w:left w:w="-1" w:type="dxa"/>
              <w:bottom w:w="-1" w:type="dxa"/>
              <w:right w:w="-1" w:type="dxa"/>
            </w:tcMar>
            <w:vAlign w:val="center"/>
          </w:tcPr>
          <w:p w14:paraId="4B0077DD">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Capped IPW % (95% CI)</w:t>
            </w:r>
          </w:p>
        </w:tc>
        <w:tc>
          <w:tcPr>
            <w:tcW w:w="2592" w:type="dxa"/>
            <w:tcBorders>
              <w:top w:val="single" w:color="auto" w:sz="12" w:space="0"/>
              <w:left w:val="nil"/>
              <w:bottom w:val="nil"/>
              <w:right w:val="nil"/>
            </w:tcBorders>
            <w:noWrap w:val="0"/>
            <w:tcMar>
              <w:top w:w="-1" w:type="dxa"/>
              <w:left w:w="-1" w:type="dxa"/>
              <w:bottom w:w="-1" w:type="dxa"/>
              <w:right w:w="-1" w:type="dxa"/>
            </w:tcMar>
            <w:vAlign w:val="center"/>
          </w:tcPr>
          <w:p w14:paraId="7708879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Antibody adjusted OR (95% CI)</w:t>
            </w:r>
          </w:p>
        </w:tc>
        <w:tc>
          <w:tcPr>
            <w:tcW w:w="2520" w:type="dxa"/>
            <w:tcBorders>
              <w:top w:val="single" w:color="auto" w:sz="12" w:space="0"/>
              <w:left w:val="nil"/>
              <w:bottom w:val="nil"/>
              <w:right w:val="nil"/>
            </w:tcBorders>
            <w:noWrap w:val="0"/>
            <w:tcMar>
              <w:top w:w="-1" w:type="dxa"/>
              <w:left w:w="-1" w:type="dxa"/>
              <w:bottom w:w="-1" w:type="dxa"/>
              <w:right w:w="-1" w:type="dxa"/>
            </w:tcMar>
            <w:vAlign w:val="center"/>
          </w:tcPr>
          <w:p w14:paraId="30064D03">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TSH adjusted OR (95% CI)</w:t>
            </w:r>
          </w:p>
        </w:tc>
      </w:tr>
      <w:tr w14:paraId="4C9E878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880" w:type="dxa"/>
            <w:tcBorders>
              <w:top w:val="single" w:color="auto" w:sz="4" w:space="0"/>
              <w:left w:val="nil"/>
              <w:bottom w:val="nil"/>
              <w:right w:val="nil"/>
            </w:tcBorders>
            <w:noWrap w:val="0"/>
            <w:tcMar>
              <w:top w:w="-1" w:type="dxa"/>
              <w:left w:w="-1" w:type="dxa"/>
              <w:bottom w:w="-1" w:type="dxa"/>
              <w:right w:w="-1" w:type="dxa"/>
            </w:tcMar>
            <w:vAlign w:val="center"/>
          </w:tcPr>
          <w:p w14:paraId="043F0C6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Main first-year TSH monitoring</w:t>
            </w:r>
          </w:p>
        </w:tc>
        <w:tc>
          <w:tcPr>
            <w:tcW w:w="936" w:type="dxa"/>
            <w:tcBorders>
              <w:top w:val="single" w:color="auto" w:sz="4" w:space="0"/>
              <w:left w:val="nil"/>
              <w:bottom w:val="nil"/>
              <w:right w:val="nil"/>
            </w:tcBorders>
            <w:noWrap w:val="0"/>
            <w:tcMar>
              <w:top w:w="-1" w:type="dxa"/>
              <w:left w:w="-1" w:type="dxa"/>
              <w:bottom w:w="-1" w:type="dxa"/>
              <w:right w:w="-1" w:type="dxa"/>
            </w:tcMar>
            <w:vAlign w:val="center"/>
          </w:tcPr>
          <w:p w14:paraId="423E8D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627</w:t>
            </w:r>
          </w:p>
        </w:tc>
        <w:tc>
          <w:tcPr>
            <w:tcW w:w="1224" w:type="dxa"/>
            <w:tcBorders>
              <w:top w:val="single" w:color="auto" w:sz="4" w:space="0"/>
              <w:left w:val="nil"/>
              <w:bottom w:val="nil"/>
              <w:right w:val="nil"/>
            </w:tcBorders>
            <w:noWrap w:val="0"/>
            <w:tcMar>
              <w:top w:w="-1" w:type="dxa"/>
              <w:left w:w="-1" w:type="dxa"/>
              <w:bottom w:w="-1" w:type="dxa"/>
              <w:right w:w="-1" w:type="dxa"/>
            </w:tcMar>
            <w:vAlign w:val="center"/>
          </w:tcPr>
          <w:p w14:paraId="5084AC6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30/240</w:t>
            </w:r>
          </w:p>
        </w:tc>
        <w:tc>
          <w:tcPr>
            <w:tcW w:w="2376" w:type="dxa"/>
            <w:tcBorders>
              <w:top w:val="single" w:color="auto" w:sz="4" w:space="0"/>
              <w:left w:val="nil"/>
              <w:bottom w:val="nil"/>
              <w:right w:val="nil"/>
            </w:tcBorders>
            <w:noWrap w:val="0"/>
            <w:tcMar>
              <w:top w:w="-1" w:type="dxa"/>
              <w:left w:w="-1" w:type="dxa"/>
              <w:bottom w:w="-1" w:type="dxa"/>
              <w:right w:w="-1" w:type="dxa"/>
            </w:tcMar>
            <w:vAlign w:val="center"/>
          </w:tcPr>
          <w:p w14:paraId="7221D51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12.5% (8.9%–17.3%)</w:t>
            </w:r>
          </w:p>
        </w:tc>
        <w:tc>
          <w:tcPr>
            <w:tcW w:w="2376" w:type="dxa"/>
            <w:tcBorders>
              <w:top w:val="single" w:color="auto" w:sz="4" w:space="0"/>
              <w:left w:val="nil"/>
              <w:bottom w:val="nil"/>
              <w:right w:val="nil"/>
            </w:tcBorders>
            <w:noWrap w:val="0"/>
            <w:tcMar>
              <w:top w:w="-1" w:type="dxa"/>
              <w:left w:w="-1" w:type="dxa"/>
              <w:bottom w:w="-1" w:type="dxa"/>
              <w:right w:w="-1" w:type="dxa"/>
            </w:tcMar>
            <w:vAlign w:val="center"/>
          </w:tcPr>
          <w:p w14:paraId="78077E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12.6% (8.5%–17.1%)</w:t>
            </w:r>
          </w:p>
        </w:tc>
        <w:tc>
          <w:tcPr>
            <w:tcW w:w="2592" w:type="dxa"/>
            <w:tcBorders>
              <w:top w:val="single" w:color="auto" w:sz="4" w:space="0"/>
              <w:left w:val="nil"/>
              <w:bottom w:val="nil"/>
              <w:right w:val="nil"/>
            </w:tcBorders>
            <w:noWrap w:val="0"/>
            <w:tcMar>
              <w:top w:w="-1" w:type="dxa"/>
              <w:left w:w="-1" w:type="dxa"/>
              <w:bottom w:w="-1" w:type="dxa"/>
              <w:right w:w="-1" w:type="dxa"/>
            </w:tcMar>
            <w:vAlign w:val="center"/>
          </w:tcPr>
          <w:p w14:paraId="56C99C7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9.00 (3.21–26.02)</w:t>
            </w:r>
          </w:p>
        </w:tc>
        <w:tc>
          <w:tcPr>
            <w:tcW w:w="2520" w:type="dxa"/>
            <w:tcBorders>
              <w:top w:val="single" w:color="auto" w:sz="4" w:space="0"/>
              <w:left w:val="nil"/>
              <w:bottom w:val="nil"/>
              <w:right w:val="nil"/>
            </w:tcBorders>
            <w:noWrap w:val="0"/>
            <w:tcMar>
              <w:top w:w="-1" w:type="dxa"/>
              <w:left w:w="-1" w:type="dxa"/>
              <w:bottom w:w="-1" w:type="dxa"/>
              <w:right w:w="-1" w:type="dxa"/>
            </w:tcMar>
            <w:vAlign w:val="center"/>
          </w:tcPr>
          <w:p w14:paraId="6D3A025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1.82 (1.32–2.53)</w:t>
            </w:r>
          </w:p>
        </w:tc>
      </w:tr>
      <w:tr w14:paraId="76F2A55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880" w:type="dxa"/>
            <w:tcBorders>
              <w:top w:val="nil"/>
              <w:left w:val="nil"/>
              <w:bottom w:val="nil"/>
              <w:right w:val="nil"/>
            </w:tcBorders>
            <w:noWrap w:val="0"/>
            <w:tcMar>
              <w:top w:w="-1" w:type="dxa"/>
              <w:left w:w="-1" w:type="dxa"/>
              <w:bottom w:w="-1" w:type="dxa"/>
              <w:right w:w="-1" w:type="dxa"/>
            </w:tcMar>
            <w:vAlign w:val="center"/>
          </w:tcPr>
          <w:p w14:paraId="505DA1A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Paired TSH/FT4 first-year monitoring</w:t>
            </w:r>
          </w:p>
        </w:tc>
        <w:tc>
          <w:tcPr>
            <w:tcW w:w="936" w:type="dxa"/>
            <w:tcBorders>
              <w:top w:val="nil"/>
              <w:left w:val="nil"/>
              <w:bottom w:val="nil"/>
              <w:right w:val="nil"/>
            </w:tcBorders>
            <w:noWrap w:val="0"/>
            <w:tcMar>
              <w:top w:w="-1" w:type="dxa"/>
              <w:left w:w="-1" w:type="dxa"/>
              <w:bottom w:w="-1" w:type="dxa"/>
              <w:right w:w="-1" w:type="dxa"/>
            </w:tcMar>
            <w:vAlign w:val="center"/>
          </w:tcPr>
          <w:p w14:paraId="569C06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627</w:t>
            </w:r>
          </w:p>
        </w:tc>
        <w:tc>
          <w:tcPr>
            <w:tcW w:w="1224" w:type="dxa"/>
            <w:tcBorders>
              <w:top w:val="nil"/>
              <w:left w:val="nil"/>
              <w:bottom w:val="nil"/>
              <w:right w:val="nil"/>
            </w:tcBorders>
            <w:noWrap w:val="0"/>
            <w:tcMar>
              <w:top w:w="-1" w:type="dxa"/>
              <w:left w:w="-1" w:type="dxa"/>
              <w:bottom w:w="-1" w:type="dxa"/>
              <w:right w:w="-1" w:type="dxa"/>
            </w:tcMar>
            <w:vAlign w:val="center"/>
          </w:tcPr>
          <w:p w14:paraId="00A9970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30/239</w:t>
            </w:r>
          </w:p>
        </w:tc>
        <w:tc>
          <w:tcPr>
            <w:tcW w:w="2376" w:type="dxa"/>
            <w:tcBorders>
              <w:top w:val="nil"/>
              <w:left w:val="nil"/>
              <w:bottom w:val="nil"/>
              <w:right w:val="nil"/>
            </w:tcBorders>
            <w:noWrap w:val="0"/>
            <w:tcMar>
              <w:top w:w="-1" w:type="dxa"/>
              <w:left w:w="-1" w:type="dxa"/>
              <w:bottom w:w="-1" w:type="dxa"/>
              <w:right w:w="-1" w:type="dxa"/>
            </w:tcMar>
            <w:vAlign w:val="center"/>
          </w:tcPr>
          <w:p w14:paraId="3D4BC0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12.6% (8.9%–17.4%)</w:t>
            </w:r>
          </w:p>
        </w:tc>
        <w:tc>
          <w:tcPr>
            <w:tcW w:w="2376" w:type="dxa"/>
            <w:tcBorders>
              <w:top w:val="nil"/>
              <w:left w:val="nil"/>
              <w:bottom w:val="nil"/>
              <w:right w:val="nil"/>
            </w:tcBorders>
            <w:noWrap w:val="0"/>
            <w:tcMar>
              <w:top w:w="-1" w:type="dxa"/>
              <w:left w:w="-1" w:type="dxa"/>
              <w:bottom w:w="-1" w:type="dxa"/>
              <w:right w:w="-1" w:type="dxa"/>
            </w:tcMar>
            <w:vAlign w:val="center"/>
          </w:tcPr>
          <w:p w14:paraId="3B04E6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12.6% (8.5%–17.1%)</w:t>
            </w:r>
          </w:p>
        </w:tc>
        <w:tc>
          <w:tcPr>
            <w:tcW w:w="2592" w:type="dxa"/>
            <w:tcBorders>
              <w:top w:val="nil"/>
              <w:left w:val="nil"/>
              <w:bottom w:val="nil"/>
              <w:right w:val="nil"/>
            </w:tcBorders>
            <w:noWrap w:val="0"/>
            <w:tcMar>
              <w:top w:w="-1" w:type="dxa"/>
              <w:left w:w="-1" w:type="dxa"/>
              <w:bottom w:w="-1" w:type="dxa"/>
              <w:right w:w="-1" w:type="dxa"/>
            </w:tcMar>
            <w:vAlign w:val="center"/>
          </w:tcPr>
          <w:p w14:paraId="37B4BB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8.97 (3.20–25.93)</w:t>
            </w:r>
          </w:p>
        </w:tc>
        <w:tc>
          <w:tcPr>
            <w:tcW w:w="2520" w:type="dxa"/>
            <w:tcBorders>
              <w:top w:val="nil"/>
              <w:left w:val="nil"/>
              <w:bottom w:val="nil"/>
              <w:right w:val="nil"/>
            </w:tcBorders>
            <w:noWrap w:val="0"/>
            <w:tcMar>
              <w:top w:w="-1" w:type="dxa"/>
              <w:left w:w="-1" w:type="dxa"/>
              <w:bottom w:w="-1" w:type="dxa"/>
              <w:right w:w="-1" w:type="dxa"/>
            </w:tcMar>
            <w:vAlign w:val="center"/>
          </w:tcPr>
          <w:p w14:paraId="48B6802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1.81 (1.32–2.53)</w:t>
            </w:r>
          </w:p>
        </w:tc>
      </w:tr>
      <w:tr w14:paraId="354EA57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880" w:type="dxa"/>
            <w:tcBorders>
              <w:top w:val="nil"/>
              <w:left w:val="nil"/>
              <w:bottom w:val="nil"/>
              <w:right w:val="nil"/>
            </w:tcBorders>
            <w:noWrap w:val="0"/>
            <w:tcMar>
              <w:top w:w="-1" w:type="dxa"/>
              <w:left w:w="-1" w:type="dxa"/>
              <w:bottom w:w="-1" w:type="dxa"/>
              <w:right w:w="-1" w:type="dxa"/>
            </w:tcMar>
            <w:vAlign w:val="center"/>
          </w:tcPr>
          <w:p w14:paraId="530F549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Baseline reports on Days −90 to −1</w:t>
            </w:r>
          </w:p>
        </w:tc>
        <w:tc>
          <w:tcPr>
            <w:tcW w:w="936" w:type="dxa"/>
            <w:tcBorders>
              <w:top w:val="nil"/>
              <w:left w:val="nil"/>
              <w:bottom w:val="nil"/>
              <w:right w:val="nil"/>
            </w:tcBorders>
            <w:noWrap w:val="0"/>
            <w:tcMar>
              <w:top w:w="-1" w:type="dxa"/>
              <w:left w:w="-1" w:type="dxa"/>
              <w:bottom w:w="-1" w:type="dxa"/>
              <w:right w:w="-1" w:type="dxa"/>
            </w:tcMar>
            <w:vAlign w:val="center"/>
          </w:tcPr>
          <w:p w14:paraId="47C5E7A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484</w:t>
            </w:r>
          </w:p>
        </w:tc>
        <w:tc>
          <w:tcPr>
            <w:tcW w:w="1224" w:type="dxa"/>
            <w:tcBorders>
              <w:top w:val="nil"/>
              <w:left w:val="nil"/>
              <w:bottom w:val="nil"/>
              <w:right w:val="nil"/>
            </w:tcBorders>
            <w:noWrap w:val="0"/>
            <w:tcMar>
              <w:top w:w="-1" w:type="dxa"/>
              <w:left w:w="-1" w:type="dxa"/>
              <w:bottom w:w="-1" w:type="dxa"/>
              <w:right w:w="-1" w:type="dxa"/>
            </w:tcMar>
            <w:vAlign w:val="center"/>
          </w:tcPr>
          <w:p w14:paraId="4287F8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22/171</w:t>
            </w:r>
          </w:p>
        </w:tc>
        <w:tc>
          <w:tcPr>
            <w:tcW w:w="2376" w:type="dxa"/>
            <w:tcBorders>
              <w:top w:val="nil"/>
              <w:left w:val="nil"/>
              <w:bottom w:val="nil"/>
              <w:right w:val="nil"/>
            </w:tcBorders>
            <w:noWrap w:val="0"/>
            <w:tcMar>
              <w:top w:w="-1" w:type="dxa"/>
              <w:left w:w="-1" w:type="dxa"/>
              <w:bottom w:w="-1" w:type="dxa"/>
              <w:right w:w="-1" w:type="dxa"/>
            </w:tcMar>
            <w:vAlign w:val="center"/>
          </w:tcPr>
          <w:p w14:paraId="5419013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12.9% (8.7%–18.7%)</w:t>
            </w:r>
          </w:p>
        </w:tc>
        <w:tc>
          <w:tcPr>
            <w:tcW w:w="2376" w:type="dxa"/>
            <w:tcBorders>
              <w:top w:val="nil"/>
              <w:left w:val="nil"/>
              <w:bottom w:val="nil"/>
              <w:right w:val="nil"/>
            </w:tcBorders>
            <w:noWrap w:val="0"/>
            <w:tcMar>
              <w:top w:w="-1" w:type="dxa"/>
              <w:left w:w="-1" w:type="dxa"/>
              <w:bottom w:w="-1" w:type="dxa"/>
              <w:right w:w="-1" w:type="dxa"/>
            </w:tcMar>
            <w:vAlign w:val="center"/>
          </w:tcPr>
          <w:p w14:paraId="5C98FF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13.3% (8.4%–19.0%)</w:t>
            </w:r>
          </w:p>
        </w:tc>
        <w:tc>
          <w:tcPr>
            <w:tcW w:w="2592" w:type="dxa"/>
            <w:tcBorders>
              <w:top w:val="nil"/>
              <w:left w:val="nil"/>
              <w:bottom w:val="nil"/>
              <w:right w:val="nil"/>
            </w:tcBorders>
            <w:noWrap w:val="0"/>
            <w:tcMar>
              <w:top w:w="-1" w:type="dxa"/>
              <w:left w:w="-1" w:type="dxa"/>
              <w:bottom w:w="-1" w:type="dxa"/>
              <w:right w:w="-1" w:type="dxa"/>
            </w:tcMar>
            <w:vAlign w:val="center"/>
          </w:tcPr>
          <w:p w14:paraId="4953FF2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6.11 (1.65–23.34)</w:t>
            </w:r>
          </w:p>
        </w:tc>
        <w:tc>
          <w:tcPr>
            <w:tcW w:w="2520" w:type="dxa"/>
            <w:tcBorders>
              <w:top w:val="nil"/>
              <w:left w:val="nil"/>
              <w:bottom w:val="nil"/>
              <w:right w:val="nil"/>
            </w:tcBorders>
            <w:noWrap w:val="0"/>
            <w:tcMar>
              <w:top w:w="-1" w:type="dxa"/>
              <w:left w:w="-1" w:type="dxa"/>
              <w:bottom w:w="-1" w:type="dxa"/>
              <w:right w:w="-1" w:type="dxa"/>
            </w:tcMar>
            <w:vAlign w:val="center"/>
          </w:tcPr>
          <w:p w14:paraId="457766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1.60 (1.12–2.31)</w:t>
            </w:r>
          </w:p>
        </w:tc>
      </w:tr>
      <w:tr w14:paraId="2F6F305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2880" w:type="dxa"/>
            <w:tcBorders>
              <w:top w:val="nil"/>
              <w:left w:val="nil"/>
              <w:bottom w:val="single" w:color="auto" w:sz="12" w:space="0"/>
              <w:right w:val="nil"/>
            </w:tcBorders>
            <w:noWrap w:val="0"/>
            <w:tcMar>
              <w:top w:w="-1" w:type="dxa"/>
              <w:left w:w="-1" w:type="dxa"/>
              <w:bottom w:w="-1" w:type="dxa"/>
              <w:right w:w="-1" w:type="dxa"/>
            </w:tcMar>
            <w:vAlign w:val="center"/>
          </w:tcPr>
          <w:p w14:paraId="5ED5EF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IPW target restricted to observed BMI</w:t>
            </w:r>
          </w:p>
        </w:tc>
        <w:tc>
          <w:tcPr>
            <w:tcW w:w="936" w:type="dxa"/>
            <w:tcBorders>
              <w:top w:val="nil"/>
              <w:left w:val="nil"/>
              <w:bottom w:val="single" w:color="auto" w:sz="12" w:space="0"/>
              <w:right w:val="nil"/>
            </w:tcBorders>
            <w:noWrap w:val="0"/>
            <w:tcMar>
              <w:top w:w="-1" w:type="dxa"/>
              <w:left w:w="-1" w:type="dxa"/>
              <w:bottom w:w="-1" w:type="dxa"/>
              <w:right w:w="-1" w:type="dxa"/>
            </w:tcMar>
            <w:vAlign w:val="center"/>
          </w:tcPr>
          <w:p w14:paraId="77AB377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618</w:t>
            </w:r>
          </w:p>
        </w:tc>
        <w:tc>
          <w:tcPr>
            <w:tcW w:w="1224" w:type="dxa"/>
            <w:tcBorders>
              <w:top w:val="nil"/>
              <w:left w:val="nil"/>
              <w:bottom w:val="single" w:color="auto" w:sz="12" w:space="0"/>
              <w:right w:val="nil"/>
            </w:tcBorders>
            <w:noWrap w:val="0"/>
            <w:tcMar>
              <w:top w:w="-1" w:type="dxa"/>
              <w:left w:w="-1" w:type="dxa"/>
              <w:bottom w:w="-1" w:type="dxa"/>
              <w:right w:w="-1" w:type="dxa"/>
            </w:tcMar>
            <w:vAlign w:val="center"/>
          </w:tcPr>
          <w:p w14:paraId="1022BBF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30/240</w:t>
            </w:r>
          </w:p>
        </w:tc>
        <w:tc>
          <w:tcPr>
            <w:tcW w:w="2376" w:type="dxa"/>
            <w:tcBorders>
              <w:top w:val="nil"/>
              <w:left w:val="nil"/>
              <w:bottom w:val="single" w:color="auto" w:sz="12" w:space="0"/>
              <w:right w:val="nil"/>
            </w:tcBorders>
            <w:noWrap w:val="0"/>
            <w:tcMar>
              <w:top w:w="-1" w:type="dxa"/>
              <w:left w:w="-1" w:type="dxa"/>
              <w:bottom w:w="-1" w:type="dxa"/>
              <w:right w:w="-1" w:type="dxa"/>
            </w:tcMar>
            <w:vAlign w:val="center"/>
          </w:tcPr>
          <w:p w14:paraId="6A6C3E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12.5% (8.9%–17.3%)</w:t>
            </w:r>
          </w:p>
        </w:tc>
        <w:tc>
          <w:tcPr>
            <w:tcW w:w="2376" w:type="dxa"/>
            <w:tcBorders>
              <w:top w:val="nil"/>
              <w:left w:val="nil"/>
              <w:bottom w:val="single" w:color="auto" w:sz="12" w:space="0"/>
              <w:right w:val="nil"/>
            </w:tcBorders>
            <w:noWrap w:val="0"/>
            <w:tcMar>
              <w:top w:w="-1" w:type="dxa"/>
              <w:left w:w="-1" w:type="dxa"/>
              <w:bottom w:w="-1" w:type="dxa"/>
              <w:right w:w="-1" w:type="dxa"/>
            </w:tcMar>
            <w:vAlign w:val="center"/>
          </w:tcPr>
          <w:p w14:paraId="22E4655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12.6% (8.4%–17.1%)</w:t>
            </w:r>
          </w:p>
        </w:tc>
        <w:tc>
          <w:tcPr>
            <w:tcW w:w="2592" w:type="dxa"/>
            <w:tcBorders>
              <w:top w:val="nil"/>
              <w:left w:val="nil"/>
              <w:bottom w:val="single" w:color="auto" w:sz="12" w:space="0"/>
              <w:right w:val="nil"/>
            </w:tcBorders>
            <w:noWrap w:val="0"/>
            <w:tcMar>
              <w:top w:w="-1" w:type="dxa"/>
              <w:left w:w="-1" w:type="dxa"/>
              <w:bottom w:w="-1" w:type="dxa"/>
              <w:right w:w="-1" w:type="dxa"/>
            </w:tcMar>
            <w:vAlign w:val="center"/>
          </w:tcPr>
          <w:p w14:paraId="647AC3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Not refitted; outcome cohort unchanged</w:t>
            </w:r>
          </w:p>
        </w:tc>
        <w:tc>
          <w:tcPr>
            <w:tcW w:w="2520" w:type="dxa"/>
            <w:tcBorders>
              <w:top w:val="nil"/>
              <w:left w:val="nil"/>
              <w:bottom w:val="single" w:color="auto" w:sz="12" w:space="0"/>
              <w:right w:val="nil"/>
            </w:tcBorders>
            <w:noWrap w:val="0"/>
            <w:tcMar>
              <w:top w:w="-1" w:type="dxa"/>
              <w:left w:w="-1" w:type="dxa"/>
              <w:bottom w:w="-1" w:type="dxa"/>
              <w:right w:w="-1" w:type="dxa"/>
            </w:tcMar>
            <w:vAlign w:val="center"/>
          </w:tcPr>
          <w:p w14:paraId="70AD8F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Not refitted; outcome cohort unchanged</w:t>
            </w:r>
          </w:p>
        </w:tc>
      </w:tr>
    </w:tbl>
    <w:p w14:paraId="5FEE5FCB">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 paired cohort removes one patient with TSH-only monitoring, leaving 239 monitored patients. The prior-calendar-day analysis applies the same most-recent-pair rule to baseline TSH/FT4 and derives antibodies using Days −90 to −1; it changes the target population, yielding 484 target and 171 monitored patients with 22 events. This is a conservative exclusion of treatment-day baseline reports, whose pretreatment collection was confirmed by the investigators. Its maximum capped SMD among model covariates is 0.171, so balance is less complete than in the main model. The BMI-observed target excludes nine unmonitored patients, leaving 618 target patients and the same 240 monitored patients. Each IPW analysis used 2,000 bootstrap resamples. Sensitivity Firth models retain the same seven slopes but have their own complete-case sample sizes.</w:t>
      </w:r>
    </w:p>
    <w:p w14:paraId="6A6A0788">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S13A. Anonymized biochemical and temporal evidence for the 35 adjudicated events</w:t>
      </w:r>
    </w:p>
    <w:tbl>
      <w:tblPr>
        <w:tblStyle w:val="5"/>
        <w:tblW w:w="0" w:type="auto"/>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fixed"/>
        <w:tblCellMar>
          <w:top w:w="70" w:type="dxa"/>
          <w:left w:w="80" w:type="dxa"/>
          <w:bottom w:w="70" w:type="dxa"/>
          <w:right w:w="80" w:type="dxa"/>
        </w:tblCellMar>
      </w:tblPr>
      <w:tblGrid>
        <w:gridCol w:w="691"/>
        <w:gridCol w:w="864"/>
        <w:gridCol w:w="1008"/>
        <w:gridCol w:w="2520"/>
        <w:gridCol w:w="950"/>
        <w:gridCol w:w="950"/>
        <w:gridCol w:w="950"/>
        <w:gridCol w:w="2131"/>
        <w:gridCol w:w="1872"/>
        <w:gridCol w:w="2966"/>
      </w:tblGrid>
      <w:tr w14:paraId="0F2201D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tblHeader/>
          <w:jc w:val="center"/>
        </w:trPr>
        <w:tc>
          <w:tcPr>
            <w:tcW w:w="691" w:type="dxa"/>
            <w:tcBorders>
              <w:top w:val="single" w:color="auto" w:sz="12" w:space="0"/>
              <w:left w:val="nil"/>
              <w:bottom w:val="nil"/>
              <w:right w:val="nil"/>
            </w:tcBorders>
            <w:noWrap w:val="0"/>
            <w:tcMar>
              <w:top w:w="-1" w:type="dxa"/>
              <w:left w:w="-1" w:type="dxa"/>
              <w:bottom w:w="-1" w:type="dxa"/>
              <w:right w:w="-1" w:type="dxa"/>
            </w:tcMar>
            <w:vAlign w:val="center"/>
          </w:tcPr>
          <w:p w14:paraId="053F3F8C">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Case</w:t>
            </w:r>
          </w:p>
        </w:tc>
        <w:tc>
          <w:tcPr>
            <w:tcW w:w="864" w:type="dxa"/>
            <w:tcBorders>
              <w:top w:val="single" w:color="auto" w:sz="12" w:space="0"/>
              <w:left w:val="nil"/>
              <w:bottom w:val="nil"/>
              <w:right w:val="nil"/>
            </w:tcBorders>
            <w:noWrap w:val="0"/>
            <w:tcMar>
              <w:top w:w="-1" w:type="dxa"/>
              <w:left w:w="-1" w:type="dxa"/>
              <w:bottom w:w="-1" w:type="dxa"/>
              <w:right w:w="-1" w:type="dxa"/>
            </w:tcMar>
            <w:vAlign w:val="center"/>
          </w:tcPr>
          <w:p w14:paraId="0CC31513">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Primary</w:t>
            </w:r>
          </w:p>
        </w:tc>
        <w:tc>
          <w:tcPr>
            <w:tcW w:w="1008" w:type="dxa"/>
            <w:tcBorders>
              <w:top w:val="single" w:color="auto" w:sz="12" w:space="0"/>
              <w:left w:val="nil"/>
              <w:bottom w:val="nil"/>
              <w:right w:val="nil"/>
            </w:tcBorders>
            <w:noWrap w:val="0"/>
            <w:tcMar>
              <w:top w:w="-1" w:type="dxa"/>
              <w:left w:w="-1" w:type="dxa"/>
              <w:bottom w:w="-1" w:type="dxa"/>
              <w:right w:w="-1" w:type="dxa"/>
            </w:tcMar>
            <w:vAlign w:val="center"/>
          </w:tcPr>
          <w:p w14:paraId="329986C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Event day</w:t>
            </w:r>
          </w:p>
        </w:tc>
        <w:tc>
          <w:tcPr>
            <w:tcW w:w="2520" w:type="dxa"/>
            <w:tcBorders>
              <w:top w:val="single" w:color="auto" w:sz="12" w:space="0"/>
              <w:left w:val="nil"/>
              <w:bottom w:val="nil"/>
              <w:right w:val="nil"/>
            </w:tcBorders>
            <w:noWrap w:val="0"/>
            <w:tcMar>
              <w:top w:w="-1" w:type="dxa"/>
              <w:left w:w="-1" w:type="dxa"/>
              <w:bottom w:w="-1" w:type="dxa"/>
              <w:right w:w="-1" w:type="dxa"/>
            </w:tcMar>
            <w:vAlign w:val="center"/>
          </w:tcPr>
          <w:p w14:paraId="278965CF">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Subtype</w:t>
            </w:r>
          </w:p>
        </w:tc>
        <w:tc>
          <w:tcPr>
            <w:tcW w:w="950" w:type="dxa"/>
            <w:tcBorders>
              <w:top w:val="single" w:color="auto" w:sz="12" w:space="0"/>
              <w:left w:val="nil"/>
              <w:bottom w:val="nil"/>
              <w:right w:val="nil"/>
            </w:tcBorders>
            <w:noWrap w:val="0"/>
            <w:tcMar>
              <w:top w:w="-1" w:type="dxa"/>
              <w:left w:w="-1" w:type="dxa"/>
              <w:bottom w:w="-1" w:type="dxa"/>
              <w:right w:w="-1" w:type="dxa"/>
            </w:tcMar>
            <w:vAlign w:val="center"/>
          </w:tcPr>
          <w:p w14:paraId="2972E74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TSH</w:t>
            </w:r>
          </w:p>
        </w:tc>
        <w:tc>
          <w:tcPr>
            <w:tcW w:w="950" w:type="dxa"/>
            <w:tcBorders>
              <w:top w:val="single" w:color="auto" w:sz="12" w:space="0"/>
              <w:left w:val="nil"/>
              <w:bottom w:val="nil"/>
              <w:right w:val="nil"/>
            </w:tcBorders>
            <w:noWrap w:val="0"/>
            <w:tcMar>
              <w:top w:w="-1" w:type="dxa"/>
              <w:left w:w="-1" w:type="dxa"/>
              <w:bottom w:w="-1" w:type="dxa"/>
              <w:right w:w="-1" w:type="dxa"/>
            </w:tcMar>
            <w:vAlign w:val="center"/>
          </w:tcPr>
          <w:p w14:paraId="663927A9">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FT4</w:t>
            </w:r>
          </w:p>
        </w:tc>
        <w:tc>
          <w:tcPr>
            <w:tcW w:w="950" w:type="dxa"/>
            <w:tcBorders>
              <w:top w:val="single" w:color="auto" w:sz="12" w:space="0"/>
              <w:left w:val="nil"/>
              <w:bottom w:val="nil"/>
              <w:right w:val="nil"/>
            </w:tcBorders>
            <w:noWrap w:val="0"/>
            <w:tcMar>
              <w:top w:w="-1" w:type="dxa"/>
              <w:left w:w="-1" w:type="dxa"/>
              <w:bottom w:w="-1" w:type="dxa"/>
              <w:right w:w="-1" w:type="dxa"/>
            </w:tcMar>
            <w:vAlign w:val="center"/>
          </w:tcPr>
          <w:p w14:paraId="2FD5F9EB">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FT3</w:t>
            </w:r>
          </w:p>
        </w:tc>
        <w:tc>
          <w:tcPr>
            <w:tcW w:w="2131" w:type="dxa"/>
            <w:tcBorders>
              <w:top w:val="single" w:color="auto" w:sz="12" w:space="0"/>
              <w:left w:val="nil"/>
              <w:bottom w:val="nil"/>
              <w:right w:val="nil"/>
            </w:tcBorders>
            <w:noWrap w:val="0"/>
            <w:tcMar>
              <w:top w:w="-1" w:type="dxa"/>
              <w:left w:w="-1" w:type="dxa"/>
              <w:bottom w:w="-1" w:type="dxa"/>
              <w:right w:w="-1" w:type="dxa"/>
            </w:tcMar>
            <w:vAlign w:val="center"/>
          </w:tcPr>
          <w:p w14:paraId="760773B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Repeat TSH day/value</w:t>
            </w:r>
          </w:p>
        </w:tc>
        <w:tc>
          <w:tcPr>
            <w:tcW w:w="1872" w:type="dxa"/>
            <w:tcBorders>
              <w:top w:val="single" w:color="auto" w:sz="12" w:space="0"/>
              <w:left w:val="nil"/>
              <w:bottom w:val="nil"/>
              <w:right w:val="nil"/>
            </w:tcBorders>
            <w:noWrap w:val="0"/>
            <w:tcMar>
              <w:top w:w="-1" w:type="dxa"/>
              <w:left w:w="-1" w:type="dxa"/>
              <w:bottom w:w="-1" w:type="dxa"/>
              <w:right w:w="-1" w:type="dxa"/>
            </w:tcMar>
            <w:vAlign w:val="center"/>
          </w:tcPr>
          <w:p w14:paraId="69808A22">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Trajectory hypo day</w:t>
            </w:r>
          </w:p>
        </w:tc>
        <w:tc>
          <w:tcPr>
            <w:tcW w:w="2966" w:type="dxa"/>
            <w:tcBorders>
              <w:top w:val="single" w:color="auto" w:sz="12" w:space="0"/>
              <w:left w:val="nil"/>
              <w:bottom w:val="nil"/>
              <w:right w:val="nil"/>
            </w:tcBorders>
            <w:noWrap w:val="0"/>
            <w:tcMar>
              <w:top w:w="-1" w:type="dxa"/>
              <w:left w:w="-1" w:type="dxa"/>
              <w:bottom w:w="-1" w:type="dxa"/>
              <w:right w:w="-1" w:type="dxa"/>
            </w:tcMar>
            <w:vAlign w:val="center"/>
          </w:tcPr>
          <w:p w14:paraId="4A98D8B1">
            <w:pPr>
              <w:keepNext/>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color w:val="000000"/>
                <w:sz w:val="18"/>
                <w:szCs w:val="18"/>
              </w:rPr>
              <w:t>Later tests / last gap</w:t>
            </w:r>
          </w:p>
        </w:tc>
      </w:tr>
      <w:tr w14:paraId="382151C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single" w:color="auto" w:sz="4" w:space="0"/>
              <w:left w:val="nil"/>
              <w:bottom w:val="nil"/>
              <w:right w:val="nil"/>
            </w:tcBorders>
            <w:noWrap w:val="0"/>
            <w:tcMar>
              <w:top w:w="-1" w:type="dxa"/>
              <w:left w:w="-1" w:type="dxa"/>
              <w:bottom w:w="-1" w:type="dxa"/>
              <w:right w:w="-1" w:type="dxa"/>
            </w:tcMar>
            <w:vAlign w:val="center"/>
          </w:tcPr>
          <w:p w14:paraId="55D8638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E01</w:t>
            </w:r>
          </w:p>
        </w:tc>
        <w:tc>
          <w:tcPr>
            <w:tcW w:w="864" w:type="dxa"/>
            <w:tcBorders>
              <w:top w:val="single" w:color="auto" w:sz="4" w:space="0"/>
              <w:left w:val="nil"/>
              <w:bottom w:val="nil"/>
              <w:right w:val="nil"/>
            </w:tcBorders>
            <w:noWrap w:val="0"/>
            <w:tcMar>
              <w:top w:w="-1" w:type="dxa"/>
              <w:left w:w="-1" w:type="dxa"/>
              <w:bottom w:w="-1" w:type="dxa"/>
              <w:right w:w="-1" w:type="dxa"/>
            </w:tcMar>
            <w:vAlign w:val="center"/>
          </w:tcPr>
          <w:p w14:paraId="28C12F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single" w:color="auto" w:sz="4" w:space="0"/>
              <w:left w:val="nil"/>
              <w:bottom w:val="nil"/>
              <w:right w:val="nil"/>
            </w:tcBorders>
            <w:noWrap w:val="0"/>
            <w:tcMar>
              <w:top w:w="-1" w:type="dxa"/>
              <w:left w:w="-1" w:type="dxa"/>
              <w:bottom w:w="-1" w:type="dxa"/>
              <w:right w:w="-1" w:type="dxa"/>
            </w:tcMar>
            <w:vAlign w:val="center"/>
          </w:tcPr>
          <w:p w14:paraId="09BD0A8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w:t>
            </w:r>
          </w:p>
        </w:tc>
        <w:tc>
          <w:tcPr>
            <w:tcW w:w="2520" w:type="dxa"/>
            <w:tcBorders>
              <w:top w:val="single" w:color="auto" w:sz="4" w:space="0"/>
              <w:left w:val="nil"/>
              <w:bottom w:val="nil"/>
              <w:right w:val="nil"/>
            </w:tcBorders>
            <w:noWrap w:val="0"/>
            <w:tcMar>
              <w:top w:w="-1" w:type="dxa"/>
              <w:left w:w="-1" w:type="dxa"/>
              <w:bottom w:w="-1" w:type="dxa"/>
              <w:right w:w="-1" w:type="dxa"/>
            </w:tcMar>
            <w:vAlign w:val="center"/>
          </w:tcPr>
          <w:p w14:paraId="21E558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single" w:color="auto" w:sz="4" w:space="0"/>
              <w:left w:val="nil"/>
              <w:bottom w:val="nil"/>
              <w:right w:val="nil"/>
            </w:tcBorders>
            <w:noWrap w:val="0"/>
            <w:tcMar>
              <w:top w:w="-1" w:type="dxa"/>
              <w:left w:w="-1" w:type="dxa"/>
              <w:bottom w:w="-1" w:type="dxa"/>
              <w:right w:w="-1" w:type="dxa"/>
            </w:tcMar>
            <w:vAlign w:val="center"/>
          </w:tcPr>
          <w:p w14:paraId="4E0E681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12.19</w:t>
            </w:r>
          </w:p>
        </w:tc>
        <w:tc>
          <w:tcPr>
            <w:tcW w:w="950" w:type="dxa"/>
            <w:tcBorders>
              <w:top w:val="single" w:color="auto" w:sz="4" w:space="0"/>
              <w:left w:val="nil"/>
              <w:bottom w:val="nil"/>
              <w:right w:val="nil"/>
            </w:tcBorders>
            <w:noWrap w:val="0"/>
            <w:tcMar>
              <w:top w:w="-1" w:type="dxa"/>
              <w:left w:w="-1" w:type="dxa"/>
              <w:bottom w:w="-1" w:type="dxa"/>
              <w:right w:w="-1" w:type="dxa"/>
            </w:tcMar>
            <w:vAlign w:val="center"/>
          </w:tcPr>
          <w:p w14:paraId="6336C6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11.41</w:t>
            </w:r>
          </w:p>
        </w:tc>
        <w:tc>
          <w:tcPr>
            <w:tcW w:w="950" w:type="dxa"/>
            <w:tcBorders>
              <w:top w:val="single" w:color="auto" w:sz="4" w:space="0"/>
              <w:left w:val="nil"/>
              <w:bottom w:val="nil"/>
              <w:right w:val="nil"/>
            </w:tcBorders>
            <w:noWrap w:val="0"/>
            <w:tcMar>
              <w:top w:w="-1" w:type="dxa"/>
              <w:left w:w="-1" w:type="dxa"/>
              <w:bottom w:w="-1" w:type="dxa"/>
              <w:right w:w="-1" w:type="dxa"/>
            </w:tcMar>
            <w:vAlign w:val="center"/>
          </w:tcPr>
          <w:p w14:paraId="23B84DC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2.61</w:t>
            </w:r>
          </w:p>
        </w:tc>
        <w:tc>
          <w:tcPr>
            <w:tcW w:w="2131" w:type="dxa"/>
            <w:tcBorders>
              <w:top w:val="single" w:color="auto" w:sz="4" w:space="0"/>
              <w:left w:val="nil"/>
              <w:bottom w:val="nil"/>
              <w:right w:val="nil"/>
            </w:tcBorders>
            <w:noWrap w:val="0"/>
            <w:tcMar>
              <w:top w:w="-1" w:type="dxa"/>
              <w:left w:w="-1" w:type="dxa"/>
              <w:bottom w:w="-1" w:type="dxa"/>
              <w:right w:w="-1" w:type="dxa"/>
            </w:tcMar>
            <w:vAlign w:val="center"/>
          </w:tcPr>
          <w:p w14:paraId="7D6E9EC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41 / 11.29</w:t>
            </w:r>
          </w:p>
        </w:tc>
        <w:tc>
          <w:tcPr>
            <w:tcW w:w="1872" w:type="dxa"/>
            <w:tcBorders>
              <w:top w:val="single" w:color="auto" w:sz="4" w:space="0"/>
              <w:left w:val="nil"/>
              <w:bottom w:val="nil"/>
              <w:right w:val="nil"/>
            </w:tcBorders>
            <w:noWrap w:val="0"/>
            <w:tcMar>
              <w:top w:w="-1" w:type="dxa"/>
              <w:left w:w="-1" w:type="dxa"/>
              <w:bottom w:w="-1" w:type="dxa"/>
              <w:right w:w="-1" w:type="dxa"/>
            </w:tcMar>
            <w:vAlign w:val="center"/>
          </w:tcPr>
          <w:p w14:paraId="3AC634D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single" w:color="auto" w:sz="4" w:space="0"/>
              <w:left w:val="nil"/>
              <w:bottom w:val="nil"/>
              <w:right w:val="nil"/>
            </w:tcBorders>
            <w:noWrap w:val="0"/>
            <w:tcMar>
              <w:top w:w="-1" w:type="dxa"/>
              <w:left w:w="-1" w:type="dxa"/>
              <w:bottom w:w="-1" w:type="dxa"/>
              <w:right w:w="-1" w:type="dxa"/>
            </w:tcMar>
            <w:vAlign w:val="center"/>
          </w:tcPr>
          <w:p w14:paraId="2C8786D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 / 75</w:t>
            </w:r>
          </w:p>
        </w:tc>
      </w:tr>
      <w:tr w14:paraId="7543570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2535E7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E02</w:t>
            </w:r>
          </w:p>
        </w:tc>
        <w:tc>
          <w:tcPr>
            <w:tcW w:w="864" w:type="dxa"/>
            <w:tcBorders>
              <w:top w:val="nil"/>
              <w:left w:val="nil"/>
              <w:bottom w:val="nil"/>
              <w:right w:val="nil"/>
            </w:tcBorders>
            <w:noWrap w:val="0"/>
            <w:tcMar>
              <w:top w:w="-1" w:type="dxa"/>
              <w:left w:w="-1" w:type="dxa"/>
              <w:bottom w:w="-1" w:type="dxa"/>
              <w:right w:w="-1" w:type="dxa"/>
            </w:tcMar>
            <w:vAlign w:val="center"/>
          </w:tcPr>
          <w:p w14:paraId="09581D2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07AFFC3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w:t>
            </w:r>
          </w:p>
        </w:tc>
        <w:tc>
          <w:tcPr>
            <w:tcW w:w="2520" w:type="dxa"/>
            <w:tcBorders>
              <w:top w:val="nil"/>
              <w:left w:val="nil"/>
              <w:bottom w:val="nil"/>
              <w:right w:val="nil"/>
            </w:tcBorders>
            <w:noWrap w:val="0"/>
            <w:tcMar>
              <w:top w:w="-1" w:type="dxa"/>
              <w:left w:w="-1" w:type="dxa"/>
              <w:bottom w:w="-1" w:type="dxa"/>
              <w:right w:w="-1" w:type="dxa"/>
            </w:tcMar>
            <w:vAlign w:val="center"/>
          </w:tcPr>
          <w:p w14:paraId="7264E68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0D791F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8.55</w:t>
            </w:r>
          </w:p>
        </w:tc>
        <w:tc>
          <w:tcPr>
            <w:tcW w:w="950" w:type="dxa"/>
            <w:tcBorders>
              <w:top w:val="nil"/>
              <w:left w:val="nil"/>
              <w:bottom w:val="nil"/>
              <w:right w:val="nil"/>
            </w:tcBorders>
            <w:noWrap w:val="0"/>
            <w:tcMar>
              <w:top w:w="-1" w:type="dxa"/>
              <w:left w:w="-1" w:type="dxa"/>
              <w:bottom w:w="-1" w:type="dxa"/>
              <w:right w:w="-1" w:type="dxa"/>
            </w:tcMar>
            <w:vAlign w:val="center"/>
          </w:tcPr>
          <w:p w14:paraId="0D869ED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12.14</w:t>
            </w:r>
          </w:p>
        </w:tc>
        <w:tc>
          <w:tcPr>
            <w:tcW w:w="950" w:type="dxa"/>
            <w:tcBorders>
              <w:top w:val="nil"/>
              <w:left w:val="nil"/>
              <w:bottom w:val="nil"/>
              <w:right w:val="nil"/>
            </w:tcBorders>
            <w:noWrap w:val="0"/>
            <w:tcMar>
              <w:top w:w="-1" w:type="dxa"/>
              <w:left w:w="-1" w:type="dxa"/>
              <w:bottom w:w="-1" w:type="dxa"/>
              <w:right w:w="-1" w:type="dxa"/>
            </w:tcMar>
            <w:vAlign w:val="center"/>
          </w:tcPr>
          <w:p w14:paraId="55F2DB9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4.28</w:t>
            </w:r>
          </w:p>
        </w:tc>
        <w:tc>
          <w:tcPr>
            <w:tcW w:w="2131" w:type="dxa"/>
            <w:tcBorders>
              <w:top w:val="nil"/>
              <w:left w:val="nil"/>
              <w:bottom w:val="nil"/>
              <w:right w:val="nil"/>
            </w:tcBorders>
            <w:noWrap w:val="0"/>
            <w:tcMar>
              <w:top w:w="-1" w:type="dxa"/>
              <w:left w:w="-1" w:type="dxa"/>
              <w:bottom w:w="-1" w:type="dxa"/>
              <w:right w:w="-1" w:type="dxa"/>
            </w:tcMar>
            <w:vAlign w:val="center"/>
          </w:tcPr>
          <w:p w14:paraId="3164EDF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41 / 5.65</w:t>
            </w:r>
          </w:p>
        </w:tc>
        <w:tc>
          <w:tcPr>
            <w:tcW w:w="1872" w:type="dxa"/>
            <w:tcBorders>
              <w:top w:val="nil"/>
              <w:left w:val="nil"/>
              <w:bottom w:val="nil"/>
              <w:right w:val="nil"/>
            </w:tcBorders>
            <w:noWrap w:val="0"/>
            <w:tcMar>
              <w:top w:w="-1" w:type="dxa"/>
              <w:left w:w="-1" w:type="dxa"/>
              <w:bottom w:w="-1" w:type="dxa"/>
              <w:right w:w="-1" w:type="dxa"/>
            </w:tcMar>
            <w:vAlign w:val="center"/>
          </w:tcPr>
          <w:p w14:paraId="523D123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3503DB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 / 116</w:t>
            </w:r>
          </w:p>
        </w:tc>
      </w:tr>
      <w:tr w14:paraId="5C08931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22C39C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E03</w:t>
            </w:r>
          </w:p>
        </w:tc>
        <w:tc>
          <w:tcPr>
            <w:tcW w:w="864" w:type="dxa"/>
            <w:tcBorders>
              <w:top w:val="nil"/>
              <w:left w:val="nil"/>
              <w:bottom w:val="nil"/>
              <w:right w:val="nil"/>
            </w:tcBorders>
            <w:noWrap w:val="0"/>
            <w:tcMar>
              <w:top w:w="-1" w:type="dxa"/>
              <w:left w:w="-1" w:type="dxa"/>
              <w:bottom w:w="-1" w:type="dxa"/>
              <w:right w:w="-1" w:type="dxa"/>
            </w:tcMar>
            <w:vAlign w:val="center"/>
          </w:tcPr>
          <w:p w14:paraId="0778D46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008" w:type="dxa"/>
            <w:tcBorders>
              <w:top w:val="nil"/>
              <w:left w:val="nil"/>
              <w:bottom w:val="nil"/>
              <w:right w:val="nil"/>
            </w:tcBorders>
            <w:noWrap w:val="0"/>
            <w:tcMar>
              <w:top w:w="-1" w:type="dxa"/>
              <w:left w:w="-1" w:type="dxa"/>
              <w:bottom w:w="-1" w:type="dxa"/>
              <w:right w:w="-1" w:type="dxa"/>
            </w:tcMar>
            <w:vAlign w:val="center"/>
          </w:tcPr>
          <w:p w14:paraId="4498500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w:t>
            </w:r>
          </w:p>
        </w:tc>
        <w:tc>
          <w:tcPr>
            <w:tcW w:w="2520" w:type="dxa"/>
            <w:tcBorders>
              <w:top w:val="nil"/>
              <w:left w:val="nil"/>
              <w:bottom w:val="nil"/>
              <w:right w:val="nil"/>
            </w:tcBorders>
            <w:noWrap w:val="0"/>
            <w:tcMar>
              <w:top w:w="-1" w:type="dxa"/>
              <w:left w:w="-1" w:type="dxa"/>
              <w:bottom w:w="-1" w:type="dxa"/>
              <w:right w:w="-1" w:type="dxa"/>
            </w:tcMar>
            <w:vAlign w:val="center"/>
          </w:tcPr>
          <w:p w14:paraId="7DD8F1D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1C2E53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w:t>
            </w:r>
          </w:p>
        </w:tc>
        <w:tc>
          <w:tcPr>
            <w:tcW w:w="950" w:type="dxa"/>
            <w:tcBorders>
              <w:top w:val="nil"/>
              <w:left w:val="nil"/>
              <w:bottom w:val="nil"/>
              <w:right w:val="nil"/>
            </w:tcBorders>
            <w:noWrap w:val="0"/>
            <w:tcMar>
              <w:top w:w="-1" w:type="dxa"/>
              <w:left w:w="-1" w:type="dxa"/>
              <w:bottom w:w="-1" w:type="dxa"/>
              <w:right w:w="-1" w:type="dxa"/>
            </w:tcMar>
            <w:vAlign w:val="center"/>
          </w:tcPr>
          <w:p w14:paraId="720C571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51</w:t>
            </w:r>
          </w:p>
        </w:tc>
        <w:tc>
          <w:tcPr>
            <w:tcW w:w="950" w:type="dxa"/>
            <w:tcBorders>
              <w:top w:val="nil"/>
              <w:left w:val="nil"/>
              <w:bottom w:val="nil"/>
              <w:right w:val="nil"/>
            </w:tcBorders>
            <w:noWrap w:val="0"/>
            <w:tcMar>
              <w:top w:w="-1" w:type="dxa"/>
              <w:left w:w="-1" w:type="dxa"/>
              <w:bottom w:w="-1" w:type="dxa"/>
              <w:right w:w="-1" w:type="dxa"/>
            </w:tcMar>
            <w:vAlign w:val="center"/>
          </w:tcPr>
          <w:p w14:paraId="77010BC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16.4</w:t>
            </w:r>
          </w:p>
        </w:tc>
        <w:tc>
          <w:tcPr>
            <w:tcW w:w="2131" w:type="dxa"/>
            <w:tcBorders>
              <w:top w:val="nil"/>
              <w:left w:val="nil"/>
              <w:bottom w:val="nil"/>
              <w:right w:val="nil"/>
            </w:tcBorders>
            <w:noWrap w:val="0"/>
            <w:tcMar>
              <w:top w:w="-1" w:type="dxa"/>
              <w:left w:w="-1" w:type="dxa"/>
              <w:bottom w:w="-1" w:type="dxa"/>
              <w:right w:w="-1" w:type="dxa"/>
            </w:tcMar>
            <w:vAlign w:val="center"/>
          </w:tcPr>
          <w:p w14:paraId="459C580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3B05DC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0AD2EE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2D81DE7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37CB32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E04</w:t>
            </w:r>
          </w:p>
        </w:tc>
        <w:tc>
          <w:tcPr>
            <w:tcW w:w="864" w:type="dxa"/>
            <w:tcBorders>
              <w:top w:val="nil"/>
              <w:left w:val="nil"/>
              <w:bottom w:val="nil"/>
              <w:right w:val="nil"/>
            </w:tcBorders>
            <w:noWrap w:val="0"/>
            <w:tcMar>
              <w:top w:w="-1" w:type="dxa"/>
              <w:left w:w="-1" w:type="dxa"/>
              <w:bottom w:w="-1" w:type="dxa"/>
              <w:right w:w="-1" w:type="dxa"/>
            </w:tcMar>
            <w:vAlign w:val="center"/>
          </w:tcPr>
          <w:p w14:paraId="09A0CD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592845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w:t>
            </w:r>
          </w:p>
        </w:tc>
        <w:tc>
          <w:tcPr>
            <w:tcW w:w="2520" w:type="dxa"/>
            <w:tcBorders>
              <w:top w:val="nil"/>
              <w:left w:val="nil"/>
              <w:bottom w:val="nil"/>
              <w:right w:val="nil"/>
            </w:tcBorders>
            <w:noWrap w:val="0"/>
            <w:tcMar>
              <w:top w:w="-1" w:type="dxa"/>
              <w:left w:w="-1" w:type="dxa"/>
              <w:bottom w:w="-1" w:type="dxa"/>
              <w:right w:w="-1" w:type="dxa"/>
            </w:tcMar>
            <w:vAlign w:val="center"/>
          </w:tcPr>
          <w:p w14:paraId="4ED6C6C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Supported TSH&gt;10</w:t>
            </w:r>
          </w:p>
        </w:tc>
        <w:tc>
          <w:tcPr>
            <w:tcW w:w="950" w:type="dxa"/>
            <w:tcBorders>
              <w:top w:val="nil"/>
              <w:left w:val="nil"/>
              <w:bottom w:val="nil"/>
              <w:right w:val="nil"/>
            </w:tcBorders>
            <w:noWrap w:val="0"/>
            <w:tcMar>
              <w:top w:w="-1" w:type="dxa"/>
              <w:left w:w="-1" w:type="dxa"/>
              <w:bottom w:w="-1" w:type="dxa"/>
              <w:right w:w="-1" w:type="dxa"/>
            </w:tcMar>
            <w:vAlign w:val="center"/>
          </w:tcPr>
          <w:p w14:paraId="7B368D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11.63</w:t>
            </w:r>
          </w:p>
        </w:tc>
        <w:tc>
          <w:tcPr>
            <w:tcW w:w="950" w:type="dxa"/>
            <w:tcBorders>
              <w:top w:val="nil"/>
              <w:left w:val="nil"/>
              <w:bottom w:val="nil"/>
              <w:right w:val="nil"/>
            </w:tcBorders>
            <w:noWrap w:val="0"/>
            <w:tcMar>
              <w:top w:w="-1" w:type="dxa"/>
              <w:left w:w="-1" w:type="dxa"/>
              <w:bottom w:w="-1" w:type="dxa"/>
              <w:right w:w="-1" w:type="dxa"/>
            </w:tcMar>
            <w:vAlign w:val="center"/>
          </w:tcPr>
          <w:p w14:paraId="758AEF0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14.61</w:t>
            </w:r>
          </w:p>
        </w:tc>
        <w:tc>
          <w:tcPr>
            <w:tcW w:w="950" w:type="dxa"/>
            <w:tcBorders>
              <w:top w:val="nil"/>
              <w:left w:val="nil"/>
              <w:bottom w:val="nil"/>
              <w:right w:val="nil"/>
            </w:tcBorders>
            <w:noWrap w:val="0"/>
            <w:tcMar>
              <w:top w:w="-1" w:type="dxa"/>
              <w:left w:w="-1" w:type="dxa"/>
              <w:bottom w:w="-1" w:type="dxa"/>
              <w:right w:w="-1" w:type="dxa"/>
            </w:tcMar>
            <w:vAlign w:val="center"/>
          </w:tcPr>
          <w:p w14:paraId="1EB656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3.57</w:t>
            </w:r>
          </w:p>
        </w:tc>
        <w:tc>
          <w:tcPr>
            <w:tcW w:w="2131" w:type="dxa"/>
            <w:tcBorders>
              <w:top w:val="nil"/>
              <w:left w:val="nil"/>
              <w:bottom w:val="nil"/>
              <w:right w:val="nil"/>
            </w:tcBorders>
            <w:noWrap w:val="0"/>
            <w:tcMar>
              <w:top w:w="-1" w:type="dxa"/>
              <w:left w:w="-1" w:type="dxa"/>
              <w:bottom w:w="-1" w:type="dxa"/>
              <w:right w:w="-1" w:type="dxa"/>
            </w:tcMar>
            <w:vAlign w:val="center"/>
          </w:tcPr>
          <w:p w14:paraId="6523233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41 / 8.92</w:t>
            </w:r>
          </w:p>
        </w:tc>
        <w:tc>
          <w:tcPr>
            <w:tcW w:w="1872" w:type="dxa"/>
            <w:tcBorders>
              <w:top w:val="nil"/>
              <w:left w:val="nil"/>
              <w:bottom w:val="nil"/>
              <w:right w:val="nil"/>
            </w:tcBorders>
            <w:noWrap w:val="0"/>
            <w:tcMar>
              <w:top w:w="-1" w:type="dxa"/>
              <w:left w:w="-1" w:type="dxa"/>
              <w:bottom w:w="-1" w:type="dxa"/>
              <w:right w:w="-1" w:type="dxa"/>
            </w:tcMar>
            <w:vAlign w:val="center"/>
          </w:tcPr>
          <w:p w14:paraId="65D90EF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07C331A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 / 594</w:t>
            </w:r>
          </w:p>
        </w:tc>
      </w:tr>
      <w:tr w14:paraId="0155B7B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1B84280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E05</w:t>
            </w:r>
          </w:p>
        </w:tc>
        <w:tc>
          <w:tcPr>
            <w:tcW w:w="864" w:type="dxa"/>
            <w:tcBorders>
              <w:top w:val="nil"/>
              <w:left w:val="nil"/>
              <w:bottom w:val="nil"/>
              <w:right w:val="nil"/>
            </w:tcBorders>
            <w:noWrap w:val="0"/>
            <w:tcMar>
              <w:top w:w="-1" w:type="dxa"/>
              <w:left w:w="-1" w:type="dxa"/>
              <w:bottom w:w="-1" w:type="dxa"/>
              <w:right w:w="-1" w:type="dxa"/>
            </w:tcMar>
            <w:vAlign w:val="center"/>
          </w:tcPr>
          <w:p w14:paraId="3E167B1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0A922CA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w:t>
            </w:r>
          </w:p>
        </w:tc>
        <w:tc>
          <w:tcPr>
            <w:tcW w:w="2520" w:type="dxa"/>
            <w:tcBorders>
              <w:top w:val="nil"/>
              <w:left w:val="nil"/>
              <w:bottom w:val="nil"/>
              <w:right w:val="nil"/>
            </w:tcBorders>
            <w:noWrap w:val="0"/>
            <w:tcMar>
              <w:top w:w="-1" w:type="dxa"/>
              <w:left w:w="-1" w:type="dxa"/>
              <w:bottom w:w="-1" w:type="dxa"/>
              <w:right w:w="-1" w:type="dxa"/>
            </w:tcMar>
            <w:vAlign w:val="center"/>
          </w:tcPr>
          <w:p w14:paraId="7891918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2446CCF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0.15</w:t>
            </w:r>
          </w:p>
        </w:tc>
        <w:tc>
          <w:tcPr>
            <w:tcW w:w="950" w:type="dxa"/>
            <w:tcBorders>
              <w:top w:val="nil"/>
              <w:left w:val="nil"/>
              <w:bottom w:val="nil"/>
              <w:right w:val="nil"/>
            </w:tcBorders>
            <w:noWrap w:val="0"/>
            <w:tcMar>
              <w:top w:w="-1" w:type="dxa"/>
              <w:left w:w="-1" w:type="dxa"/>
              <w:bottom w:w="-1" w:type="dxa"/>
              <w:right w:w="-1" w:type="dxa"/>
            </w:tcMar>
            <w:vAlign w:val="center"/>
          </w:tcPr>
          <w:p w14:paraId="472A40A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28.29</w:t>
            </w:r>
          </w:p>
        </w:tc>
        <w:tc>
          <w:tcPr>
            <w:tcW w:w="950" w:type="dxa"/>
            <w:tcBorders>
              <w:top w:val="nil"/>
              <w:left w:val="nil"/>
              <w:bottom w:val="nil"/>
              <w:right w:val="nil"/>
            </w:tcBorders>
            <w:noWrap w:val="0"/>
            <w:tcMar>
              <w:top w:w="-1" w:type="dxa"/>
              <w:left w:w="-1" w:type="dxa"/>
              <w:bottom w:w="-1" w:type="dxa"/>
              <w:right w:w="-1" w:type="dxa"/>
            </w:tcMar>
            <w:vAlign w:val="center"/>
          </w:tcPr>
          <w:p w14:paraId="3238FB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7.48</w:t>
            </w:r>
          </w:p>
        </w:tc>
        <w:tc>
          <w:tcPr>
            <w:tcW w:w="2131" w:type="dxa"/>
            <w:tcBorders>
              <w:top w:val="nil"/>
              <w:left w:val="nil"/>
              <w:bottom w:val="nil"/>
              <w:right w:val="nil"/>
            </w:tcBorders>
            <w:noWrap w:val="0"/>
            <w:tcMar>
              <w:top w:w="-1" w:type="dxa"/>
              <w:left w:w="-1" w:type="dxa"/>
              <w:bottom w:w="-1" w:type="dxa"/>
              <w:right w:w="-1" w:type="dxa"/>
            </w:tcMar>
            <w:vAlign w:val="center"/>
          </w:tcPr>
          <w:p w14:paraId="16850B5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3F12870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A11F67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 / 69</w:t>
            </w:r>
          </w:p>
        </w:tc>
      </w:tr>
      <w:tr w14:paraId="2C871F5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7FCDD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E06</w:t>
            </w:r>
          </w:p>
        </w:tc>
        <w:tc>
          <w:tcPr>
            <w:tcW w:w="864" w:type="dxa"/>
            <w:tcBorders>
              <w:top w:val="nil"/>
              <w:left w:val="nil"/>
              <w:bottom w:val="nil"/>
              <w:right w:val="nil"/>
            </w:tcBorders>
            <w:noWrap w:val="0"/>
            <w:tcMar>
              <w:top w:w="-1" w:type="dxa"/>
              <w:left w:w="-1" w:type="dxa"/>
              <w:bottom w:w="-1" w:type="dxa"/>
              <w:right w:w="-1" w:type="dxa"/>
            </w:tcMar>
            <w:vAlign w:val="center"/>
          </w:tcPr>
          <w:p w14:paraId="1DED296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5D863A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w:t>
            </w:r>
          </w:p>
        </w:tc>
        <w:tc>
          <w:tcPr>
            <w:tcW w:w="2520" w:type="dxa"/>
            <w:tcBorders>
              <w:top w:val="nil"/>
              <w:left w:val="nil"/>
              <w:bottom w:val="nil"/>
              <w:right w:val="nil"/>
            </w:tcBorders>
            <w:noWrap w:val="0"/>
            <w:tcMar>
              <w:top w:w="-1" w:type="dxa"/>
              <w:left w:w="-1" w:type="dxa"/>
              <w:bottom w:w="-1" w:type="dxa"/>
              <w:right w:w="-1" w:type="dxa"/>
            </w:tcMar>
            <w:vAlign w:val="center"/>
          </w:tcPr>
          <w:p w14:paraId="542F483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57E1D5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0.06</w:t>
            </w:r>
          </w:p>
        </w:tc>
        <w:tc>
          <w:tcPr>
            <w:tcW w:w="950" w:type="dxa"/>
            <w:tcBorders>
              <w:top w:val="nil"/>
              <w:left w:val="nil"/>
              <w:bottom w:val="nil"/>
              <w:right w:val="nil"/>
            </w:tcBorders>
            <w:noWrap w:val="0"/>
            <w:tcMar>
              <w:top w:w="-1" w:type="dxa"/>
              <w:left w:w="-1" w:type="dxa"/>
              <w:bottom w:w="-1" w:type="dxa"/>
              <w:right w:w="-1" w:type="dxa"/>
            </w:tcMar>
            <w:vAlign w:val="center"/>
          </w:tcPr>
          <w:p w14:paraId="4BBD923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36.6</w:t>
            </w:r>
          </w:p>
        </w:tc>
        <w:tc>
          <w:tcPr>
            <w:tcW w:w="950" w:type="dxa"/>
            <w:tcBorders>
              <w:top w:val="nil"/>
              <w:left w:val="nil"/>
              <w:bottom w:val="nil"/>
              <w:right w:val="nil"/>
            </w:tcBorders>
            <w:noWrap w:val="0"/>
            <w:tcMar>
              <w:top w:w="-1" w:type="dxa"/>
              <w:left w:w="-1" w:type="dxa"/>
              <w:bottom w:w="-1" w:type="dxa"/>
              <w:right w:w="-1" w:type="dxa"/>
            </w:tcMar>
            <w:vAlign w:val="center"/>
          </w:tcPr>
          <w:p w14:paraId="352854F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10.5</w:t>
            </w:r>
          </w:p>
        </w:tc>
        <w:tc>
          <w:tcPr>
            <w:tcW w:w="2131" w:type="dxa"/>
            <w:tcBorders>
              <w:top w:val="nil"/>
              <w:left w:val="nil"/>
              <w:bottom w:val="nil"/>
              <w:right w:val="nil"/>
            </w:tcBorders>
            <w:noWrap w:val="0"/>
            <w:tcMar>
              <w:top w:w="-1" w:type="dxa"/>
              <w:left w:w="-1" w:type="dxa"/>
              <w:bottom w:w="-1" w:type="dxa"/>
              <w:right w:w="-1" w:type="dxa"/>
            </w:tcMar>
            <w:vAlign w:val="center"/>
          </w:tcPr>
          <w:p w14:paraId="4AFC9C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92 / 57</w:t>
            </w:r>
          </w:p>
        </w:tc>
        <w:tc>
          <w:tcPr>
            <w:tcW w:w="1872" w:type="dxa"/>
            <w:tcBorders>
              <w:top w:val="nil"/>
              <w:left w:val="nil"/>
              <w:bottom w:val="nil"/>
              <w:right w:val="nil"/>
            </w:tcBorders>
            <w:noWrap w:val="0"/>
            <w:tcMar>
              <w:top w:w="-1" w:type="dxa"/>
              <w:left w:w="-1" w:type="dxa"/>
              <w:bottom w:w="-1" w:type="dxa"/>
              <w:right w:w="-1" w:type="dxa"/>
            </w:tcMar>
            <w:vAlign w:val="center"/>
          </w:tcPr>
          <w:p w14:paraId="0AB123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92</w:t>
            </w:r>
          </w:p>
        </w:tc>
        <w:tc>
          <w:tcPr>
            <w:tcW w:w="2966" w:type="dxa"/>
            <w:tcBorders>
              <w:top w:val="nil"/>
              <w:left w:val="nil"/>
              <w:bottom w:val="nil"/>
              <w:right w:val="nil"/>
            </w:tcBorders>
            <w:noWrap w:val="0"/>
            <w:tcMar>
              <w:top w:w="-1" w:type="dxa"/>
              <w:left w:w="-1" w:type="dxa"/>
              <w:bottom w:w="-1" w:type="dxa"/>
              <w:right w:w="-1" w:type="dxa"/>
            </w:tcMar>
            <w:vAlign w:val="center"/>
          </w:tcPr>
          <w:p w14:paraId="2A74F7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70</w:t>
            </w:r>
          </w:p>
        </w:tc>
      </w:tr>
      <w:tr w14:paraId="395DE45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7A41B5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E07</w:t>
            </w:r>
          </w:p>
        </w:tc>
        <w:tc>
          <w:tcPr>
            <w:tcW w:w="864" w:type="dxa"/>
            <w:tcBorders>
              <w:top w:val="nil"/>
              <w:left w:val="nil"/>
              <w:bottom w:val="nil"/>
              <w:right w:val="nil"/>
            </w:tcBorders>
            <w:noWrap w:val="0"/>
            <w:tcMar>
              <w:top w:w="-1" w:type="dxa"/>
              <w:left w:w="-1" w:type="dxa"/>
              <w:bottom w:w="-1" w:type="dxa"/>
              <w:right w:w="-1" w:type="dxa"/>
            </w:tcMar>
            <w:vAlign w:val="center"/>
          </w:tcPr>
          <w:p w14:paraId="2501C8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008" w:type="dxa"/>
            <w:tcBorders>
              <w:top w:val="nil"/>
              <w:left w:val="nil"/>
              <w:bottom w:val="nil"/>
              <w:right w:val="nil"/>
            </w:tcBorders>
            <w:noWrap w:val="0"/>
            <w:tcMar>
              <w:top w:w="-1" w:type="dxa"/>
              <w:left w:w="-1" w:type="dxa"/>
              <w:bottom w:w="-1" w:type="dxa"/>
              <w:right w:w="-1" w:type="dxa"/>
            </w:tcMar>
            <w:vAlign w:val="center"/>
          </w:tcPr>
          <w:p w14:paraId="63764D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w:t>
            </w:r>
          </w:p>
        </w:tc>
        <w:tc>
          <w:tcPr>
            <w:tcW w:w="2520" w:type="dxa"/>
            <w:tcBorders>
              <w:top w:val="nil"/>
              <w:left w:val="nil"/>
              <w:bottom w:val="nil"/>
              <w:right w:val="nil"/>
            </w:tcBorders>
            <w:noWrap w:val="0"/>
            <w:tcMar>
              <w:top w:w="-1" w:type="dxa"/>
              <w:left w:w="-1" w:type="dxa"/>
              <w:bottom w:w="-1" w:type="dxa"/>
              <w:right w:w="-1" w:type="dxa"/>
            </w:tcMar>
            <w:vAlign w:val="center"/>
          </w:tcPr>
          <w:p w14:paraId="7FA649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0651A2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w:t>
            </w:r>
          </w:p>
        </w:tc>
        <w:tc>
          <w:tcPr>
            <w:tcW w:w="950" w:type="dxa"/>
            <w:tcBorders>
              <w:top w:val="nil"/>
              <w:left w:val="nil"/>
              <w:bottom w:val="nil"/>
              <w:right w:val="nil"/>
            </w:tcBorders>
            <w:noWrap w:val="0"/>
            <w:tcMar>
              <w:top w:w="-1" w:type="dxa"/>
              <w:left w:w="-1" w:type="dxa"/>
              <w:bottom w:w="-1" w:type="dxa"/>
              <w:right w:w="-1" w:type="dxa"/>
            </w:tcMar>
            <w:vAlign w:val="center"/>
          </w:tcPr>
          <w:p w14:paraId="690C713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w:t>
            </w:r>
          </w:p>
        </w:tc>
        <w:tc>
          <w:tcPr>
            <w:tcW w:w="950" w:type="dxa"/>
            <w:tcBorders>
              <w:top w:val="nil"/>
              <w:left w:val="nil"/>
              <w:bottom w:val="nil"/>
              <w:right w:val="nil"/>
            </w:tcBorders>
            <w:noWrap w:val="0"/>
            <w:tcMar>
              <w:top w:w="-1" w:type="dxa"/>
              <w:left w:w="-1" w:type="dxa"/>
              <w:bottom w:w="-1" w:type="dxa"/>
              <w:right w:w="-1" w:type="dxa"/>
            </w:tcMar>
            <w:vAlign w:val="center"/>
          </w:tcPr>
          <w:p w14:paraId="541849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8.88</w:t>
            </w:r>
          </w:p>
        </w:tc>
        <w:tc>
          <w:tcPr>
            <w:tcW w:w="2131" w:type="dxa"/>
            <w:tcBorders>
              <w:top w:val="nil"/>
              <w:left w:val="nil"/>
              <w:bottom w:val="nil"/>
              <w:right w:val="nil"/>
            </w:tcBorders>
            <w:noWrap w:val="0"/>
            <w:tcMar>
              <w:top w:w="-1" w:type="dxa"/>
              <w:left w:w="-1" w:type="dxa"/>
              <w:bottom w:w="-1" w:type="dxa"/>
              <w:right w:w="-1" w:type="dxa"/>
            </w:tcMar>
            <w:vAlign w:val="center"/>
          </w:tcPr>
          <w:p w14:paraId="0B35F71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108 / 71</w:t>
            </w:r>
          </w:p>
        </w:tc>
        <w:tc>
          <w:tcPr>
            <w:tcW w:w="1872" w:type="dxa"/>
            <w:tcBorders>
              <w:top w:val="nil"/>
              <w:left w:val="nil"/>
              <w:bottom w:val="nil"/>
              <w:right w:val="nil"/>
            </w:tcBorders>
            <w:noWrap w:val="0"/>
            <w:tcMar>
              <w:top w:w="-1" w:type="dxa"/>
              <w:left w:w="-1" w:type="dxa"/>
              <w:bottom w:w="-1" w:type="dxa"/>
              <w:right w:w="-1" w:type="dxa"/>
            </w:tcMar>
            <w:vAlign w:val="center"/>
          </w:tcPr>
          <w:p w14:paraId="389ECA4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108</w:t>
            </w:r>
          </w:p>
        </w:tc>
        <w:tc>
          <w:tcPr>
            <w:tcW w:w="2966" w:type="dxa"/>
            <w:tcBorders>
              <w:top w:val="nil"/>
              <w:left w:val="nil"/>
              <w:bottom w:val="nil"/>
              <w:right w:val="nil"/>
            </w:tcBorders>
            <w:noWrap w:val="0"/>
            <w:tcMar>
              <w:top w:w="-1" w:type="dxa"/>
              <w:left w:w="-1" w:type="dxa"/>
              <w:bottom w:w="-1" w:type="dxa"/>
              <w:right w:w="-1" w:type="dxa"/>
            </w:tcMar>
            <w:vAlign w:val="center"/>
          </w:tcPr>
          <w:p w14:paraId="0378B6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 / 84</w:t>
            </w:r>
          </w:p>
        </w:tc>
      </w:tr>
      <w:tr w14:paraId="4BD1806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7B57841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E08</w:t>
            </w:r>
          </w:p>
        </w:tc>
        <w:tc>
          <w:tcPr>
            <w:tcW w:w="864" w:type="dxa"/>
            <w:tcBorders>
              <w:top w:val="nil"/>
              <w:left w:val="nil"/>
              <w:bottom w:val="nil"/>
              <w:right w:val="nil"/>
            </w:tcBorders>
            <w:noWrap w:val="0"/>
            <w:tcMar>
              <w:top w:w="-1" w:type="dxa"/>
              <w:left w:w="-1" w:type="dxa"/>
              <w:bottom w:w="-1" w:type="dxa"/>
              <w:right w:w="-1" w:type="dxa"/>
            </w:tcMar>
            <w:vAlign w:val="center"/>
          </w:tcPr>
          <w:p w14:paraId="5C9166A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DAFBDA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w:t>
            </w:r>
          </w:p>
        </w:tc>
        <w:tc>
          <w:tcPr>
            <w:tcW w:w="2520" w:type="dxa"/>
            <w:tcBorders>
              <w:top w:val="nil"/>
              <w:left w:val="nil"/>
              <w:bottom w:val="nil"/>
              <w:right w:val="nil"/>
            </w:tcBorders>
            <w:noWrap w:val="0"/>
            <w:tcMar>
              <w:top w:w="-1" w:type="dxa"/>
              <w:left w:w="-1" w:type="dxa"/>
              <w:bottom w:w="-1" w:type="dxa"/>
              <w:right w:w="-1" w:type="dxa"/>
            </w:tcMar>
            <w:vAlign w:val="center"/>
          </w:tcPr>
          <w:p w14:paraId="558C5E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07730D6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7.94</w:t>
            </w:r>
          </w:p>
        </w:tc>
        <w:tc>
          <w:tcPr>
            <w:tcW w:w="950" w:type="dxa"/>
            <w:tcBorders>
              <w:top w:val="nil"/>
              <w:left w:val="nil"/>
              <w:bottom w:val="nil"/>
              <w:right w:val="nil"/>
            </w:tcBorders>
            <w:noWrap w:val="0"/>
            <w:tcMar>
              <w:top w:w="-1" w:type="dxa"/>
              <w:left w:w="-1" w:type="dxa"/>
              <w:bottom w:w="-1" w:type="dxa"/>
              <w:right w:w="-1" w:type="dxa"/>
            </w:tcMar>
            <w:vAlign w:val="center"/>
          </w:tcPr>
          <w:p w14:paraId="4AECEF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12.7</w:t>
            </w:r>
          </w:p>
        </w:tc>
        <w:tc>
          <w:tcPr>
            <w:tcW w:w="950" w:type="dxa"/>
            <w:tcBorders>
              <w:top w:val="nil"/>
              <w:left w:val="nil"/>
              <w:bottom w:val="nil"/>
              <w:right w:val="nil"/>
            </w:tcBorders>
            <w:noWrap w:val="0"/>
            <w:tcMar>
              <w:top w:w="-1" w:type="dxa"/>
              <w:left w:w="-1" w:type="dxa"/>
              <w:bottom w:w="-1" w:type="dxa"/>
              <w:right w:w="-1" w:type="dxa"/>
            </w:tcMar>
            <w:vAlign w:val="center"/>
          </w:tcPr>
          <w:p w14:paraId="5AFDE7A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2.75</w:t>
            </w:r>
          </w:p>
        </w:tc>
        <w:tc>
          <w:tcPr>
            <w:tcW w:w="2131" w:type="dxa"/>
            <w:tcBorders>
              <w:top w:val="nil"/>
              <w:left w:val="nil"/>
              <w:bottom w:val="nil"/>
              <w:right w:val="nil"/>
            </w:tcBorders>
            <w:noWrap w:val="0"/>
            <w:tcMar>
              <w:top w:w="-1" w:type="dxa"/>
              <w:left w:w="-1" w:type="dxa"/>
              <w:bottom w:w="-1" w:type="dxa"/>
              <w:right w:w="-1" w:type="dxa"/>
            </w:tcMar>
            <w:vAlign w:val="center"/>
          </w:tcPr>
          <w:p w14:paraId="345C9C4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1F4BB8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2E46F6B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 / 139</w:t>
            </w:r>
          </w:p>
        </w:tc>
      </w:tr>
      <w:tr w14:paraId="47C9C43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469B125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E09</w:t>
            </w:r>
          </w:p>
        </w:tc>
        <w:tc>
          <w:tcPr>
            <w:tcW w:w="864" w:type="dxa"/>
            <w:tcBorders>
              <w:top w:val="nil"/>
              <w:left w:val="nil"/>
              <w:bottom w:val="nil"/>
              <w:right w:val="nil"/>
            </w:tcBorders>
            <w:noWrap w:val="0"/>
            <w:tcMar>
              <w:top w:w="-1" w:type="dxa"/>
              <w:left w:w="-1" w:type="dxa"/>
              <w:bottom w:w="-1" w:type="dxa"/>
              <w:right w:w="-1" w:type="dxa"/>
            </w:tcMar>
            <w:vAlign w:val="center"/>
          </w:tcPr>
          <w:p w14:paraId="67FBC93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0C672F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w:t>
            </w:r>
          </w:p>
        </w:tc>
        <w:tc>
          <w:tcPr>
            <w:tcW w:w="2520" w:type="dxa"/>
            <w:tcBorders>
              <w:top w:val="nil"/>
              <w:left w:val="nil"/>
              <w:bottom w:val="nil"/>
              <w:right w:val="nil"/>
            </w:tcBorders>
            <w:noWrap w:val="0"/>
            <w:tcMar>
              <w:top w:w="-1" w:type="dxa"/>
              <w:left w:w="-1" w:type="dxa"/>
              <w:bottom w:w="-1" w:type="dxa"/>
              <w:right w:w="-1" w:type="dxa"/>
            </w:tcMar>
            <w:vAlign w:val="center"/>
          </w:tcPr>
          <w:p w14:paraId="3C73F75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5633CA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12.3</w:t>
            </w:r>
          </w:p>
        </w:tc>
        <w:tc>
          <w:tcPr>
            <w:tcW w:w="950" w:type="dxa"/>
            <w:tcBorders>
              <w:top w:val="nil"/>
              <w:left w:val="nil"/>
              <w:bottom w:val="nil"/>
              <w:right w:val="nil"/>
            </w:tcBorders>
            <w:noWrap w:val="0"/>
            <w:tcMar>
              <w:top w:w="-1" w:type="dxa"/>
              <w:left w:w="-1" w:type="dxa"/>
              <w:bottom w:w="-1" w:type="dxa"/>
              <w:right w:w="-1" w:type="dxa"/>
            </w:tcMar>
            <w:vAlign w:val="center"/>
          </w:tcPr>
          <w:p w14:paraId="251D682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10.9</w:t>
            </w:r>
          </w:p>
        </w:tc>
        <w:tc>
          <w:tcPr>
            <w:tcW w:w="950" w:type="dxa"/>
            <w:tcBorders>
              <w:top w:val="nil"/>
              <w:left w:val="nil"/>
              <w:bottom w:val="nil"/>
              <w:right w:val="nil"/>
            </w:tcBorders>
            <w:noWrap w:val="0"/>
            <w:tcMar>
              <w:top w:w="-1" w:type="dxa"/>
              <w:left w:w="-1" w:type="dxa"/>
              <w:bottom w:w="-1" w:type="dxa"/>
              <w:right w:w="-1" w:type="dxa"/>
            </w:tcMar>
            <w:vAlign w:val="center"/>
          </w:tcPr>
          <w:p w14:paraId="0CAD11C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3.54</w:t>
            </w:r>
          </w:p>
        </w:tc>
        <w:tc>
          <w:tcPr>
            <w:tcW w:w="2131" w:type="dxa"/>
            <w:tcBorders>
              <w:top w:val="nil"/>
              <w:left w:val="nil"/>
              <w:bottom w:val="nil"/>
              <w:right w:val="nil"/>
            </w:tcBorders>
            <w:noWrap w:val="0"/>
            <w:tcMar>
              <w:top w:w="-1" w:type="dxa"/>
              <w:left w:w="-1" w:type="dxa"/>
              <w:bottom w:w="-1" w:type="dxa"/>
              <w:right w:w="-1" w:type="dxa"/>
            </w:tcMar>
            <w:vAlign w:val="center"/>
          </w:tcPr>
          <w:p w14:paraId="38D6B5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71EFBD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CD38B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2A21E88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3F3A80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E10</w:t>
            </w:r>
          </w:p>
        </w:tc>
        <w:tc>
          <w:tcPr>
            <w:tcW w:w="864" w:type="dxa"/>
            <w:tcBorders>
              <w:top w:val="nil"/>
              <w:left w:val="nil"/>
              <w:bottom w:val="nil"/>
              <w:right w:val="nil"/>
            </w:tcBorders>
            <w:noWrap w:val="0"/>
            <w:tcMar>
              <w:top w:w="-1" w:type="dxa"/>
              <w:left w:w="-1" w:type="dxa"/>
              <w:bottom w:w="-1" w:type="dxa"/>
              <w:right w:w="-1" w:type="dxa"/>
            </w:tcMar>
            <w:vAlign w:val="center"/>
          </w:tcPr>
          <w:p w14:paraId="09686A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6159B6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28</w:t>
            </w:r>
          </w:p>
        </w:tc>
        <w:tc>
          <w:tcPr>
            <w:tcW w:w="2520" w:type="dxa"/>
            <w:tcBorders>
              <w:top w:val="nil"/>
              <w:left w:val="nil"/>
              <w:bottom w:val="nil"/>
              <w:right w:val="nil"/>
            </w:tcBorders>
            <w:noWrap w:val="0"/>
            <w:tcMar>
              <w:top w:w="-1" w:type="dxa"/>
              <w:left w:w="-1" w:type="dxa"/>
              <w:bottom w:w="-1" w:type="dxa"/>
              <w:right w:w="-1" w:type="dxa"/>
            </w:tcMar>
            <w:vAlign w:val="center"/>
          </w:tcPr>
          <w:p w14:paraId="4DE2FE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1676517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13.8</w:t>
            </w:r>
          </w:p>
        </w:tc>
        <w:tc>
          <w:tcPr>
            <w:tcW w:w="950" w:type="dxa"/>
            <w:tcBorders>
              <w:top w:val="nil"/>
              <w:left w:val="nil"/>
              <w:bottom w:val="nil"/>
              <w:right w:val="nil"/>
            </w:tcBorders>
            <w:noWrap w:val="0"/>
            <w:tcMar>
              <w:top w:w="-1" w:type="dxa"/>
              <w:left w:w="-1" w:type="dxa"/>
              <w:bottom w:w="-1" w:type="dxa"/>
              <w:right w:w="-1" w:type="dxa"/>
            </w:tcMar>
            <w:vAlign w:val="center"/>
          </w:tcPr>
          <w:p w14:paraId="6110F6A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11.2</w:t>
            </w:r>
          </w:p>
        </w:tc>
        <w:tc>
          <w:tcPr>
            <w:tcW w:w="950" w:type="dxa"/>
            <w:tcBorders>
              <w:top w:val="nil"/>
              <w:left w:val="nil"/>
              <w:bottom w:val="nil"/>
              <w:right w:val="nil"/>
            </w:tcBorders>
            <w:noWrap w:val="0"/>
            <w:tcMar>
              <w:top w:w="-1" w:type="dxa"/>
              <w:left w:w="-1" w:type="dxa"/>
              <w:bottom w:w="-1" w:type="dxa"/>
              <w:right w:w="-1" w:type="dxa"/>
            </w:tcMar>
            <w:vAlign w:val="center"/>
          </w:tcPr>
          <w:p w14:paraId="4E02E6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3.42</w:t>
            </w:r>
          </w:p>
        </w:tc>
        <w:tc>
          <w:tcPr>
            <w:tcW w:w="2131" w:type="dxa"/>
            <w:tcBorders>
              <w:top w:val="nil"/>
              <w:left w:val="nil"/>
              <w:bottom w:val="nil"/>
              <w:right w:val="nil"/>
            </w:tcBorders>
            <w:noWrap w:val="0"/>
            <w:tcMar>
              <w:top w:w="-1" w:type="dxa"/>
              <w:left w:w="-1" w:type="dxa"/>
              <w:bottom w:w="-1" w:type="dxa"/>
              <w:right w:w="-1" w:type="dxa"/>
            </w:tcMar>
            <w:vAlign w:val="center"/>
          </w:tcPr>
          <w:p w14:paraId="7E07A9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55 / 12.3</w:t>
            </w:r>
          </w:p>
        </w:tc>
        <w:tc>
          <w:tcPr>
            <w:tcW w:w="1872" w:type="dxa"/>
            <w:tcBorders>
              <w:top w:val="nil"/>
              <w:left w:val="nil"/>
              <w:bottom w:val="nil"/>
              <w:right w:val="nil"/>
            </w:tcBorders>
            <w:noWrap w:val="0"/>
            <w:tcMar>
              <w:top w:w="-1" w:type="dxa"/>
              <w:left w:w="-1" w:type="dxa"/>
              <w:bottom w:w="-1" w:type="dxa"/>
              <w:right w:w="-1" w:type="dxa"/>
            </w:tcMar>
            <w:vAlign w:val="center"/>
          </w:tcPr>
          <w:p w14:paraId="29FC0B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282394B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82</w:t>
            </w:r>
          </w:p>
        </w:tc>
      </w:tr>
      <w:tr w14:paraId="59A8BD6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0590825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E11</w:t>
            </w:r>
          </w:p>
        </w:tc>
        <w:tc>
          <w:tcPr>
            <w:tcW w:w="864" w:type="dxa"/>
            <w:tcBorders>
              <w:top w:val="nil"/>
              <w:left w:val="nil"/>
              <w:bottom w:val="nil"/>
              <w:right w:val="nil"/>
            </w:tcBorders>
            <w:noWrap w:val="0"/>
            <w:tcMar>
              <w:top w:w="-1" w:type="dxa"/>
              <w:left w:w="-1" w:type="dxa"/>
              <w:bottom w:w="-1" w:type="dxa"/>
              <w:right w:w="-1" w:type="dxa"/>
            </w:tcMar>
            <w:vAlign w:val="center"/>
          </w:tcPr>
          <w:p w14:paraId="4ACDDA3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411CF6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32</w:t>
            </w:r>
          </w:p>
        </w:tc>
        <w:tc>
          <w:tcPr>
            <w:tcW w:w="2520" w:type="dxa"/>
            <w:tcBorders>
              <w:top w:val="nil"/>
              <w:left w:val="nil"/>
              <w:bottom w:val="nil"/>
              <w:right w:val="nil"/>
            </w:tcBorders>
            <w:noWrap w:val="0"/>
            <w:tcMar>
              <w:top w:w="-1" w:type="dxa"/>
              <w:left w:w="-1" w:type="dxa"/>
              <w:bottom w:w="-1" w:type="dxa"/>
              <w:right w:w="-1" w:type="dxa"/>
            </w:tcMar>
            <w:vAlign w:val="center"/>
          </w:tcPr>
          <w:p w14:paraId="789F13F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23C14C9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w:t>
            </w:r>
          </w:p>
        </w:tc>
        <w:tc>
          <w:tcPr>
            <w:tcW w:w="950" w:type="dxa"/>
            <w:tcBorders>
              <w:top w:val="nil"/>
              <w:left w:val="nil"/>
              <w:bottom w:val="nil"/>
              <w:right w:val="nil"/>
            </w:tcBorders>
            <w:noWrap w:val="0"/>
            <w:tcMar>
              <w:top w:w="-1" w:type="dxa"/>
              <w:left w:w="-1" w:type="dxa"/>
              <w:bottom w:w="-1" w:type="dxa"/>
              <w:right w:w="-1" w:type="dxa"/>
            </w:tcMar>
            <w:vAlign w:val="center"/>
          </w:tcPr>
          <w:p w14:paraId="311420B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36</w:t>
            </w:r>
          </w:p>
        </w:tc>
        <w:tc>
          <w:tcPr>
            <w:tcW w:w="950" w:type="dxa"/>
            <w:tcBorders>
              <w:top w:val="nil"/>
              <w:left w:val="nil"/>
              <w:bottom w:val="nil"/>
              <w:right w:val="nil"/>
            </w:tcBorders>
            <w:noWrap w:val="0"/>
            <w:tcMar>
              <w:top w:w="-1" w:type="dxa"/>
              <w:left w:w="-1" w:type="dxa"/>
              <w:bottom w:w="-1" w:type="dxa"/>
              <w:right w:w="-1" w:type="dxa"/>
            </w:tcMar>
            <w:vAlign w:val="center"/>
          </w:tcPr>
          <w:p w14:paraId="2550618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7.48</w:t>
            </w:r>
          </w:p>
        </w:tc>
        <w:tc>
          <w:tcPr>
            <w:tcW w:w="2131" w:type="dxa"/>
            <w:tcBorders>
              <w:top w:val="nil"/>
              <w:left w:val="nil"/>
              <w:bottom w:val="nil"/>
              <w:right w:val="nil"/>
            </w:tcBorders>
            <w:noWrap w:val="0"/>
            <w:tcMar>
              <w:top w:w="-1" w:type="dxa"/>
              <w:left w:w="-1" w:type="dxa"/>
              <w:bottom w:w="-1" w:type="dxa"/>
              <w:right w:w="-1" w:type="dxa"/>
            </w:tcMar>
            <w:vAlign w:val="center"/>
          </w:tcPr>
          <w:p w14:paraId="3C2ACE8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0F10C7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E4FC20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1F6DA420">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7B0A48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E12</w:t>
            </w:r>
          </w:p>
        </w:tc>
        <w:tc>
          <w:tcPr>
            <w:tcW w:w="864" w:type="dxa"/>
            <w:tcBorders>
              <w:top w:val="nil"/>
              <w:left w:val="nil"/>
              <w:bottom w:val="nil"/>
              <w:right w:val="nil"/>
            </w:tcBorders>
            <w:noWrap w:val="0"/>
            <w:tcMar>
              <w:top w:w="-1" w:type="dxa"/>
              <w:left w:w="-1" w:type="dxa"/>
              <w:bottom w:w="-1" w:type="dxa"/>
              <w:right w:w="-1" w:type="dxa"/>
            </w:tcMar>
            <w:vAlign w:val="center"/>
          </w:tcPr>
          <w:p w14:paraId="252B9E8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1FC8D3F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37</w:t>
            </w:r>
          </w:p>
        </w:tc>
        <w:tc>
          <w:tcPr>
            <w:tcW w:w="2520" w:type="dxa"/>
            <w:tcBorders>
              <w:top w:val="nil"/>
              <w:left w:val="nil"/>
              <w:bottom w:val="nil"/>
              <w:right w:val="nil"/>
            </w:tcBorders>
            <w:noWrap w:val="0"/>
            <w:tcMar>
              <w:top w:w="-1" w:type="dxa"/>
              <w:left w:w="-1" w:type="dxa"/>
              <w:bottom w:w="-1" w:type="dxa"/>
              <w:right w:w="-1" w:type="dxa"/>
            </w:tcMar>
            <w:vAlign w:val="center"/>
          </w:tcPr>
          <w:p w14:paraId="4D982CD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2AD5828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5.83</w:t>
            </w:r>
          </w:p>
        </w:tc>
        <w:tc>
          <w:tcPr>
            <w:tcW w:w="950" w:type="dxa"/>
            <w:tcBorders>
              <w:top w:val="nil"/>
              <w:left w:val="nil"/>
              <w:bottom w:val="nil"/>
              <w:right w:val="nil"/>
            </w:tcBorders>
            <w:noWrap w:val="0"/>
            <w:tcMar>
              <w:top w:w="-1" w:type="dxa"/>
              <w:left w:w="-1" w:type="dxa"/>
              <w:bottom w:w="-1" w:type="dxa"/>
              <w:right w:w="-1" w:type="dxa"/>
            </w:tcMar>
            <w:vAlign w:val="center"/>
          </w:tcPr>
          <w:p w14:paraId="3A6054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11.63</w:t>
            </w:r>
          </w:p>
        </w:tc>
        <w:tc>
          <w:tcPr>
            <w:tcW w:w="950" w:type="dxa"/>
            <w:tcBorders>
              <w:top w:val="nil"/>
              <w:left w:val="nil"/>
              <w:bottom w:val="nil"/>
              <w:right w:val="nil"/>
            </w:tcBorders>
            <w:noWrap w:val="0"/>
            <w:tcMar>
              <w:top w:w="-1" w:type="dxa"/>
              <w:left w:w="-1" w:type="dxa"/>
              <w:bottom w:w="-1" w:type="dxa"/>
              <w:right w:w="-1" w:type="dxa"/>
            </w:tcMar>
            <w:vAlign w:val="center"/>
          </w:tcPr>
          <w:p w14:paraId="7D8C41F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3.58</w:t>
            </w:r>
          </w:p>
        </w:tc>
        <w:tc>
          <w:tcPr>
            <w:tcW w:w="2131" w:type="dxa"/>
            <w:tcBorders>
              <w:top w:val="nil"/>
              <w:left w:val="nil"/>
              <w:bottom w:val="nil"/>
              <w:right w:val="nil"/>
            </w:tcBorders>
            <w:noWrap w:val="0"/>
            <w:tcMar>
              <w:top w:w="-1" w:type="dxa"/>
              <w:left w:w="-1" w:type="dxa"/>
              <w:bottom w:w="-1" w:type="dxa"/>
              <w:right w:w="-1" w:type="dxa"/>
            </w:tcMar>
            <w:vAlign w:val="center"/>
          </w:tcPr>
          <w:p w14:paraId="3ACACD3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147C904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E48CBC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79E0ACA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4E74C35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E13</w:t>
            </w:r>
          </w:p>
        </w:tc>
        <w:tc>
          <w:tcPr>
            <w:tcW w:w="864" w:type="dxa"/>
            <w:tcBorders>
              <w:top w:val="nil"/>
              <w:left w:val="nil"/>
              <w:bottom w:val="nil"/>
              <w:right w:val="nil"/>
            </w:tcBorders>
            <w:noWrap w:val="0"/>
            <w:tcMar>
              <w:top w:w="-1" w:type="dxa"/>
              <w:left w:w="-1" w:type="dxa"/>
              <w:bottom w:w="-1" w:type="dxa"/>
              <w:right w:w="-1" w:type="dxa"/>
            </w:tcMar>
            <w:vAlign w:val="center"/>
          </w:tcPr>
          <w:p w14:paraId="2D182C2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45D9848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w:t>
            </w:r>
          </w:p>
        </w:tc>
        <w:tc>
          <w:tcPr>
            <w:tcW w:w="2520" w:type="dxa"/>
            <w:tcBorders>
              <w:top w:val="nil"/>
              <w:left w:val="nil"/>
              <w:bottom w:val="nil"/>
              <w:right w:val="nil"/>
            </w:tcBorders>
            <w:noWrap w:val="0"/>
            <w:tcMar>
              <w:top w:w="-1" w:type="dxa"/>
              <w:left w:w="-1" w:type="dxa"/>
              <w:bottom w:w="-1" w:type="dxa"/>
              <w:right w:w="-1" w:type="dxa"/>
            </w:tcMar>
            <w:vAlign w:val="center"/>
          </w:tcPr>
          <w:p w14:paraId="00B9267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0B1E1A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0.63</w:t>
            </w:r>
          </w:p>
        </w:tc>
        <w:tc>
          <w:tcPr>
            <w:tcW w:w="950" w:type="dxa"/>
            <w:tcBorders>
              <w:top w:val="nil"/>
              <w:left w:val="nil"/>
              <w:bottom w:val="nil"/>
              <w:right w:val="nil"/>
            </w:tcBorders>
            <w:noWrap w:val="0"/>
            <w:tcMar>
              <w:top w:w="-1" w:type="dxa"/>
              <w:left w:w="-1" w:type="dxa"/>
              <w:bottom w:w="-1" w:type="dxa"/>
              <w:right w:w="-1" w:type="dxa"/>
            </w:tcMar>
            <w:vAlign w:val="center"/>
          </w:tcPr>
          <w:p w14:paraId="57115DD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19.59</w:t>
            </w:r>
          </w:p>
        </w:tc>
        <w:tc>
          <w:tcPr>
            <w:tcW w:w="950" w:type="dxa"/>
            <w:tcBorders>
              <w:top w:val="nil"/>
              <w:left w:val="nil"/>
              <w:bottom w:val="nil"/>
              <w:right w:val="nil"/>
            </w:tcBorders>
            <w:noWrap w:val="0"/>
            <w:tcMar>
              <w:top w:w="-1" w:type="dxa"/>
              <w:left w:w="-1" w:type="dxa"/>
              <w:bottom w:w="-1" w:type="dxa"/>
              <w:right w:w="-1" w:type="dxa"/>
            </w:tcMar>
            <w:vAlign w:val="center"/>
          </w:tcPr>
          <w:p w14:paraId="658A1E3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6.75</w:t>
            </w:r>
          </w:p>
        </w:tc>
        <w:tc>
          <w:tcPr>
            <w:tcW w:w="2131" w:type="dxa"/>
            <w:tcBorders>
              <w:top w:val="nil"/>
              <w:left w:val="nil"/>
              <w:bottom w:val="nil"/>
              <w:right w:val="nil"/>
            </w:tcBorders>
            <w:noWrap w:val="0"/>
            <w:tcMar>
              <w:top w:w="-1" w:type="dxa"/>
              <w:left w:w="-1" w:type="dxa"/>
              <w:bottom w:w="-1" w:type="dxa"/>
              <w:right w:w="-1" w:type="dxa"/>
            </w:tcMar>
            <w:vAlign w:val="center"/>
          </w:tcPr>
          <w:p w14:paraId="6D2982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70 / 23.79</w:t>
            </w:r>
          </w:p>
        </w:tc>
        <w:tc>
          <w:tcPr>
            <w:tcW w:w="1872" w:type="dxa"/>
            <w:tcBorders>
              <w:top w:val="nil"/>
              <w:left w:val="nil"/>
              <w:bottom w:val="nil"/>
              <w:right w:val="nil"/>
            </w:tcBorders>
            <w:noWrap w:val="0"/>
            <w:tcMar>
              <w:top w:w="-1" w:type="dxa"/>
              <w:left w:w="-1" w:type="dxa"/>
              <w:bottom w:w="-1" w:type="dxa"/>
              <w:right w:w="-1" w:type="dxa"/>
            </w:tcMar>
            <w:vAlign w:val="center"/>
          </w:tcPr>
          <w:p w14:paraId="0F5489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70</w:t>
            </w:r>
          </w:p>
        </w:tc>
        <w:tc>
          <w:tcPr>
            <w:tcW w:w="2966" w:type="dxa"/>
            <w:tcBorders>
              <w:top w:val="nil"/>
              <w:left w:val="nil"/>
              <w:bottom w:val="nil"/>
              <w:right w:val="nil"/>
            </w:tcBorders>
            <w:noWrap w:val="0"/>
            <w:tcMar>
              <w:top w:w="-1" w:type="dxa"/>
              <w:left w:w="-1" w:type="dxa"/>
              <w:bottom w:w="-1" w:type="dxa"/>
              <w:right w:w="-1" w:type="dxa"/>
            </w:tcMar>
            <w:vAlign w:val="center"/>
          </w:tcPr>
          <w:p w14:paraId="6FEE103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51</w:t>
            </w:r>
          </w:p>
        </w:tc>
      </w:tr>
      <w:tr w14:paraId="2B420A6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8BC60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E14</w:t>
            </w:r>
          </w:p>
        </w:tc>
        <w:tc>
          <w:tcPr>
            <w:tcW w:w="864" w:type="dxa"/>
            <w:tcBorders>
              <w:top w:val="nil"/>
              <w:left w:val="nil"/>
              <w:bottom w:val="nil"/>
              <w:right w:val="nil"/>
            </w:tcBorders>
            <w:noWrap w:val="0"/>
            <w:tcMar>
              <w:top w:w="-1" w:type="dxa"/>
              <w:left w:w="-1" w:type="dxa"/>
              <w:bottom w:w="-1" w:type="dxa"/>
              <w:right w:w="-1" w:type="dxa"/>
            </w:tcMar>
            <w:vAlign w:val="center"/>
          </w:tcPr>
          <w:p w14:paraId="66170AC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3FE17D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47</w:t>
            </w:r>
          </w:p>
        </w:tc>
        <w:tc>
          <w:tcPr>
            <w:tcW w:w="2520" w:type="dxa"/>
            <w:tcBorders>
              <w:top w:val="nil"/>
              <w:left w:val="nil"/>
              <w:bottom w:val="nil"/>
              <w:right w:val="nil"/>
            </w:tcBorders>
            <w:noWrap w:val="0"/>
            <w:tcMar>
              <w:top w:w="-1" w:type="dxa"/>
              <w:left w:w="-1" w:type="dxa"/>
              <w:bottom w:w="-1" w:type="dxa"/>
              <w:right w:w="-1" w:type="dxa"/>
            </w:tcMar>
            <w:vAlign w:val="center"/>
          </w:tcPr>
          <w:p w14:paraId="0CC3867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3C133F5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0.04</w:t>
            </w:r>
          </w:p>
        </w:tc>
        <w:tc>
          <w:tcPr>
            <w:tcW w:w="950" w:type="dxa"/>
            <w:tcBorders>
              <w:top w:val="nil"/>
              <w:left w:val="nil"/>
              <w:bottom w:val="nil"/>
              <w:right w:val="nil"/>
            </w:tcBorders>
            <w:noWrap w:val="0"/>
            <w:tcMar>
              <w:top w:w="-1" w:type="dxa"/>
              <w:left w:w="-1" w:type="dxa"/>
              <w:bottom w:w="-1" w:type="dxa"/>
              <w:right w:w="-1" w:type="dxa"/>
            </w:tcMar>
            <w:vAlign w:val="center"/>
          </w:tcPr>
          <w:p w14:paraId="4481C3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32</w:t>
            </w:r>
          </w:p>
        </w:tc>
        <w:tc>
          <w:tcPr>
            <w:tcW w:w="950" w:type="dxa"/>
            <w:tcBorders>
              <w:top w:val="nil"/>
              <w:left w:val="nil"/>
              <w:bottom w:val="nil"/>
              <w:right w:val="nil"/>
            </w:tcBorders>
            <w:noWrap w:val="0"/>
            <w:tcMar>
              <w:top w:w="-1" w:type="dxa"/>
              <w:left w:w="-1" w:type="dxa"/>
              <w:bottom w:w="-1" w:type="dxa"/>
              <w:right w:w="-1" w:type="dxa"/>
            </w:tcMar>
            <w:vAlign w:val="center"/>
          </w:tcPr>
          <w:p w14:paraId="3C6A8CE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11.5</w:t>
            </w:r>
          </w:p>
        </w:tc>
        <w:tc>
          <w:tcPr>
            <w:tcW w:w="2131" w:type="dxa"/>
            <w:tcBorders>
              <w:top w:val="nil"/>
              <w:left w:val="nil"/>
              <w:bottom w:val="nil"/>
              <w:right w:val="nil"/>
            </w:tcBorders>
            <w:noWrap w:val="0"/>
            <w:tcMar>
              <w:top w:w="-1" w:type="dxa"/>
              <w:left w:w="-1" w:type="dxa"/>
              <w:bottom w:w="-1" w:type="dxa"/>
              <w:right w:w="-1" w:type="dxa"/>
            </w:tcMar>
            <w:vAlign w:val="center"/>
          </w:tcPr>
          <w:p w14:paraId="61043AA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15C521C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244</w:t>
            </w:r>
          </w:p>
        </w:tc>
        <w:tc>
          <w:tcPr>
            <w:tcW w:w="2966" w:type="dxa"/>
            <w:tcBorders>
              <w:top w:val="nil"/>
              <w:left w:val="nil"/>
              <w:bottom w:val="nil"/>
              <w:right w:val="nil"/>
            </w:tcBorders>
            <w:noWrap w:val="0"/>
            <w:tcMar>
              <w:top w:w="-1" w:type="dxa"/>
              <w:left w:w="-1" w:type="dxa"/>
              <w:bottom w:w="-1" w:type="dxa"/>
              <w:right w:w="-1" w:type="dxa"/>
            </w:tcMar>
            <w:vAlign w:val="center"/>
          </w:tcPr>
          <w:p w14:paraId="0264D92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 / 197</w:t>
            </w:r>
          </w:p>
        </w:tc>
      </w:tr>
      <w:tr w14:paraId="71C6141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348FD6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E15</w:t>
            </w:r>
          </w:p>
        </w:tc>
        <w:tc>
          <w:tcPr>
            <w:tcW w:w="864" w:type="dxa"/>
            <w:tcBorders>
              <w:top w:val="nil"/>
              <w:left w:val="nil"/>
              <w:bottom w:val="nil"/>
              <w:right w:val="nil"/>
            </w:tcBorders>
            <w:noWrap w:val="0"/>
            <w:tcMar>
              <w:top w:w="-1" w:type="dxa"/>
              <w:left w:w="-1" w:type="dxa"/>
              <w:bottom w:w="-1" w:type="dxa"/>
              <w:right w:w="-1" w:type="dxa"/>
            </w:tcMar>
            <w:vAlign w:val="center"/>
          </w:tcPr>
          <w:p w14:paraId="1D07E89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261666D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52</w:t>
            </w:r>
          </w:p>
        </w:tc>
        <w:tc>
          <w:tcPr>
            <w:tcW w:w="2520" w:type="dxa"/>
            <w:tcBorders>
              <w:top w:val="nil"/>
              <w:left w:val="nil"/>
              <w:bottom w:val="nil"/>
              <w:right w:val="nil"/>
            </w:tcBorders>
            <w:noWrap w:val="0"/>
            <w:tcMar>
              <w:top w:w="-1" w:type="dxa"/>
              <w:left w:w="-1" w:type="dxa"/>
              <w:bottom w:w="-1" w:type="dxa"/>
              <w:right w:w="-1" w:type="dxa"/>
            </w:tcMar>
            <w:vAlign w:val="center"/>
          </w:tcPr>
          <w:p w14:paraId="02C76D4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06E75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10.32</w:t>
            </w:r>
          </w:p>
        </w:tc>
        <w:tc>
          <w:tcPr>
            <w:tcW w:w="950" w:type="dxa"/>
            <w:tcBorders>
              <w:top w:val="nil"/>
              <w:left w:val="nil"/>
              <w:bottom w:val="nil"/>
              <w:right w:val="nil"/>
            </w:tcBorders>
            <w:noWrap w:val="0"/>
            <w:tcMar>
              <w:top w:w="-1" w:type="dxa"/>
              <w:left w:w="-1" w:type="dxa"/>
              <w:bottom w:w="-1" w:type="dxa"/>
              <w:right w:w="-1" w:type="dxa"/>
            </w:tcMar>
            <w:vAlign w:val="center"/>
          </w:tcPr>
          <w:p w14:paraId="572835D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11.7</w:t>
            </w:r>
          </w:p>
        </w:tc>
        <w:tc>
          <w:tcPr>
            <w:tcW w:w="950" w:type="dxa"/>
            <w:tcBorders>
              <w:top w:val="nil"/>
              <w:left w:val="nil"/>
              <w:bottom w:val="nil"/>
              <w:right w:val="nil"/>
            </w:tcBorders>
            <w:noWrap w:val="0"/>
            <w:tcMar>
              <w:top w:w="-1" w:type="dxa"/>
              <w:left w:w="-1" w:type="dxa"/>
              <w:bottom w:w="-1" w:type="dxa"/>
              <w:right w:w="-1" w:type="dxa"/>
            </w:tcMar>
            <w:vAlign w:val="center"/>
          </w:tcPr>
          <w:p w14:paraId="7AEC6AE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4.84</w:t>
            </w:r>
          </w:p>
        </w:tc>
        <w:tc>
          <w:tcPr>
            <w:tcW w:w="2131" w:type="dxa"/>
            <w:tcBorders>
              <w:top w:val="nil"/>
              <w:left w:val="nil"/>
              <w:bottom w:val="nil"/>
              <w:right w:val="nil"/>
            </w:tcBorders>
            <w:noWrap w:val="0"/>
            <w:tcMar>
              <w:top w:w="-1" w:type="dxa"/>
              <w:left w:w="-1" w:type="dxa"/>
              <w:bottom w:w="-1" w:type="dxa"/>
              <w:right w:w="-1" w:type="dxa"/>
            </w:tcMar>
            <w:vAlign w:val="center"/>
          </w:tcPr>
          <w:p w14:paraId="28E27FA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6535037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CA4CDB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02A4D08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33C84C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E16</w:t>
            </w:r>
          </w:p>
        </w:tc>
        <w:tc>
          <w:tcPr>
            <w:tcW w:w="864" w:type="dxa"/>
            <w:tcBorders>
              <w:top w:val="nil"/>
              <w:left w:val="nil"/>
              <w:bottom w:val="nil"/>
              <w:right w:val="nil"/>
            </w:tcBorders>
            <w:noWrap w:val="0"/>
            <w:tcMar>
              <w:top w:w="-1" w:type="dxa"/>
              <w:left w:w="-1" w:type="dxa"/>
              <w:bottom w:w="-1" w:type="dxa"/>
              <w:right w:w="-1" w:type="dxa"/>
            </w:tcMar>
            <w:vAlign w:val="center"/>
          </w:tcPr>
          <w:p w14:paraId="64910F2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5412E5C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53</w:t>
            </w:r>
          </w:p>
        </w:tc>
        <w:tc>
          <w:tcPr>
            <w:tcW w:w="2520" w:type="dxa"/>
            <w:tcBorders>
              <w:top w:val="nil"/>
              <w:left w:val="nil"/>
              <w:bottom w:val="nil"/>
              <w:right w:val="nil"/>
            </w:tcBorders>
            <w:noWrap w:val="0"/>
            <w:tcMar>
              <w:top w:w="-1" w:type="dxa"/>
              <w:left w:w="-1" w:type="dxa"/>
              <w:bottom w:w="-1" w:type="dxa"/>
              <w:right w:w="-1" w:type="dxa"/>
            </w:tcMar>
            <w:vAlign w:val="center"/>
          </w:tcPr>
          <w:p w14:paraId="619233F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41CBFC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29.06</w:t>
            </w:r>
          </w:p>
        </w:tc>
        <w:tc>
          <w:tcPr>
            <w:tcW w:w="950" w:type="dxa"/>
            <w:tcBorders>
              <w:top w:val="nil"/>
              <w:left w:val="nil"/>
              <w:bottom w:val="nil"/>
              <w:right w:val="nil"/>
            </w:tcBorders>
            <w:noWrap w:val="0"/>
            <w:tcMar>
              <w:top w:w="-1" w:type="dxa"/>
              <w:left w:w="-1" w:type="dxa"/>
              <w:bottom w:w="-1" w:type="dxa"/>
              <w:right w:w="-1" w:type="dxa"/>
            </w:tcMar>
            <w:vAlign w:val="center"/>
          </w:tcPr>
          <w:p w14:paraId="6FC8E6A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5.44</w:t>
            </w:r>
          </w:p>
        </w:tc>
        <w:tc>
          <w:tcPr>
            <w:tcW w:w="950" w:type="dxa"/>
            <w:tcBorders>
              <w:top w:val="nil"/>
              <w:left w:val="nil"/>
              <w:bottom w:val="nil"/>
              <w:right w:val="nil"/>
            </w:tcBorders>
            <w:noWrap w:val="0"/>
            <w:tcMar>
              <w:top w:w="-1" w:type="dxa"/>
              <w:left w:w="-1" w:type="dxa"/>
              <w:bottom w:w="-1" w:type="dxa"/>
              <w:right w:w="-1" w:type="dxa"/>
            </w:tcMar>
            <w:vAlign w:val="center"/>
          </w:tcPr>
          <w:p w14:paraId="0D75528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2.57</w:t>
            </w:r>
          </w:p>
        </w:tc>
        <w:tc>
          <w:tcPr>
            <w:tcW w:w="2131" w:type="dxa"/>
            <w:tcBorders>
              <w:top w:val="nil"/>
              <w:left w:val="nil"/>
              <w:bottom w:val="nil"/>
              <w:right w:val="nil"/>
            </w:tcBorders>
            <w:noWrap w:val="0"/>
            <w:tcMar>
              <w:top w:w="-1" w:type="dxa"/>
              <w:left w:w="-1" w:type="dxa"/>
              <w:bottom w:w="-1" w:type="dxa"/>
              <w:right w:w="-1" w:type="dxa"/>
            </w:tcMar>
            <w:vAlign w:val="center"/>
          </w:tcPr>
          <w:p w14:paraId="3FF8D92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27D0BCC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9A39B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2A6777D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C6D3B4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E17</w:t>
            </w:r>
          </w:p>
        </w:tc>
        <w:tc>
          <w:tcPr>
            <w:tcW w:w="864" w:type="dxa"/>
            <w:tcBorders>
              <w:top w:val="nil"/>
              <w:left w:val="nil"/>
              <w:bottom w:val="nil"/>
              <w:right w:val="nil"/>
            </w:tcBorders>
            <w:noWrap w:val="0"/>
            <w:tcMar>
              <w:top w:w="-1" w:type="dxa"/>
              <w:left w:w="-1" w:type="dxa"/>
              <w:bottom w:w="-1" w:type="dxa"/>
              <w:right w:w="-1" w:type="dxa"/>
            </w:tcMar>
            <w:vAlign w:val="center"/>
          </w:tcPr>
          <w:p w14:paraId="5C55D20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0C8F1B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57</w:t>
            </w:r>
          </w:p>
        </w:tc>
        <w:tc>
          <w:tcPr>
            <w:tcW w:w="2520" w:type="dxa"/>
            <w:tcBorders>
              <w:top w:val="nil"/>
              <w:left w:val="nil"/>
              <w:bottom w:val="nil"/>
              <w:right w:val="nil"/>
            </w:tcBorders>
            <w:noWrap w:val="0"/>
            <w:tcMar>
              <w:top w:w="-1" w:type="dxa"/>
              <w:left w:w="-1" w:type="dxa"/>
              <w:bottom w:w="-1" w:type="dxa"/>
              <w:right w:w="-1" w:type="dxa"/>
            </w:tcMar>
            <w:vAlign w:val="center"/>
          </w:tcPr>
          <w:p w14:paraId="2D8D4CD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4A4859D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w:t>
            </w:r>
          </w:p>
        </w:tc>
        <w:tc>
          <w:tcPr>
            <w:tcW w:w="950" w:type="dxa"/>
            <w:tcBorders>
              <w:top w:val="nil"/>
              <w:left w:val="nil"/>
              <w:bottom w:val="nil"/>
              <w:right w:val="nil"/>
            </w:tcBorders>
            <w:noWrap w:val="0"/>
            <w:tcMar>
              <w:top w:w="-1" w:type="dxa"/>
              <w:left w:w="-1" w:type="dxa"/>
              <w:bottom w:w="-1" w:type="dxa"/>
              <w:right w:w="-1" w:type="dxa"/>
            </w:tcMar>
            <w:vAlign w:val="center"/>
          </w:tcPr>
          <w:p w14:paraId="75309C3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19.36</w:t>
            </w:r>
          </w:p>
        </w:tc>
        <w:tc>
          <w:tcPr>
            <w:tcW w:w="950" w:type="dxa"/>
            <w:tcBorders>
              <w:top w:val="nil"/>
              <w:left w:val="nil"/>
              <w:bottom w:val="nil"/>
              <w:right w:val="nil"/>
            </w:tcBorders>
            <w:noWrap w:val="0"/>
            <w:tcMar>
              <w:top w:w="-1" w:type="dxa"/>
              <w:left w:w="-1" w:type="dxa"/>
              <w:bottom w:w="-1" w:type="dxa"/>
              <w:right w:w="-1" w:type="dxa"/>
            </w:tcMar>
            <w:vAlign w:val="center"/>
          </w:tcPr>
          <w:p w14:paraId="5DD51C2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7.59</w:t>
            </w:r>
          </w:p>
        </w:tc>
        <w:tc>
          <w:tcPr>
            <w:tcW w:w="2131" w:type="dxa"/>
            <w:tcBorders>
              <w:top w:val="nil"/>
              <w:left w:val="nil"/>
              <w:bottom w:val="nil"/>
              <w:right w:val="nil"/>
            </w:tcBorders>
            <w:noWrap w:val="0"/>
            <w:tcMar>
              <w:top w:w="-1" w:type="dxa"/>
              <w:left w:w="-1" w:type="dxa"/>
              <w:bottom w:w="-1" w:type="dxa"/>
              <w:right w:w="-1" w:type="dxa"/>
            </w:tcMar>
            <w:vAlign w:val="center"/>
          </w:tcPr>
          <w:p w14:paraId="660F76E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369A27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30AFD84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 / 400</w:t>
            </w:r>
          </w:p>
        </w:tc>
      </w:tr>
      <w:tr w14:paraId="6AFE4CB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425F75E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E18</w:t>
            </w:r>
          </w:p>
        </w:tc>
        <w:tc>
          <w:tcPr>
            <w:tcW w:w="864" w:type="dxa"/>
            <w:tcBorders>
              <w:top w:val="nil"/>
              <w:left w:val="nil"/>
              <w:bottom w:val="nil"/>
              <w:right w:val="nil"/>
            </w:tcBorders>
            <w:noWrap w:val="0"/>
            <w:tcMar>
              <w:top w:w="-1" w:type="dxa"/>
              <w:left w:w="-1" w:type="dxa"/>
              <w:bottom w:w="-1" w:type="dxa"/>
              <w:right w:w="-1" w:type="dxa"/>
            </w:tcMar>
            <w:vAlign w:val="center"/>
          </w:tcPr>
          <w:p w14:paraId="0D126C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4D8A6B4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75</w:t>
            </w:r>
          </w:p>
        </w:tc>
        <w:tc>
          <w:tcPr>
            <w:tcW w:w="2520" w:type="dxa"/>
            <w:tcBorders>
              <w:top w:val="nil"/>
              <w:left w:val="nil"/>
              <w:bottom w:val="nil"/>
              <w:right w:val="nil"/>
            </w:tcBorders>
            <w:noWrap w:val="0"/>
            <w:tcMar>
              <w:top w:w="-1" w:type="dxa"/>
              <w:left w:w="-1" w:type="dxa"/>
              <w:bottom w:w="-1" w:type="dxa"/>
              <w:right w:w="-1" w:type="dxa"/>
            </w:tcMar>
            <w:vAlign w:val="center"/>
          </w:tcPr>
          <w:p w14:paraId="47C7FB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6B3BF13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w:t>
            </w:r>
          </w:p>
        </w:tc>
        <w:tc>
          <w:tcPr>
            <w:tcW w:w="950" w:type="dxa"/>
            <w:tcBorders>
              <w:top w:val="nil"/>
              <w:left w:val="nil"/>
              <w:bottom w:val="nil"/>
              <w:right w:val="nil"/>
            </w:tcBorders>
            <w:noWrap w:val="0"/>
            <w:tcMar>
              <w:top w:w="-1" w:type="dxa"/>
              <w:left w:w="-1" w:type="dxa"/>
              <w:bottom w:w="-1" w:type="dxa"/>
              <w:right w:w="-1" w:type="dxa"/>
            </w:tcMar>
            <w:vAlign w:val="center"/>
          </w:tcPr>
          <w:p w14:paraId="2A5BB20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24.43</w:t>
            </w:r>
          </w:p>
        </w:tc>
        <w:tc>
          <w:tcPr>
            <w:tcW w:w="950" w:type="dxa"/>
            <w:tcBorders>
              <w:top w:val="nil"/>
              <w:left w:val="nil"/>
              <w:bottom w:val="nil"/>
              <w:right w:val="nil"/>
            </w:tcBorders>
            <w:noWrap w:val="0"/>
            <w:tcMar>
              <w:top w:w="-1" w:type="dxa"/>
              <w:left w:w="-1" w:type="dxa"/>
              <w:bottom w:w="-1" w:type="dxa"/>
              <w:right w:w="-1" w:type="dxa"/>
            </w:tcMar>
            <w:vAlign w:val="center"/>
          </w:tcPr>
          <w:p w14:paraId="52124A0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6.22</w:t>
            </w:r>
          </w:p>
        </w:tc>
        <w:tc>
          <w:tcPr>
            <w:tcW w:w="2131" w:type="dxa"/>
            <w:tcBorders>
              <w:top w:val="nil"/>
              <w:left w:val="nil"/>
              <w:bottom w:val="nil"/>
              <w:right w:val="nil"/>
            </w:tcBorders>
            <w:noWrap w:val="0"/>
            <w:tcMar>
              <w:top w:w="-1" w:type="dxa"/>
              <w:left w:w="-1" w:type="dxa"/>
              <w:bottom w:w="-1" w:type="dxa"/>
              <w:right w:w="-1" w:type="dxa"/>
            </w:tcMar>
            <w:vAlign w:val="center"/>
          </w:tcPr>
          <w:p w14:paraId="7617BCE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101 / 9.2</w:t>
            </w:r>
          </w:p>
        </w:tc>
        <w:tc>
          <w:tcPr>
            <w:tcW w:w="1872" w:type="dxa"/>
            <w:tcBorders>
              <w:top w:val="nil"/>
              <w:left w:val="nil"/>
              <w:bottom w:val="nil"/>
              <w:right w:val="nil"/>
            </w:tcBorders>
            <w:noWrap w:val="0"/>
            <w:tcMar>
              <w:top w:w="-1" w:type="dxa"/>
              <w:left w:w="-1" w:type="dxa"/>
              <w:bottom w:w="-1" w:type="dxa"/>
              <w:right w:w="-1" w:type="dxa"/>
            </w:tcMar>
            <w:vAlign w:val="center"/>
          </w:tcPr>
          <w:p w14:paraId="33367D6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101</w:t>
            </w:r>
          </w:p>
        </w:tc>
        <w:tc>
          <w:tcPr>
            <w:tcW w:w="2966" w:type="dxa"/>
            <w:tcBorders>
              <w:top w:val="nil"/>
              <w:left w:val="nil"/>
              <w:bottom w:val="nil"/>
              <w:right w:val="nil"/>
            </w:tcBorders>
            <w:noWrap w:val="0"/>
            <w:tcMar>
              <w:top w:w="-1" w:type="dxa"/>
              <w:left w:w="-1" w:type="dxa"/>
              <w:bottom w:w="-1" w:type="dxa"/>
              <w:right w:w="-1" w:type="dxa"/>
            </w:tcMar>
            <w:vAlign w:val="center"/>
          </w:tcPr>
          <w:p w14:paraId="47AC7EC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 / 231</w:t>
            </w:r>
          </w:p>
        </w:tc>
      </w:tr>
      <w:tr w14:paraId="2062C90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AA189C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E19</w:t>
            </w:r>
          </w:p>
        </w:tc>
        <w:tc>
          <w:tcPr>
            <w:tcW w:w="864" w:type="dxa"/>
            <w:tcBorders>
              <w:top w:val="nil"/>
              <w:left w:val="nil"/>
              <w:bottom w:val="nil"/>
              <w:right w:val="nil"/>
            </w:tcBorders>
            <w:noWrap w:val="0"/>
            <w:tcMar>
              <w:top w:w="-1" w:type="dxa"/>
              <w:left w:w="-1" w:type="dxa"/>
              <w:bottom w:w="-1" w:type="dxa"/>
              <w:right w:w="-1" w:type="dxa"/>
            </w:tcMar>
            <w:vAlign w:val="center"/>
          </w:tcPr>
          <w:p w14:paraId="3C3729A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6EDF959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92</w:t>
            </w:r>
          </w:p>
        </w:tc>
        <w:tc>
          <w:tcPr>
            <w:tcW w:w="2520" w:type="dxa"/>
            <w:tcBorders>
              <w:top w:val="nil"/>
              <w:left w:val="nil"/>
              <w:bottom w:val="nil"/>
              <w:right w:val="nil"/>
            </w:tcBorders>
            <w:noWrap w:val="0"/>
            <w:tcMar>
              <w:top w:w="-1" w:type="dxa"/>
              <w:left w:w="-1" w:type="dxa"/>
              <w:bottom w:w="-1" w:type="dxa"/>
              <w:right w:w="-1" w:type="dxa"/>
            </w:tcMar>
            <w:vAlign w:val="center"/>
          </w:tcPr>
          <w:p w14:paraId="63F90DF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16FDC96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19.9</w:t>
            </w:r>
          </w:p>
        </w:tc>
        <w:tc>
          <w:tcPr>
            <w:tcW w:w="950" w:type="dxa"/>
            <w:tcBorders>
              <w:top w:val="nil"/>
              <w:left w:val="nil"/>
              <w:bottom w:val="nil"/>
              <w:right w:val="nil"/>
            </w:tcBorders>
            <w:noWrap w:val="0"/>
            <w:tcMar>
              <w:top w:w="-1" w:type="dxa"/>
              <w:left w:w="-1" w:type="dxa"/>
              <w:bottom w:w="-1" w:type="dxa"/>
              <w:right w:w="-1" w:type="dxa"/>
            </w:tcMar>
            <w:vAlign w:val="center"/>
          </w:tcPr>
          <w:p w14:paraId="7C6A904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0.57</w:t>
            </w:r>
          </w:p>
        </w:tc>
        <w:tc>
          <w:tcPr>
            <w:tcW w:w="950" w:type="dxa"/>
            <w:tcBorders>
              <w:top w:val="nil"/>
              <w:left w:val="nil"/>
              <w:bottom w:val="nil"/>
              <w:right w:val="nil"/>
            </w:tcBorders>
            <w:noWrap w:val="0"/>
            <w:tcMar>
              <w:top w:w="-1" w:type="dxa"/>
              <w:left w:w="-1" w:type="dxa"/>
              <w:bottom w:w="-1" w:type="dxa"/>
              <w:right w:w="-1" w:type="dxa"/>
            </w:tcMar>
            <w:vAlign w:val="center"/>
          </w:tcPr>
          <w:p w14:paraId="7ECF933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0.6</w:t>
            </w:r>
          </w:p>
        </w:tc>
        <w:tc>
          <w:tcPr>
            <w:tcW w:w="2131" w:type="dxa"/>
            <w:tcBorders>
              <w:top w:val="nil"/>
              <w:left w:val="nil"/>
              <w:bottom w:val="nil"/>
              <w:right w:val="nil"/>
            </w:tcBorders>
            <w:noWrap w:val="0"/>
            <w:tcMar>
              <w:top w:w="-1" w:type="dxa"/>
              <w:left w:w="-1" w:type="dxa"/>
              <w:bottom w:w="-1" w:type="dxa"/>
              <w:right w:w="-1" w:type="dxa"/>
            </w:tcMar>
            <w:vAlign w:val="center"/>
          </w:tcPr>
          <w:p w14:paraId="5E5444E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40AC48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73B31F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7310184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288F4FF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E20</w:t>
            </w:r>
          </w:p>
        </w:tc>
        <w:tc>
          <w:tcPr>
            <w:tcW w:w="864" w:type="dxa"/>
            <w:tcBorders>
              <w:top w:val="nil"/>
              <w:left w:val="nil"/>
              <w:bottom w:val="nil"/>
              <w:right w:val="nil"/>
            </w:tcBorders>
            <w:noWrap w:val="0"/>
            <w:tcMar>
              <w:top w:w="-1" w:type="dxa"/>
              <w:left w:w="-1" w:type="dxa"/>
              <w:bottom w:w="-1" w:type="dxa"/>
              <w:right w:w="-1" w:type="dxa"/>
            </w:tcMar>
            <w:vAlign w:val="center"/>
          </w:tcPr>
          <w:p w14:paraId="135ABBD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498C1A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98</w:t>
            </w:r>
          </w:p>
        </w:tc>
        <w:tc>
          <w:tcPr>
            <w:tcW w:w="2520" w:type="dxa"/>
            <w:tcBorders>
              <w:top w:val="nil"/>
              <w:left w:val="nil"/>
              <w:bottom w:val="nil"/>
              <w:right w:val="nil"/>
            </w:tcBorders>
            <w:noWrap w:val="0"/>
            <w:tcMar>
              <w:top w:w="-1" w:type="dxa"/>
              <w:left w:w="-1" w:type="dxa"/>
              <w:bottom w:w="-1" w:type="dxa"/>
              <w:right w:w="-1" w:type="dxa"/>
            </w:tcMar>
            <w:vAlign w:val="center"/>
          </w:tcPr>
          <w:p w14:paraId="7846BBB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570EEE1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58.06</w:t>
            </w:r>
          </w:p>
        </w:tc>
        <w:tc>
          <w:tcPr>
            <w:tcW w:w="950" w:type="dxa"/>
            <w:tcBorders>
              <w:top w:val="nil"/>
              <w:left w:val="nil"/>
              <w:bottom w:val="nil"/>
              <w:right w:val="nil"/>
            </w:tcBorders>
            <w:noWrap w:val="0"/>
            <w:tcMar>
              <w:top w:w="-1" w:type="dxa"/>
              <w:left w:w="-1" w:type="dxa"/>
              <w:bottom w:w="-1" w:type="dxa"/>
              <w:right w:w="-1" w:type="dxa"/>
            </w:tcMar>
            <w:vAlign w:val="center"/>
          </w:tcPr>
          <w:p w14:paraId="1D4A9DD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6.31</w:t>
            </w:r>
          </w:p>
        </w:tc>
        <w:tc>
          <w:tcPr>
            <w:tcW w:w="950" w:type="dxa"/>
            <w:tcBorders>
              <w:top w:val="nil"/>
              <w:left w:val="nil"/>
              <w:bottom w:val="nil"/>
              <w:right w:val="nil"/>
            </w:tcBorders>
            <w:noWrap w:val="0"/>
            <w:tcMar>
              <w:top w:w="-1" w:type="dxa"/>
              <w:left w:w="-1" w:type="dxa"/>
              <w:bottom w:w="-1" w:type="dxa"/>
              <w:right w:w="-1" w:type="dxa"/>
            </w:tcMar>
            <w:vAlign w:val="center"/>
          </w:tcPr>
          <w:p w14:paraId="2FC8DA4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3.27</w:t>
            </w:r>
          </w:p>
        </w:tc>
        <w:tc>
          <w:tcPr>
            <w:tcW w:w="2131" w:type="dxa"/>
            <w:tcBorders>
              <w:top w:val="nil"/>
              <w:left w:val="nil"/>
              <w:bottom w:val="nil"/>
              <w:right w:val="nil"/>
            </w:tcBorders>
            <w:noWrap w:val="0"/>
            <w:tcMar>
              <w:top w:w="-1" w:type="dxa"/>
              <w:left w:w="-1" w:type="dxa"/>
              <w:bottom w:w="-1" w:type="dxa"/>
              <w:right w:w="-1" w:type="dxa"/>
            </w:tcMar>
            <w:vAlign w:val="center"/>
          </w:tcPr>
          <w:p w14:paraId="2CB63D1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48CC4C7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614BA41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6AAEFB2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0F607AD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E21</w:t>
            </w:r>
          </w:p>
        </w:tc>
        <w:tc>
          <w:tcPr>
            <w:tcW w:w="864" w:type="dxa"/>
            <w:tcBorders>
              <w:top w:val="nil"/>
              <w:left w:val="nil"/>
              <w:bottom w:val="nil"/>
              <w:right w:val="nil"/>
            </w:tcBorders>
            <w:noWrap w:val="0"/>
            <w:tcMar>
              <w:top w:w="-1" w:type="dxa"/>
              <w:left w:w="-1" w:type="dxa"/>
              <w:bottom w:w="-1" w:type="dxa"/>
              <w:right w:w="-1" w:type="dxa"/>
            </w:tcMar>
            <w:vAlign w:val="center"/>
          </w:tcPr>
          <w:p w14:paraId="0E56248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078D24F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98</w:t>
            </w:r>
          </w:p>
        </w:tc>
        <w:tc>
          <w:tcPr>
            <w:tcW w:w="2520" w:type="dxa"/>
            <w:tcBorders>
              <w:top w:val="nil"/>
              <w:left w:val="nil"/>
              <w:bottom w:val="nil"/>
              <w:right w:val="nil"/>
            </w:tcBorders>
            <w:noWrap w:val="0"/>
            <w:tcMar>
              <w:top w:w="-1" w:type="dxa"/>
              <w:left w:w="-1" w:type="dxa"/>
              <w:bottom w:w="-1" w:type="dxa"/>
              <w:right w:w="-1" w:type="dxa"/>
            </w:tcMar>
            <w:vAlign w:val="center"/>
          </w:tcPr>
          <w:p w14:paraId="713FC7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2EA4F2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0.03</w:t>
            </w:r>
          </w:p>
        </w:tc>
        <w:tc>
          <w:tcPr>
            <w:tcW w:w="950" w:type="dxa"/>
            <w:tcBorders>
              <w:top w:val="nil"/>
              <w:left w:val="nil"/>
              <w:bottom w:val="nil"/>
              <w:right w:val="nil"/>
            </w:tcBorders>
            <w:noWrap w:val="0"/>
            <w:tcMar>
              <w:top w:w="-1" w:type="dxa"/>
              <w:left w:w="-1" w:type="dxa"/>
              <w:bottom w:w="-1" w:type="dxa"/>
              <w:right w:w="-1" w:type="dxa"/>
            </w:tcMar>
            <w:vAlign w:val="center"/>
          </w:tcPr>
          <w:p w14:paraId="1F88111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20.19</w:t>
            </w:r>
          </w:p>
        </w:tc>
        <w:tc>
          <w:tcPr>
            <w:tcW w:w="950" w:type="dxa"/>
            <w:tcBorders>
              <w:top w:val="nil"/>
              <w:left w:val="nil"/>
              <w:bottom w:val="nil"/>
              <w:right w:val="nil"/>
            </w:tcBorders>
            <w:noWrap w:val="0"/>
            <w:tcMar>
              <w:top w:w="-1" w:type="dxa"/>
              <w:left w:w="-1" w:type="dxa"/>
              <w:bottom w:w="-1" w:type="dxa"/>
              <w:right w:w="-1" w:type="dxa"/>
            </w:tcMar>
            <w:vAlign w:val="center"/>
          </w:tcPr>
          <w:p w14:paraId="70F7E1F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7.05</w:t>
            </w:r>
          </w:p>
        </w:tc>
        <w:tc>
          <w:tcPr>
            <w:tcW w:w="2131" w:type="dxa"/>
            <w:tcBorders>
              <w:top w:val="nil"/>
              <w:left w:val="nil"/>
              <w:bottom w:val="nil"/>
              <w:right w:val="nil"/>
            </w:tcBorders>
            <w:noWrap w:val="0"/>
            <w:tcMar>
              <w:top w:w="-1" w:type="dxa"/>
              <w:left w:w="-1" w:type="dxa"/>
              <w:bottom w:w="-1" w:type="dxa"/>
              <w:right w:w="-1" w:type="dxa"/>
            </w:tcMar>
            <w:vAlign w:val="center"/>
          </w:tcPr>
          <w:p w14:paraId="2FE87C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161 / 50.75</w:t>
            </w:r>
          </w:p>
        </w:tc>
        <w:tc>
          <w:tcPr>
            <w:tcW w:w="1872" w:type="dxa"/>
            <w:tcBorders>
              <w:top w:val="nil"/>
              <w:left w:val="nil"/>
              <w:bottom w:val="nil"/>
              <w:right w:val="nil"/>
            </w:tcBorders>
            <w:noWrap w:val="0"/>
            <w:tcMar>
              <w:top w:w="-1" w:type="dxa"/>
              <w:left w:w="-1" w:type="dxa"/>
              <w:bottom w:w="-1" w:type="dxa"/>
              <w:right w:w="-1" w:type="dxa"/>
            </w:tcMar>
            <w:vAlign w:val="center"/>
          </w:tcPr>
          <w:p w14:paraId="2CE0B8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161</w:t>
            </w:r>
          </w:p>
        </w:tc>
        <w:tc>
          <w:tcPr>
            <w:tcW w:w="2966" w:type="dxa"/>
            <w:tcBorders>
              <w:top w:val="nil"/>
              <w:left w:val="nil"/>
              <w:bottom w:val="nil"/>
              <w:right w:val="nil"/>
            </w:tcBorders>
            <w:noWrap w:val="0"/>
            <w:tcMar>
              <w:top w:w="-1" w:type="dxa"/>
              <w:left w:w="-1" w:type="dxa"/>
              <w:bottom w:w="-1" w:type="dxa"/>
              <w:right w:w="-1" w:type="dxa"/>
            </w:tcMar>
            <w:vAlign w:val="center"/>
          </w:tcPr>
          <w:p w14:paraId="0EC4F37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63</w:t>
            </w:r>
          </w:p>
        </w:tc>
      </w:tr>
      <w:tr w14:paraId="5EF98AD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ACE05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E22</w:t>
            </w:r>
          </w:p>
        </w:tc>
        <w:tc>
          <w:tcPr>
            <w:tcW w:w="864" w:type="dxa"/>
            <w:tcBorders>
              <w:top w:val="nil"/>
              <w:left w:val="nil"/>
              <w:bottom w:val="nil"/>
              <w:right w:val="nil"/>
            </w:tcBorders>
            <w:noWrap w:val="0"/>
            <w:tcMar>
              <w:top w:w="-1" w:type="dxa"/>
              <w:left w:w="-1" w:type="dxa"/>
              <w:bottom w:w="-1" w:type="dxa"/>
              <w:right w:w="-1" w:type="dxa"/>
            </w:tcMar>
            <w:vAlign w:val="center"/>
          </w:tcPr>
          <w:p w14:paraId="5D110CE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6208BA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109</w:t>
            </w:r>
          </w:p>
        </w:tc>
        <w:tc>
          <w:tcPr>
            <w:tcW w:w="2520" w:type="dxa"/>
            <w:tcBorders>
              <w:top w:val="nil"/>
              <w:left w:val="nil"/>
              <w:bottom w:val="nil"/>
              <w:right w:val="nil"/>
            </w:tcBorders>
            <w:noWrap w:val="0"/>
            <w:tcMar>
              <w:top w:w="-1" w:type="dxa"/>
              <w:left w:w="-1" w:type="dxa"/>
              <w:bottom w:w="-1" w:type="dxa"/>
              <w:right w:w="-1" w:type="dxa"/>
            </w:tcMar>
            <w:vAlign w:val="center"/>
          </w:tcPr>
          <w:p w14:paraId="1ADC3F3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193A3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100</w:t>
            </w:r>
          </w:p>
        </w:tc>
        <w:tc>
          <w:tcPr>
            <w:tcW w:w="950" w:type="dxa"/>
            <w:tcBorders>
              <w:top w:val="nil"/>
              <w:left w:val="nil"/>
              <w:bottom w:val="nil"/>
              <w:right w:val="nil"/>
            </w:tcBorders>
            <w:noWrap w:val="0"/>
            <w:tcMar>
              <w:top w:w="-1" w:type="dxa"/>
              <w:left w:w="-1" w:type="dxa"/>
              <w:bottom w:w="-1" w:type="dxa"/>
              <w:right w:w="-1" w:type="dxa"/>
            </w:tcMar>
            <w:vAlign w:val="center"/>
          </w:tcPr>
          <w:p w14:paraId="7234493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0.98</w:t>
            </w:r>
          </w:p>
        </w:tc>
        <w:tc>
          <w:tcPr>
            <w:tcW w:w="950" w:type="dxa"/>
            <w:tcBorders>
              <w:top w:val="nil"/>
              <w:left w:val="nil"/>
              <w:bottom w:val="nil"/>
              <w:right w:val="nil"/>
            </w:tcBorders>
            <w:noWrap w:val="0"/>
            <w:tcMar>
              <w:top w:w="-1" w:type="dxa"/>
              <w:left w:w="-1" w:type="dxa"/>
              <w:bottom w:w="-1" w:type="dxa"/>
              <w:right w:w="-1" w:type="dxa"/>
            </w:tcMar>
            <w:vAlign w:val="center"/>
          </w:tcPr>
          <w:p w14:paraId="1A73C9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0.4</w:t>
            </w:r>
          </w:p>
        </w:tc>
        <w:tc>
          <w:tcPr>
            <w:tcW w:w="2131" w:type="dxa"/>
            <w:tcBorders>
              <w:top w:val="nil"/>
              <w:left w:val="nil"/>
              <w:bottom w:val="nil"/>
              <w:right w:val="nil"/>
            </w:tcBorders>
            <w:noWrap w:val="0"/>
            <w:tcMar>
              <w:top w:w="-1" w:type="dxa"/>
              <w:left w:w="-1" w:type="dxa"/>
              <w:bottom w:w="-1" w:type="dxa"/>
              <w:right w:w="-1" w:type="dxa"/>
            </w:tcMar>
            <w:vAlign w:val="center"/>
          </w:tcPr>
          <w:p w14:paraId="0CF8D97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33213FD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13E1B26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6B39F06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4D355DC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E23</w:t>
            </w:r>
          </w:p>
        </w:tc>
        <w:tc>
          <w:tcPr>
            <w:tcW w:w="864" w:type="dxa"/>
            <w:tcBorders>
              <w:top w:val="nil"/>
              <w:left w:val="nil"/>
              <w:bottom w:val="nil"/>
              <w:right w:val="nil"/>
            </w:tcBorders>
            <w:noWrap w:val="0"/>
            <w:tcMar>
              <w:top w:w="-1" w:type="dxa"/>
              <w:left w:w="-1" w:type="dxa"/>
              <w:bottom w:w="-1" w:type="dxa"/>
              <w:right w:w="-1" w:type="dxa"/>
            </w:tcMar>
            <w:vAlign w:val="center"/>
          </w:tcPr>
          <w:p w14:paraId="76B1425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6563DF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118</w:t>
            </w:r>
          </w:p>
        </w:tc>
        <w:tc>
          <w:tcPr>
            <w:tcW w:w="2520" w:type="dxa"/>
            <w:tcBorders>
              <w:top w:val="nil"/>
              <w:left w:val="nil"/>
              <w:bottom w:val="nil"/>
              <w:right w:val="nil"/>
            </w:tcBorders>
            <w:noWrap w:val="0"/>
            <w:tcMar>
              <w:top w:w="-1" w:type="dxa"/>
              <w:left w:w="-1" w:type="dxa"/>
              <w:bottom w:w="-1" w:type="dxa"/>
              <w:right w:w="-1" w:type="dxa"/>
            </w:tcMar>
            <w:vAlign w:val="center"/>
          </w:tcPr>
          <w:p w14:paraId="25A7BFD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54F3EB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46.2</w:t>
            </w:r>
          </w:p>
        </w:tc>
        <w:tc>
          <w:tcPr>
            <w:tcW w:w="950" w:type="dxa"/>
            <w:tcBorders>
              <w:top w:val="nil"/>
              <w:left w:val="nil"/>
              <w:bottom w:val="nil"/>
              <w:right w:val="nil"/>
            </w:tcBorders>
            <w:noWrap w:val="0"/>
            <w:tcMar>
              <w:top w:w="-1" w:type="dxa"/>
              <w:left w:w="-1" w:type="dxa"/>
              <w:bottom w:w="-1" w:type="dxa"/>
              <w:right w:w="-1" w:type="dxa"/>
            </w:tcMar>
            <w:vAlign w:val="center"/>
          </w:tcPr>
          <w:p w14:paraId="17ABE72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2.76</w:t>
            </w:r>
          </w:p>
        </w:tc>
        <w:tc>
          <w:tcPr>
            <w:tcW w:w="950" w:type="dxa"/>
            <w:tcBorders>
              <w:top w:val="nil"/>
              <w:left w:val="nil"/>
              <w:bottom w:val="nil"/>
              <w:right w:val="nil"/>
            </w:tcBorders>
            <w:noWrap w:val="0"/>
            <w:tcMar>
              <w:top w:w="-1" w:type="dxa"/>
              <w:left w:w="-1" w:type="dxa"/>
              <w:bottom w:w="-1" w:type="dxa"/>
              <w:right w:w="-1" w:type="dxa"/>
            </w:tcMar>
            <w:vAlign w:val="center"/>
          </w:tcPr>
          <w:p w14:paraId="7CF47D3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1.61</w:t>
            </w:r>
          </w:p>
        </w:tc>
        <w:tc>
          <w:tcPr>
            <w:tcW w:w="2131" w:type="dxa"/>
            <w:tcBorders>
              <w:top w:val="nil"/>
              <w:left w:val="nil"/>
              <w:bottom w:val="nil"/>
              <w:right w:val="nil"/>
            </w:tcBorders>
            <w:noWrap w:val="0"/>
            <w:tcMar>
              <w:top w:w="-1" w:type="dxa"/>
              <w:left w:w="-1" w:type="dxa"/>
              <w:bottom w:w="-1" w:type="dxa"/>
              <w:right w:w="-1" w:type="dxa"/>
            </w:tcMar>
            <w:vAlign w:val="center"/>
          </w:tcPr>
          <w:p w14:paraId="0E7C488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1F38E36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A92EFF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2623F71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585B7C8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E24</w:t>
            </w:r>
          </w:p>
        </w:tc>
        <w:tc>
          <w:tcPr>
            <w:tcW w:w="864" w:type="dxa"/>
            <w:tcBorders>
              <w:top w:val="nil"/>
              <w:left w:val="nil"/>
              <w:bottom w:val="nil"/>
              <w:right w:val="nil"/>
            </w:tcBorders>
            <w:noWrap w:val="0"/>
            <w:tcMar>
              <w:top w:w="-1" w:type="dxa"/>
              <w:left w:w="-1" w:type="dxa"/>
              <w:bottom w:w="-1" w:type="dxa"/>
              <w:right w:w="-1" w:type="dxa"/>
            </w:tcMar>
            <w:vAlign w:val="center"/>
          </w:tcPr>
          <w:p w14:paraId="70C1E89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37F09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126</w:t>
            </w:r>
          </w:p>
        </w:tc>
        <w:tc>
          <w:tcPr>
            <w:tcW w:w="2520" w:type="dxa"/>
            <w:tcBorders>
              <w:top w:val="nil"/>
              <w:left w:val="nil"/>
              <w:bottom w:val="nil"/>
              <w:right w:val="nil"/>
            </w:tcBorders>
            <w:noWrap w:val="0"/>
            <w:tcMar>
              <w:top w:w="-1" w:type="dxa"/>
              <w:left w:w="-1" w:type="dxa"/>
              <w:bottom w:w="-1" w:type="dxa"/>
              <w:right w:w="-1" w:type="dxa"/>
            </w:tcMar>
            <w:vAlign w:val="center"/>
          </w:tcPr>
          <w:p w14:paraId="5291AC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0E61BAF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100</w:t>
            </w:r>
          </w:p>
        </w:tc>
        <w:tc>
          <w:tcPr>
            <w:tcW w:w="950" w:type="dxa"/>
            <w:tcBorders>
              <w:top w:val="nil"/>
              <w:left w:val="nil"/>
              <w:bottom w:val="nil"/>
              <w:right w:val="nil"/>
            </w:tcBorders>
            <w:noWrap w:val="0"/>
            <w:tcMar>
              <w:top w:w="-1" w:type="dxa"/>
              <w:left w:w="-1" w:type="dxa"/>
              <w:bottom w:w="-1" w:type="dxa"/>
              <w:right w:w="-1" w:type="dxa"/>
            </w:tcMar>
            <w:vAlign w:val="center"/>
          </w:tcPr>
          <w:p w14:paraId="7E7A1E0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0.5</w:t>
            </w:r>
          </w:p>
        </w:tc>
        <w:tc>
          <w:tcPr>
            <w:tcW w:w="950" w:type="dxa"/>
            <w:tcBorders>
              <w:top w:val="nil"/>
              <w:left w:val="nil"/>
              <w:bottom w:val="nil"/>
              <w:right w:val="nil"/>
            </w:tcBorders>
            <w:noWrap w:val="0"/>
            <w:tcMar>
              <w:top w:w="-1" w:type="dxa"/>
              <w:left w:w="-1" w:type="dxa"/>
              <w:bottom w:w="-1" w:type="dxa"/>
              <w:right w:w="-1" w:type="dxa"/>
            </w:tcMar>
            <w:vAlign w:val="center"/>
          </w:tcPr>
          <w:p w14:paraId="6C65CFC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0.6</w:t>
            </w:r>
          </w:p>
        </w:tc>
        <w:tc>
          <w:tcPr>
            <w:tcW w:w="2131" w:type="dxa"/>
            <w:tcBorders>
              <w:top w:val="nil"/>
              <w:left w:val="nil"/>
              <w:bottom w:val="nil"/>
              <w:right w:val="nil"/>
            </w:tcBorders>
            <w:noWrap w:val="0"/>
            <w:tcMar>
              <w:top w:w="-1" w:type="dxa"/>
              <w:left w:w="-1" w:type="dxa"/>
              <w:bottom w:w="-1" w:type="dxa"/>
              <w:right w:w="-1" w:type="dxa"/>
            </w:tcMar>
            <w:vAlign w:val="center"/>
          </w:tcPr>
          <w:p w14:paraId="2AC6A3F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174 / 67.62</w:t>
            </w:r>
          </w:p>
        </w:tc>
        <w:tc>
          <w:tcPr>
            <w:tcW w:w="1872" w:type="dxa"/>
            <w:tcBorders>
              <w:top w:val="nil"/>
              <w:left w:val="nil"/>
              <w:bottom w:val="nil"/>
              <w:right w:val="nil"/>
            </w:tcBorders>
            <w:noWrap w:val="0"/>
            <w:tcMar>
              <w:top w:w="-1" w:type="dxa"/>
              <w:left w:w="-1" w:type="dxa"/>
              <w:bottom w:w="-1" w:type="dxa"/>
              <w:right w:w="-1" w:type="dxa"/>
            </w:tcMar>
            <w:vAlign w:val="center"/>
          </w:tcPr>
          <w:p w14:paraId="4466463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4BA765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71</w:t>
            </w:r>
          </w:p>
        </w:tc>
      </w:tr>
      <w:tr w14:paraId="583275A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08FDFF1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E25</w:t>
            </w:r>
          </w:p>
        </w:tc>
        <w:tc>
          <w:tcPr>
            <w:tcW w:w="864" w:type="dxa"/>
            <w:tcBorders>
              <w:top w:val="nil"/>
              <w:left w:val="nil"/>
              <w:bottom w:val="nil"/>
              <w:right w:val="nil"/>
            </w:tcBorders>
            <w:noWrap w:val="0"/>
            <w:tcMar>
              <w:top w:w="-1" w:type="dxa"/>
              <w:left w:w="-1" w:type="dxa"/>
              <w:bottom w:w="-1" w:type="dxa"/>
              <w:right w:w="-1" w:type="dxa"/>
            </w:tcMar>
            <w:vAlign w:val="center"/>
          </w:tcPr>
          <w:p w14:paraId="2541E91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132FE7D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127</w:t>
            </w:r>
          </w:p>
        </w:tc>
        <w:tc>
          <w:tcPr>
            <w:tcW w:w="2520" w:type="dxa"/>
            <w:tcBorders>
              <w:top w:val="nil"/>
              <w:left w:val="nil"/>
              <w:bottom w:val="nil"/>
              <w:right w:val="nil"/>
            </w:tcBorders>
            <w:noWrap w:val="0"/>
            <w:tcMar>
              <w:top w:w="-1" w:type="dxa"/>
              <w:left w:w="-1" w:type="dxa"/>
              <w:bottom w:w="-1" w:type="dxa"/>
              <w:right w:w="-1" w:type="dxa"/>
            </w:tcMar>
            <w:vAlign w:val="center"/>
          </w:tcPr>
          <w:p w14:paraId="7034BA1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D4E72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23.1</w:t>
            </w:r>
          </w:p>
        </w:tc>
        <w:tc>
          <w:tcPr>
            <w:tcW w:w="950" w:type="dxa"/>
            <w:tcBorders>
              <w:top w:val="nil"/>
              <w:left w:val="nil"/>
              <w:bottom w:val="nil"/>
              <w:right w:val="nil"/>
            </w:tcBorders>
            <w:noWrap w:val="0"/>
            <w:tcMar>
              <w:top w:w="-1" w:type="dxa"/>
              <w:left w:w="-1" w:type="dxa"/>
              <w:bottom w:w="-1" w:type="dxa"/>
              <w:right w:w="-1" w:type="dxa"/>
            </w:tcMar>
            <w:vAlign w:val="center"/>
          </w:tcPr>
          <w:p w14:paraId="7B59B55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10.77</w:t>
            </w:r>
          </w:p>
        </w:tc>
        <w:tc>
          <w:tcPr>
            <w:tcW w:w="950" w:type="dxa"/>
            <w:tcBorders>
              <w:top w:val="nil"/>
              <w:left w:val="nil"/>
              <w:bottom w:val="nil"/>
              <w:right w:val="nil"/>
            </w:tcBorders>
            <w:noWrap w:val="0"/>
            <w:tcMar>
              <w:top w:w="-1" w:type="dxa"/>
              <w:left w:w="-1" w:type="dxa"/>
              <w:bottom w:w="-1" w:type="dxa"/>
              <w:right w:w="-1" w:type="dxa"/>
            </w:tcMar>
            <w:vAlign w:val="center"/>
          </w:tcPr>
          <w:p w14:paraId="1367314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3.9</w:t>
            </w:r>
          </w:p>
        </w:tc>
        <w:tc>
          <w:tcPr>
            <w:tcW w:w="2131" w:type="dxa"/>
            <w:tcBorders>
              <w:top w:val="nil"/>
              <w:left w:val="nil"/>
              <w:bottom w:val="nil"/>
              <w:right w:val="nil"/>
            </w:tcBorders>
            <w:noWrap w:val="0"/>
            <w:tcMar>
              <w:top w:w="-1" w:type="dxa"/>
              <w:left w:w="-1" w:type="dxa"/>
              <w:bottom w:w="-1" w:type="dxa"/>
              <w:right w:w="-1" w:type="dxa"/>
            </w:tcMar>
            <w:vAlign w:val="center"/>
          </w:tcPr>
          <w:p w14:paraId="4763745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148 / 84.69</w:t>
            </w:r>
          </w:p>
        </w:tc>
        <w:tc>
          <w:tcPr>
            <w:tcW w:w="1872" w:type="dxa"/>
            <w:tcBorders>
              <w:top w:val="nil"/>
              <w:left w:val="nil"/>
              <w:bottom w:val="nil"/>
              <w:right w:val="nil"/>
            </w:tcBorders>
            <w:noWrap w:val="0"/>
            <w:tcMar>
              <w:top w:w="-1" w:type="dxa"/>
              <w:left w:w="-1" w:type="dxa"/>
              <w:bottom w:w="-1" w:type="dxa"/>
              <w:right w:w="-1" w:type="dxa"/>
            </w:tcMar>
            <w:vAlign w:val="center"/>
          </w:tcPr>
          <w:p w14:paraId="1AB27BA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0F2041D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 / 91</w:t>
            </w:r>
          </w:p>
        </w:tc>
      </w:tr>
      <w:tr w14:paraId="197130A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7AB155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E26</w:t>
            </w:r>
          </w:p>
        </w:tc>
        <w:tc>
          <w:tcPr>
            <w:tcW w:w="864" w:type="dxa"/>
            <w:tcBorders>
              <w:top w:val="nil"/>
              <w:left w:val="nil"/>
              <w:bottom w:val="nil"/>
              <w:right w:val="nil"/>
            </w:tcBorders>
            <w:noWrap w:val="0"/>
            <w:tcMar>
              <w:top w:w="-1" w:type="dxa"/>
              <w:left w:w="-1" w:type="dxa"/>
              <w:bottom w:w="-1" w:type="dxa"/>
              <w:right w:w="-1" w:type="dxa"/>
            </w:tcMar>
            <w:vAlign w:val="center"/>
          </w:tcPr>
          <w:p w14:paraId="6414998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08CCD6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140</w:t>
            </w:r>
          </w:p>
        </w:tc>
        <w:tc>
          <w:tcPr>
            <w:tcW w:w="2520" w:type="dxa"/>
            <w:tcBorders>
              <w:top w:val="nil"/>
              <w:left w:val="nil"/>
              <w:bottom w:val="nil"/>
              <w:right w:val="nil"/>
            </w:tcBorders>
            <w:noWrap w:val="0"/>
            <w:tcMar>
              <w:top w:w="-1" w:type="dxa"/>
              <w:left w:w="-1" w:type="dxa"/>
              <w:bottom w:w="-1" w:type="dxa"/>
              <w:right w:w="-1" w:type="dxa"/>
            </w:tcMar>
            <w:vAlign w:val="center"/>
          </w:tcPr>
          <w:p w14:paraId="1E84408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08366A0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9.34</w:t>
            </w:r>
          </w:p>
        </w:tc>
        <w:tc>
          <w:tcPr>
            <w:tcW w:w="950" w:type="dxa"/>
            <w:tcBorders>
              <w:top w:val="nil"/>
              <w:left w:val="nil"/>
              <w:bottom w:val="nil"/>
              <w:right w:val="nil"/>
            </w:tcBorders>
            <w:noWrap w:val="0"/>
            <w:tcMar>
              <w:top w:w="-1" w:type="dxa"/>
              <w:left w:w="-1" w:type="dxa"/>
              <w:bottom w:w="-1" w:type="dxa"/>
              <w:right w:w="-1" w:type="dxa"/>
            </w:tcMar>
            <w:vAlign w:val="center"/>
          </w:tcPr>
          <w:p w14:paraId="0A763B4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11.92</w:t>
            </w:r>
          </w:p>
        </w:tc>
        <w:tc>
          <w:tcPr>
            <w:tcW w:w="950" w:type="dxa"/>
            <w:tcBorders>
              <w:top w:val="nil"/>
              <w:left w:val="nil"/>
              <w:bottom w:val="nil"/>
              <w:right w:val="nil"/>
            </w:tcBorders>
            <w:noWrap w:val="0"/>
            <w:tcMar>
              <w:top w:w="-1" w:type="dxa"/>
              <w:left w:w="-1" w:type="dxa"/>
              <w:bottom w:w="-1" w:type="dxa"/>
              <w:right w:w="-1" w:type="dxa"/>
            </w:tcMar>
            <w:vAlign w:val="center"/>
          </w:tcPr>
          <w:p w14:paraId="682DED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3.43</w:t>
            </w:r>
          </w:p>
        </w:tc>
        <w:tc>
          <w:tcPr>
            <w:tcW w:w="2131" w:type="dxa"/>
            <w:tcBorders>
              <w:top w:val="nil"/>
              <w:left w:val="nil"/>
              <w:bottom w:val="nil"/>
              <w:right w:val="nil"/>
            </w:tcBorders>
            <w:noWrap w:val="0"/>
            <w:tcMar>
              <w:top w:w="-1" w:type="dxa"/>
              <w:left w:w="-1" w:type="dxa"/>
              <w:bottom w:w="-1" w:type="dxa"/>
              <w:right w:w="-1" w:type="dxa"/>
            </w:tcMar>
            <w:vAlign w:val="center"/>
          </w:tcPr>
          <w:p w14:paraId="2558C86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174 / 6.39</w:t>
            </w:r>
          </w:p>
        </w:tc>
        <w:tc>
          <w:tcPr>
            <w:tcW w:w="1872" w:type="dxa"/>
            <w:tcBorders>
              <w:top w:val="nil"/>
              <w:left w:val="nil"/>
              <w:bottom w:val="nil"/>
              <w:right w:val="nil"/>
            </w:tcBorders>
            <w:noWrap w:val="0"/>
            <w:tcMar>
              <w:top w:w="-1" w:type="dxa"/>
              <w:left w:w="-1" w:type="dxa"/>
              <w:bottom w:w="-1" w:type="dxa"/>
              <w:right w:w="-1" w:type="dxa"/>
            </w:tcMar>
            <w:vAlign w:val="center"/>
          </w:tcPr>
          <w:p w14:paraId="03B3C5D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10CE4F7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57</w:t>
            </w:r>
          </w:p>
        </w:tc>
      </w:tr>
      <w:tr w14:paraId="7751B52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B697F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E27</w:t>
            </w:r>
          </w:p>
        </w:tc>
        <w:tc>
          <w:tcPr>
            <w:tcW w:w="864" w:type="dxa"/>
            <w:tcBorders>
              <w:top w:val="nil"/>
              <w:left w:val="nil"/>
              <w:bottom w:val="nil"/>
              <w:right w:val="nil"/>
            </w:tcBorders>
            <w:noWrap w:val="0"/>
            <w:tcMar>
              <w:top w:w="-1" w:type="dxa"/>
              <w:left w:w="-1" w:type="dxa"/>
              <w:bottom w:w="-1" w:type="dxa"/>
              <w:right w:w="-1" w:type="dxa"/>
            </w:tcMar>
            <w:vAlign w:val="center"/>
          </w:tcPr>
          <w:p w14:paraId="0CF7BF7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521AD66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158</w:t>
            </w:r>
          </w:p>
        </w:tc>
        <w:tc>
          <w:tcPr>
            <w:tcW w:w="2520" w:type="dxa"/>
            <w:tcBorders>
              <w:top w:val="nil"/>
              <w:left w:val="nil"/>
              <w:bottom w:val="nil"/>
              <w:right w:val="nil"/>
            </w:tcBorders>
            <w:noWrap w:val="0"/>
            <w:tcMar>
              <w:top w:w="-1" w:type="dxa"/>
              <w:left w:w="-1" w:type="dxa"/>
              <w:bottom w:w="-1" w:type="dxa"/>
              <w:right w:w="-1" w:type="dxa"/>
            </w:tcMar>
            <w:vAlign w:val="center"/>
          </w:tcPr>
          <w:p w14:paraId="2561BAE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Trajectory</w:t>
            </w:r>
          </w:p>
        </w:tc>
        <w:tc>
          <w:tcPr>
            <w:tcW w:w="950" w:type="dxa"/>
            <w:tcBorders>
              <w:top w:val="nil"/>
              <w:left w:val="nil"/>
              <w:bottom w:val="nil"/>
              <w:right w:val="nil"/>
            </w:tcBorders>
            <w:noWrap w:val="0"/>
            <w:tcMar>
              <w:top w:w="-1" w:type="dxa"/>
              <w:left w:w="-1" w:type="dxa"/>
              <w:bottom w:w="-1" w:type="dxa"/>
              <w:right w:w="-1" w:type="dxa"/>
            </w:tcMar>
            <w:vAlign w:val="center"/>
          </w:tcPr>
          <w:p w14:paraId="5D88837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0.32</w:t>
            </w:r>
          </w:p>
        </w:tc>
        <w:tc>
          <w:tcPr>
            <w:tcW w:w="950" w:type="dxa"/>
            <w:tcBorders>
              <w:top w:val="nil"/>
              <w:left w:val="nil"/>
              <w:bottom w:val="nil"/>
              <w:right w:val="nil"/>
            </w:tcBorders>
            <w:noWrap w:val="0"/>
            <w:tcMar>
              <w:top w:w="-1" w:type="dxa"/>
              <w:left w:w="-1" w:type="dxa"/>
              <w:bottom w:w="-1" w:type="dxa"/>
              <w:right w:w="-1" w:type="dxa"/>
            </w:tcMar>
            <w:vAlign w:val="center"/>
          </w:tcPr>
          <w:p w14:paraId="5350ECB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22.86</w:t>
            </w:r>
          </w:p>
        </w:tc>
        <w:tc>
          <w:tcPr>
            <w:tcW w:w="950" w:type="dxa"/>
            <w:tcBorders>
              <w:top w:val="nil"/>
              <w:left w:val="nil"/>
              <w:bottom w:val="nil"/>
              <w:right w:val="nil"/>
            </w:tcBorders>
            <w:noWrap w:val="0"/>
            <w:tcMar>
              <w:top w:w="-1" w:type="dxa"/>
              <w:left w:w="-1" w:type="dxa"/>
              <w:bottom w:w="-1" w:type="dxa"/>
              <w:right w:w="-1" w:type="dxa"/>
            </w:tcMar>
            <w:vAlign w:val="center"/>
          </w:tcPr>
          <w:p w14:paraId="214C917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5.75</w:t>
            </w:r>
          </w:p>
        </w:tc>
        <w:tc>
          <w:tcPr>
            <w:tcW w:w="2131" w:type="dxa"/>
            <w:tcBorders>
              <w:top w:val="nil"/>
              <w:left w:val="nil"/>
              <w:bottom w:val="nil"/>
              <w:right w:val="nil"/>
            </w:tcBorders>
            <w:noWrap w:val="0"/>
            <w:tcMar>
              <w:top w:w="-1" w:type="dxa"/>
              <w:left w:w="-1" w:type="dxa"/>
              <w:bottom w:w="-1" w:type="dxa"/>
              <w:right w:w="-1" w:type="dxa"/>
            </w:tcMar>
            <w:vAlign w:val="center"/>
          </w:tcPr>
          <w:p w14:paraId="598C4A2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211 / 5.88</w:t>
            </w:r>
          </w:p>
        </w:tc>
        <w:tc>
          <w:tcPr>
            <w:tcW w:w="1872" w:type="dxa"/>
            <w:tcBorders>
              <w:top w:val="nil"/>
              <w:left w:val="nil"/>
              <w:bottom w:val="nil"/>
              <w:right w:val="nil"/>
            </w:tcBorders>
            <w:noWrap w:val="0"/>
            <w:tcMar>
              <w:top w:w="-1" w:type="dxa"/>
              <w:left w:w="-1" w:type="dxa"/>
              <w:bottom w:w="-1" w:type="dxa"/>
              <w:right w:w="-1" w:type="dxa"/>
            </w:tcMar>
            <w:vAlign w:val="center"/>
          </w:tcPr>
          <w:p w14:paraId="1EA0260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263</w:t>
            </w:r>
          </w:p>
        </w:tc>
        <w:tc>
          <w:tcPr>
            <w:tcW w:w="2966" w:type="dxa"/>
            <w:tcBorders>
              <w:top w:val="nil"/>
              <w:left w:val="nil"/>
              <w:bottom w:val="nil"/>
              <w:right w:val="nil"/>
            </w:tcBorders>
            <w:noWrap w:val="0"/>
            <w:tcMar>
              <w:top w:w="-1" w:type="dxa"/>
              <w:left w:w="-1" w:type="dxa"/>
              <w:bottom w:w="-1" w:type="dxa"/>
              <w:right w:w="-1" w:type="dxa"/>
            </w:tcMar>
            <w:vAlign w:val="center"/>
          </w:tcPr>
          <w:p w14:paraId="37FF32F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 / 656</w:t>
            </w:r>
          </w:p>
        </w:tc>
      </w:tr>
      <w:tr w14:paraId="74ECC08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A8787D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E28</w:t>
            </w:r>
          </w:p>
        </w:tc>
        <w:tc>
          <w:tcPr>
            <w:tcW w:w="864" w:type="dxa"/>
            <w:tcBorders>
              <w:top w:val="nil"/>
              <w:left w:val="nil"/>
              <w:bottom w:val="nil"/>
              <w:right w:val="nil"/>
            </w:tcBorders>
            <w:noWrap w:val="0"/>
            <w:tcMar>
              <w:top w:w="-1" w:type="dxa"/>
              <w:left w:w="-1" w:type="dxa"/>
              <w:bottom w:w="-1" w:type="dxa"/>
              <w:right w:w="-1" w:type="dxa"/>
            </w:tcMar>
            <w:vAlign w:val="center"/>
          </w:tcPr>
          <w:p w14:paraId="2FF64C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7E58BA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159</w:t>
            </w:r>
          </w:p>
        </w:tc>
        <w:tc>
          <w:tcPr>
            <w:tcW w:w="2520" w:type="dxa"/>
            <w:tcBorders>
              <w:top w:val="nil"/>
              <w:left w:val="nil"/>
              <w:bottom w:val="nil"/>
              <w:right w:val="nil"/>
            </w:tcBorders>
            <w:noWrap w:val="0"/>
            <w:tcMar>
              <w:top w:w="-1" w:type="dxa"/>
              <w:left w:w="-1" w:type="dxa"/>
              <w:bottom w:w="-1" w:type="dxa"/>
              <w:right w:w="-1" w:type="dxa"/>
            </w:tcMar>
            <w:vAlign w:val="center"/>
          </w:tcPr>
          <w:p w14:paraId="0308035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229900A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12.2</w:t>
            </w:r>
          </w:p>
        </w:tc>
        <w:tc>
          <w:tcPr>
            <w:tcW w:w="950" w:type="dxa"/>
            <w:tcBorders>
              <w:top w:val="nil"/>
              <w:left w:val="nil"/>
              <w:bottom w:val="nil"/>
              <w:right w:val="nil"/>
            </w:tcBorders>
            <w:noWrap w:val="0"/>
            <w:tcMar>
              <w:top w:w="-1" w:type="dxa"/>
              <w:left w:w="-1" w:type="dxa"/>
              <w:bottom w:w="-1" w:type="dxa"/>
              <w:right w:w="-1" w:type="dxa"/>
            </w:tcMar>
            <w:vAlign w:val="center"/>
          </w:tcPr>
          <w:p w14:paraId="65EF6A8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10.8</w:t>
            </w:r>
          </w:p>
        </w:tc>
        <w:tc>
          <w:tcPr>
            <w:tcW w:w="950" w:type="dxa"/>
            <w:tcBorders>
              <w:top w:val="nil"/>
              <w:left w:val="nil"/>
              <w:bottom w:val="nil"/>
              <w:right w:val="nil"/>
            </w:tcBorders>
            <w:noWrap w:val="0"/>
            <w:tcMar>
              <w:top w:w="-1" w:type="dxa"/>
              <w:left w:w="-1" w:type="dxa"/>
              <w:bottom w:w="-1" w:type="dxa"/>
              <w:right w:w="-1" w:type="dxa"/>
            </w:tcMar>
            <w:vAlign w:val="center"/>
          </w:tcPr>
          <w:p w14:paraId="4D3CC2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3.56</w:t>
            </w:r>
          </w:p>
        </w:tc>
        <w:tc>
          <w:tcPr>
            <w:tcW w:w="2131" w:type="dxa"/>
            <w:tcBorders>
              <w:top w:val="nil"/>
              <w:left w:val="nil"/>
              <w:bottom w:val="nil"/>
              <w:right w:val="nil"/>
            </w:tcBorders>
            <w:noWrap w:val="0"/>
            <w:tcMar>
              <w:top w:w="-1" w:type="dxa"/>
              <w:left w:w="-1" w:type="dxa"/>
              <w:bottom w:w="-1" w:type="dxa"/>
              <w:right w:w="-1" w:type="dxa"/>
            </w:tcMar>
            <w:vAlign w:val="center"/>
          </w:tcPr>
          <w:p w14:paraId="6ACCA26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3148BB9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BA7C6F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 / 65</w:t>
            </w:r>
          </w:p>
        </w:tc>
      </w:tr>
      <w:tr w14:paraId="4AFB601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1B36926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E29</w:t>
            </w:r>
          </w:p>
        </w:tc>
        <w:tc>
          <w:tcPr>
            <w:tcW w:w="864" w:type="dxa"/>
            <w:tcBorders>
              <w:top w:val="nil"/>
              <w:left w:val="nil"/>
              <w:bottom w:val="nil"/>
              <w:right w:val="nil"/>
            </w:tcBorders>
            <w:noWrap w:val="0"/>
            <w:tcMar>
              <w:top w:w="-1" w:type="dxa"/>
              <w:left w:w="-1" w:type="dxa"/>
              <w:bottom w:w="-1" w:type="dxa"/>
              <w:right w:w="-1" w:type="dxa"/>
            </w:tcMar>
            <w:vAlign w:val="center"/>
          </w:tcPr>
          <w:p w14:paraId="383E81B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008" w:type="dxa"/>
            <w:tcBorders>
              <w:top w:val="nil"/>
              <w:left w:val="nil"/>
              <w:bottom w:val="nil"/>
              <w:right w:val="nil"/>
            </w:tcBorders>
            <w:noWrap w:val="0"/>
            <w:tcMar>
              <w:top w:w="-1" w:type="dxa"/>
              <w:left w:w="-1" w:type="dxa"/>
              <w:bottom w:w="-1" w:type="dxa"/>
              <w:right w:w="-1" w:type="dxa"/>
            </w:tcMar>
            <w:vAlign w:val="center"/>
          </w:tcPr>
          <w:p w14:paraId="2471750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172</w:t>
            </w:r>
          </w:p>
        </w:tc>
        <w:tc>
          <w:tcPr>
            <w:tcW w:w="2520" w:type="dxa"/>
            <w:tcBorders>
              <w:top w:val="nil"/>
              <w:left w:val="nil"/>
              <w:bottom w:val="nil"/>
              <w:right w:val="nil"/>
            </w:tcBorders>
            <w:noWrap w:val="0"/>
            <w:tcMar>
              <w:top w:w="-1" w:type="dxa"/>
              <w:left w:w="-1" w:type="dxa"/>
              <w:bottom w:w="-1" w:type="dxa"/>
              <w:right w:w="-1" w:type="dxa"/>
            </w:tcMar>
            <w:vAlign w:val="center"/>
          </w:tcPr>
          <w:p w14:paraId="49402AA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3AE7A3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7.11</w:t>
            </w:r>
          </w:p>
        </w:tc>
        <w:tc>
          <w:tcPr>
            <w:tcW w:w="950" w:type="dxa"/>
            <w:tcBorders>
              <w:top w:val="nil"/>
              <w:left w:val="nil"/>
              <w:bottom w:val="nil"/>
              <w:right w:val="nil"/>
            </w:tcBorders>
            <w:noWrap w:val="0"/>
            <w:tcMar>
              <w:top w:w="-1" w:type="dxa"/>
              <w:left w:w="-1" w:type="dxa"/>
              <w:bottom w:w="-1" w:type="dxa"/>
              <w:right w:w="-1" w:type="dxa"/>
            </w:tcMar>
            <w:vAlign w:val="center"/>
          </w:tcPr>
          <w:p w14:paraId="6C2DEF0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11.4</w:t>
            </w:r>
          </w:p>
        </w:tc>
        <w:tc>
          <w:tcPr>
            <w:tcW w:w="950" w:type="dxa"/>
            <w:tcBorders>
              <w:top w:val="nil"/>
              <w:left w:val="nil"/>
              <w:bottom w:val="nil"/>
              <w:right w:val="nil"/>
            </w:tcBorders>
            <w:noWrap w:val="0"/>
            <w:tcMar>
              <w:top w:w="-1" w:type="dxa"/>
              <w:left w:w="-1" w:type="dxa"/>
              <w:bottom w:w="-1" w:type="dxa"/>
              <w:right w:w="-1" w:type="dxa"/>
            </w:tcMar>
            <w:vAlign w:val="center"/>
          </w:tcPr>
          <w:p w14:paraId="12AB122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4.46</w:t>
            </w:r>
          </w:p>
        </w:tc>
        <w:tc>
          <w:tcPr>
            <w:tcW w:w="2131" w:type="dxa"/>
            <w:tcBorders>
              <w:top w:val="nil"/>
              <w:left w:val="nil"/>
              <w:bottom w:val="nil"/>
              <w:right w:val="nil"/>
            </w:tcBorders>
            <w:noWrap w:val="0"/>
            <w:tcMar>
              <w:top w:w="-1" w:type="dxa"/>
              <w:left w:w="-1" w:type="dxa"/>
              <w:bottom w:w="-1" w:type="dxa"/>
              <w:right w:w="-1" w:type="dxa"/>
            </w:tcMar>
            <w:vAlign w:val="center"/>
          </w:tcPr>
          <w:p w14:paraId="7A6E6CC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222 / 7.82</w:t>
            </w:r>
          </w:p>
        </w:tc>
        <w:tc>
          <w:tcPr>
            <w:tcW w:w="1872" w:type="dxa"/>
            <w:tcBorders>
              <w:top w:val="nil"/>
              <w:left w:val="nil"/>
              <w:bottom w:val="nil"/>
              <w:right w:val="nil"/>
            </w:tcBorders>
            <w:noWrap w:val="0"/>
            <w:tcMar>
              <w:top w:w="-1" w:type="dxa"/>
              <w:left w:w="-1" w:type="dxa"/>
              <w:bottom w:w="-1" w:type="dxa"/>
              <w:right w:w="-1" w:type="dxa"/>
            </w:tcMar>
            <w:vAlign w:val="center"/>
          </w:tcPr>
          <w:p w14:paraId="2BD073D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0F37FB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 / 50</w:t>
            </w:r>
          </w:p>
        </w:tc>
      </w:tr>
      <w:tr w14:paraId="5AC8986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38A9FBC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E30</w:t>
            </w:r>
          </w:p>
        </w:tc>
        <w:tc>
          <w:tcPr>
            <w:tcW w:w="864" w:type="dxa"/>
            <w:tcBorders>
              <w:top w:val="nil"/>
              <w:left w:val="nil"/>
              <w:bottom w:val="nil"/>
              <w:right w:val="nil"/>
            </w:tcBorders>
            <w:noWrap w:val="0"/>
            <w:tcMar>
              <w:top w:w="-1" w:type="dxa"/>
              <w:left w:w="-1" w:type="dxa"/>
              <w:bottom w:w="-1" w:type="dxa"/>
              <w:right w:w="-1" w:type="dxa"/>
            </w:tcMar>
            <w:vAlign w:val="center"/>
          </w:tcPr>
          <w:p w14:paraId="35D6599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129EFC6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177</w:t>
            </w:r>
          </w:p>
        </w:tc>
        <w:tc>
          <w:tcPr>
            <w:tcW w:w="2520" w:type="dxa"/>
            <w:tcBorders>
              <w:top w:val="nil"/>
              <w:left w:val="nil"/>
              <w:bottom w:val="nil"/>
              <w:right w:val="nil"/>
            </w:tcBorders>
            <w:noWrap w:val="0"/>
            <w:tcMar>
              <w:top w:w="-1" w:type="dxa"/>
              <w:left w:w="-1" w:type="dxa"/>
              <w:bottom w:w="-1" w:type="dxa"/>
              <w:right w:w="-1" w:type="dxa"/>
            </w:tcMar>
            <w:vAlign w:val="center"/>
          </w:tcPr>
          <w:p w14:paraId="5554AC5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3214C20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11.09</w:t>
            </w:r>
          </w:p>
        </w:tc>
        <w:tc>
          <w:tcPr>
            <w:tcW w:w="950" w:type="dxa"/>
            <w:tcBorders>
              <w:top w:val="nil"/>
              <w:left w:val="nil"/>
              <w:bottom w:val="nil"/>
              <w:right w:val="nil"/>
            </w:tcBorders>
            <w:noWrap w:val="0"/>
            <w:tcMar>
              <w:top w:w="-1" w:type="dxa"/>
              <w:left w:w="-1" w:type="dxa"/>
              <w:bottom w:w="-1" w:type="dxa"/>
              <w:right w:w="-1" w:type="dxa"/>
            </w:tcMar>
            <w:vAlign w:val="center"/>
          </w:tcPr>
          <w:p w14:paraId="21E5A09D">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12.05</w:t>
            </w:r>
          </w:p>
        </w:tc>
        <w:tc>
          <w:tcPr>
            <w:tcW w:w="950" w:type="dxa"/>
            <w:tcBorders>
              <w:top w:val="nil"/>
              <w:left w:val="nil"/>
              <w:bottom w:val="nil"/>
              <w:right w:val="nil"/>
            </w:tcBorders>
            <w:noWrap w:val="0"/>
            <w:tcMar>
              <w:top w:w="-1" w:type="dxa"/>
              <w:left w:w="-1" w:type="dxa"/>
              <w:bottom w:w="-1" w:type="dxa"/>
              <w:right w:w="-1" w:type="dxa"/>
            </w:tcMar>
            <w:vAlign w:val="center"/>
          </w:tcPr>
          <w:p w14:paraId="3BFE9C6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4.48</w:t>
            </w:r>
          </w:p>
        </w:tc>
        <w:tc>
          <w:tcPr>
            <w:tcW w:w="2131" w:type="dxa"/>
            <w:tcBorders>
              <w:top w:val="nil"/>
              <w:left w:val="nil"/>
              <w:bottom w:val="nil"/>
              <w:right w:val="nil"/>
            </w:tcBorders>
            <w:noWrap w:val="0"/>
            <w:tcMar>
              <w:top w:w="-1" w:type="dxa"/>
              <w:left w:w="-1" w:type="dxa"/>
              <w:bottom w:w="-1" w:type="dxa"/>
              <w:right w:w="-1" w:type="dxa"/>
            </w:tcMar>
            <w:vAlign w:val="center"/>
          </w:tcPr>
          <w:p w14:paraId="7F75A02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43ADC4D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232160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186EF12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4D20D9E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E31</w:t>
            </w:r>
          </w:p>
        </w:tc>
        <w:tc>
          <w:tcPr>
            <w:tcW w:w="864" w:type="dxa"/>
            <w:tcBorders>
              <w:top w:val="nil"/>
              <w:left w:val="nil"/>
              <w:bottom w:val="nil"/>
              <w:right w:val="nil"/>
            </w:tcBorders>
            <w:noWrap w:val="0"/>
            <w:tcMar>
              <w:top w:w="-1" w:type="dxa"/>
              <w:left w:w="-1" w:type="dxa"/>
              <w:bottom w:w="-1" w:type="dxa"/>
              <w:right w:w="-1" w:type="dxa"/>
            </w:tcMar>
            <w:vAlign w:val="center"/>
          </w:tcPr>
          <w:p w14:paraId="25A65E3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008" w:type="dxa"/>
            <w:tcBorders>
              <w:top w:val="nil"/>
              <w:left w:val="nil"/>
              <w:bottom w:val="nil"/>
              <w:right w:val="nil"/>
            </w:tcBorders>
            <w:noWrap w:val="0"/>
            <w:tcMar>
              <w:top w:w="-1" w:type="dxa"/>
              <w:left w:w="-1" w:type="dxa"/>
              <w:bottom w:w="-1" w:type="dxa"/>
              <w:right w:w="-1" w:type="dxa"/>
            </w:tcMar>
            <w:vAlign w:val="center"/>
          </w:tcPr>
          <w:p w14:paraId="655633F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208</w:t>
            </w:r>
          </w:p>
        </w:tc>
        <w:tc>
          <w:tcPr>
            <w:tcW w:w="2520" w:type="dxa"/>
            <w:tcBorders>
              <w:top w:val="nil"/>
              <w:left w:val="nil"/>
              <w:bottom w:val="nil"/>
              <w:right w:val="nil"/>
            </w:tcBorders>
            <w:noWrap w:val="0"/>
            <w:tcMar>
              <w:top w:w="-1" w:type="dxa"/>
              <w:left w:w="-1" w:type="dxa"/>
              <w:bottom w:w="-1" w:type="dxa"/>
              <w:right w:w="-1" w:type="dxa"/>
            </w:tcMar>
            <w:vAlign w:val="center"/>
          </w:tcPr>
          <w:p w14:paraId="01156D7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5EBB96C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0.01</w:t>
            </w:r>
          </w:p>
        </w:tc>
        <w:tc>
          <w:tcPr>
            <w:tcW w:w="950" w:type="dxa"/>
            <w:tcBorders>
              <w:top w:val="nil"/>
              <w:left w:val="nil"/>
              <w:bottom w:val="nil"/>
              <w:right w:val="nil"/>
            </w:tcBorders>
            <w:noWrap w:val="0"/>
            <w:tcMar>
              <w:top w:w="-1" w:type="dxa"/>
              <w:left w:w="-1" w:type="dxa"/>
              <w:bottom w:w="-1" w:type="dxa"/>
              <w:right w:w="-1" w:type="dxa"/>
            </w:tcMar>
            <w:vAlign w:val="center"/>
          </w:tcPr>
          <w:p w14:paraId="706C8CD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24.1</w:t>
            </w:r>
          </w:p>
        </w:tc>
        <w:tc>
          <w:tcPr>
            <w:tcW w:w="950" w:type="dxa"/>
            <w:tcBorders>
              <w:top w:val="nil"/>
              <w:left w:val="nil"/>
              <w:bottom w:val="nil"/>
              <w:right w:val="nil"/>
            </w:tcBorders>
            <w:noWrap w:val="0"/>
            <w:tcMar>
              <w:top w:w="-1" w:type="dxa"/>
              <w:left w:w="-1" w:type="dxa"/>
              <w:bottom w:w="-1" w:type="dxa"/>
              <w:right w:w="-1" w:type="dxa"/>
            </w:tcMar>
            <w:vAlign w:val="center"/>
          </w:tcPr>
          <w:p w14:paraId="2611078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5.96</w:t>
            </w:r>
          </w:p>
        </w:tc>
        <w:tc>
          <w:tcPr>
            <w:tcW w:w="2131" w:type="dxa"/>
            <w:tcBorders>
              <w:top w:val="nil"/>
              <w:left w:val="nil"/>
              <w:bottom w:val="nil"/>
              <w:right w:val="nil"/>
            </w:tcBorders>
            <w:noWrap w:val="0"/>
            <w:tcMar>
              <w:top w:w="-1" w:type="dxa"/>
              <w:left w:w="-1" w:type="dxa"/>
              <w:bottom w:w="-1" w:type="dxa"/>
              <w:right w:w="-1" w:type="dxa"/>
            </w:tcMar>
            <w:vAlign w:val="center"/>
          </w:tcPr>
          <w:p w14:paraId="79BB780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70CD299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40DBD30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6DE01D6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6F01BF9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E32</w:t>
            </w:r>
          </w:p>
        </w:tc>
        <w:tc>
          <w:tcPr>
            <w:tcW w:w="864" w:type="dxa"/>
            <w:tcBorders>
              <w:top w:val="nil"/>
              <w:left w:val="nil"/>
              <w:bottom w:val="nil"/>
              <w:right w:val="nil"/>
            </w:tcBorders>
            <w:noWrap w:val="0"/>
            <w:tcMar>
              <w:top w:w="-1" w:type="dxa"/>
              <w:left w:w="-1" w:type="dxa"/>
              <w:bottom w:w="-1" w:type="dxa"/>
              <w:right w:w="-1" w:type="dxa"/>
            </w:tcMar>
            <w:vAlign w:val="center"/>
          </w:tcPr>
          <w:p w14:paraId="0ECBE48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7726F8D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271</w:t>
            </w:r>
          </w:p>
        </w:tc>
        <w:tc>
          <w:tcPr>
            <w:tcW w:w="2520" w:type="dxa"/>
            <w:tcBorders>
              <w:top w:val="nil"/>
              <w:left w:val="nil"/>
              <w:bottom w:val="nil"/>
              <w:right w:val="nil"/>
            </w:tcBorders>
            <w:noWrap w:val="0"/>
            <w:tcMar>
              <w:top w:w="-1" w:type="dxa"/>
              <w:left w:w="-1" w:type="dxa"/>
              <w:bottom w:w="-1" w:type="dxa"/>
              <w:right w:w="-1" w:type="dxa"/>
            </w:tcMar>
            <w:vAlign w:val="center"/>
          </w:tcPr>
          <w:p w14:paraId="5EA2C7B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Supported TSH&gt;10</w:t>
            </w:r>
          </w:p>
        </w:tc>
        <w:tc>
          <w:tcPr>
            <w:tcW w:w="950" w:type="dxa"/>
            <w:tcBorders>
              <w:top w:val="nil"/>
              <w:left w:val="nil"/>
              <w:bottom w:val="nil"/>
              <w:right w:val="nil"/>
            </w:tcBorders>
            <w:noWrap w:val="0"/>
            <w:tcMar>
              <w:top w:w="-1" w:type="dxa"/>
              <w:left w:w="-1" w:type="dxa"/>
              <w:bottom w:w="-1" w:type="dxa"/>
              <w:right w:w="-1" w:type="dxa"/>
            </w:tcMar>
            <w:vAlign w:val="center"/>
          </w:tcPr>
          <w:p w14:paraId="3D3DE644">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10.08</w:t>
            </w:r>
          </w:p>
        </w:tc>
        <w:tc>
          <w:tcPr>
            <w:tcW w:w="950" w:type="dxa"/>
            <w:tcBorders>
              <w:top w:val="nil"/>
              <w:left w:val="nil"/>
              <w:bottom w:val="nil"/>
              <w:right w:val="nil"/>
            </w:tcBorders>
            <w:noWrap w:val="0"/>
            <w:tcMar>
              <w:top w:w="-1" w:type="dxa"/>
              <w:left w:w="-1" w:type="dxa"/>
              <w:bottom w:w="-1" w:type="dxa"/>
              <w:right w:w="-1" w:type="dxa"/>
            </w:tcMar>
            <w:vAlign w:val="center"/>
          </w:tcPr>
          <w:p w14:paraId="0073292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13.64</w:t>
            </w:r>
          </w:p>
        </w:tc>
        <w:tc>
          <w:tcPr>
            <w:tcW w:w="950" w:type="dxa"/>
            <w:tcBorders>
              <w:top w:val="nil"/>
              <w:left w:val="nil"/>
              <w:bottom w:val="nil"/>
              <w:right w:val="nil"/>
            </w:tcBorders>
            <w:noWrap w:val="0"/>
            <w:tcMar>
              <w:top w:w="-1" w:type="dxa"/>
              <w:left w:w="-1" w:type="dxa"/>
              <w:bottom w:w="-1" w:type="dxa"/>
              <w:right w:w="-1" w:type="dxa"/>
            </w:tcMar>
            <w:vAlign w:val="center"/>
          </w:tcPr>
          <w:p w14:paraId="6EBAF2E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3.23</w:t>
            </w:r>
          </w:p>
        </w:tc>
        <w:tc>
          <w:tcPr>
            <w:tcW w:w="2131" w:type="dxa"/>
            <w:tcBorders>
              <w:top w:val="nil"/>
              <w:left w:val="nil"/>
              <w:bottom w:val="nil"/>
              <w:right w:val="nil"/>
            </w:tcBorders>
            <w:noWrap w:val="0"/>
            <w:tcMar>
              <w:top w:w="-1" w:type="dxa"/>
              <w:left w:w="-1" w:type="dxa"/>
              <w:bottom w:w="-1" w:type="dxa"/>
              <w:right w:w="-1" w:type="dxa"/>
            </w:tcMar>
            <w:vAlign w:val="center"/>
          </w:tcPr>
          <w:p w14:paraId="11B94D4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313 / 5.64</w:t>
            </w:r>
          </w:p>
        </w:tc>
        <w:tc>
          <w:tcPr>
            <w:tcW w:w="1872" w:type="dxa"/>
            <w:tcBorders>
              <w:top w:val="nil"/>
              <w:left w:val="nil"/>
              <w:bottom w:val="nil"/>
              <w:right w:val="nil"/>
            </w:tcBorders>
            <w:noWrap w:val="0"/>
            <w:tcMar>
              <w:top w:w="-1" w:type="dxa"/>
              <w:left w:w="-1" w:type="dxa"/>
              <w:bottom w:w="-1" w:type="dxa"/>
              <w:right w:w="-1" w:type="dxa"/>
            </w:tcMar>
            <w:vAlign w:val="center"/>
          </w:tcPr>
          <w:p w14:paraId="40F9701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54F8E74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 / 42</w:t>
            </w:r>
          </w:p>
        </w:tc>
      </w:tr>
      <w:tr w14:paraId="27D100F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387BCBC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E33</w:t>
            </w:r>
          </w:p>
        </w:tc>
        <w:tc>
          <w:tcPr>
            <w:tcW w:w="864" w:type="dxa"/>
            <w:tcBorders>
              <w:top w:val="nil"/>
              <w:left w:val="nil"/>
              <w:bottom w:val="nil"/>
              <w:right w:val="nil"/>
            </w:tcBorders>
            <w:noWrap w:val="0"/>
            <w:tcMar>
              <w:top w:w="-1" w:type="dxa"/>
              <w:left w:w="-1" w:type="dxa"/>
              <w:bottom w:w="-1" w:type="dxa"/>
              <w:right w:w="-1" w:type="dxa"/>
            </w:tcMar>
            <w:vAlign w:val="center"/>
          </w:tcPr>
          <w:p w14:paraId="781EAE3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3FC0F80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279</w:t>
            </w:r>
          </w:p>
        </w:tc>
        <w:tc>
          <w:tcPr>
            <w:tcW w:w="2520" w:type="dxa"/>
            <w:tcBorders>
              <w:top w:val="nil"/>
              <w:left w:val="nil"/>
              <w:bottom w:val="nil"/>
              <w:right w:val="nil"/>
            </w:tcBorders>
            <w:noWrap w:val="0"/>
            <w:tcMar>
              <w:top w:w="-1" w:type="dxa"/>
              <w:left w:w="-1" w:type="dxa"/>
              <w:bottom w:w="-1" w:type="dxa"/>
              <w:right w:w="-1" w:type="dxa"/>
            </w:tcMar>
            <w:vAlign w:val="center"/>
          </w:tcPr>
          <w:p w14:paraId="3827A18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nil"/>
              <w:right w:val="nil"/>
            </w:tcBorders>
            <w:noWrap w:val="0"/>
            <w:tcMar>
              <w:top w:w="-1" w:type="dxa"/>
              <w:left w:w="-1" w:type="dxa"/>
              <w:bottom w:w="-1" w:type="dxa"/>
              <w:right w:w="-1" w:type="dxa"/>
            </w:tcMar>
            <w:vAlign w:val="center"/>
          </w:tcPr>
          <w:p w14:paraId="20E2353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5.63</w:t>
            </w:r>
          </w:p>
        </w:tc>
        <w:tc>
          <w:tcPr>
            <w:tcW w:w="950" w:type="dxa"/>
            <w:tcBorders>
              <w:top w:val="nil"/>
              <w:left w:val="nil"/>
              <w:bottom w:val="nil"/>
              <w:right w:val="nil"/>
            </w:tcBorders>
            <w:noWrap w:val="0"/>
            <w:tcMar>
              <w:top w:w="-1" w:type="dxa"/>
              <w:left w:w="-1" w:type="dxa"/>
              <w:bottom w:w="-1" w:type="dxa"/>
              <w:right w:w="-1" w:type="dxa"/>
            </w:tcMar>
            <w:vAlign w:val="center"/>
          </w:tcPr>
          <w:p w14:paraId="28B1C9D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10.22</w:t>
            </w:r>
          </w:p>
        </w:tc>
        <w:tc>
          <w:tcPr>
            <w:tcW w:w="950" w:type="dxa"/>
            <w:tcBorders>
              <w:top w:val="nil"/>
              <w:left w:val="nil"/>
              <w:bottom w:val="nil"/>
              <w:right w:val="nil"/>
            </w:tcBorders>
            <w:noWrap w:val="0"/>
            <w:tcMar>
              <w:top w:w="-1" w:type="dxa"/>
              <w:left w:w="-1" w:type="dxa"/>
              <w:bottom w:w="-1" w:type="dxa"/>
              <w:right w:w="-1" w:type="dxa"/>
            </w:tcMar>
            <w:vAlign w:val="center"/>
          </w:tcPr>
          <w:p w14:paraId="7B599BF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3.53</w:t>
            </w:r>
          </w:p>
        </w:tc>
        <w:tc>
          <w:tcPr>
            <w:tcW w:w="2131" w:type="dxa"/>
            <w:tcBorders>
              <w:top w:val="nil"/>
              <w:left w:val="nil"/>
              <w:bottom w:val="nil"/>
              <w:right w:val="nil"/>
            </w:tcBorders>
            <w:noWrap w:val="0"/>
            <w:tcMar>
              <w:top w:w="-1" w:type="dxa"/>
              <w:left w:w="-1" w:type="dxa"/>
              <w:bottom w:w="-1" w:type="dxa"/>
              <w:right w:w="-1" w:type="dxa"/>
            </w:tcMar>
            <w:vAlign w:val="center"/>
          </w:tcPr>
          <w:p w14:paraId="72228A6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7D939D22">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1EA94D0B">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5 / 899</w:t>
            </w:r>
          </w:p>
        </w:tc>
      </w:tr>
      <w:tr w14:paraId="24A9799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nil"/>
              <w:right w:val="nil"/>
            </w:tcBorders>
            <w:noWrap w:val="0"/>
            <w:tcMar>
              <w:top w:w="-1" w:type="dxa"/>
              <w:left w:w="-1" w:type="dxa"/>
              <w:bottom w:w="-1" w:type="dxa"/>
              <w:right w:w="-1" w:type="dxa"/>
            </w:tcMar>
            <w:vAlign w:val="center"/>
          </w:tcPr>
          <w:p w14:paraId="50AC6D8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E34</w:t>
            </w:r>
          </w:p>
        </w:tc>
        <w:tc>
          <w:tcPr>
            <w:tcW w:w="864" w:type="dxa"/>
            <w:tcBorders>
              <w:top w:val="nil"/>
              <w:left w:val="nil"/>
              <w:bottom w:val="nil"/>
              <w:right w:val="nil"/>
            </w:tcBorders>
            <w:noWrap w:val="0"/>
            <w:tcMar>
              <w:top w:w="-1" w:type="dxa"/>
              <w:left w:w="-1" w:type="dxa"/>
              <w:bottom w:w="-1" w:type="dxa"/>
              <w:right w:w="-1" w:type="dxa"/>
            </w:tcMar>
            <w:vAlign w:val="center"/>
          </w:tcPr>
          <w:p w14:paraId="119FB649">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Yes</w:t>
            </w:r>
          </w:p>
        </w:tc>
        <w:tc>
          <w:tcPr>
            <w:tcW w:w="1008" w:type="dxa"/>
            <w:tcBorders>
              <w:top w:val="nil"/>
              <w:left w:val="nil"/>
              <w:bottom w:val="nil"/>
              <w:right w:val="nil"/>
            </w:tcBorders>
            <w:noWrap w:val="0"/>
            <w:tcMar>
              <w:top w:w="-1" w:type="dxa"/>
              <w:left w:w="-1" w:type="dxa"/>
              <w:bottom w:w="-1" w:type="dxa"/>
              <w:right w:w="-1" w:type="dxa"/>
            </w:tcMar>
            <w:vAlign w:val="center"/>
          </w:tcPr>
          <w:p w14:paraId="434D75E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289</w:t>
            </w:r>
          </w:p>
        </w:tc>
        <w:tc>
          <w:tcPr>
            <w:tcW w:w="2520" w:type="dxa"/>
            <w:tcBorders>
              <w:top w:val="nil"/>
              <w:left w:val="nil"/>
              <w:bottom w:val="nil"/>
              <w:right w:val="nil"/>
            </w:tcBorders>
            <w:noWrap w:val="0"/>
            <w:tcMar>
              <w:top w:w="-1" w:type="dxa"/>
              <w:left w:w="-1" w:type="dxa"/>
              <w:bottom w:w="-1" w:type="dxa"/>
              <w:right w:w="-1" w:type="dxa"/>
            </w:tcMar>
            <w:vAlign w:val="center"/>
          </w:tcPr>
          <w:p w14:paraId="5CE3E48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Thyrotoxicosis*</w:t>
            </w:r>
          </w:p>
        </w:tc>
        <w:tc>
          <w:tcPr>
            <w:tcW w:w="950" w:type="dxa"/>
            <w:tcBorders>
              <w:top w:val="nil"/>
              <w:left w:val="nil"/>
              <w:bottom w:val="nil"/>
              <w:right w:val="nil"/>
            </w:tcBorders>
            <w:noWrap w:val="0"/>
            <w:tcMar>
              <w:top w:w="-1" w:type="dxa"/>
              <w:left w:w="-1" w:type="dxa"/>
              <w:bottom w:w="-1" w:type="dxa"/>
              <w:right w:w="-1" w:type="dxa"/>
            </w:tcMar>
            <w:vAlign w:val="center"/>
          </w:tcPr>
          <w:p w14:paraId="7B437A7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0.02</w:t>
            </w:r>
          </w:p>
        </w:tc>
        <w:tc>
          <w:tcPr>
            <w:tcW w:w="950" w:type="dxa"/>
            <w:tcBorders>
              <w:top w:val="nil"/>
              <w:left w:val="nil"/>
              <w:bottom w:val="nil"/>
              <w:right w:val="nil"/>
            </w:tcBorders>
            <w:noWrap w:val="0"/>
            <w:tcMar>
              <w:top w:w="-1" w:type="dxa"/>
              <w:left w:w="-1" w:type="dxa"/>
              <w:bottom w:w="-1" w:type="dxa"/>
              <w:right w:w="-1" w:type="dxa"/>
            </w:tcMar>
            <w:vAlign w:val="center"/>
          </w:tcPr>
          <w:p w14:paraId="5830E89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24.6</w:t>
            </w:r>
          </w:p>
        </w:tc>
        <w:tc>
          <w:tcPr>
            <w:tcW w:w="950" w:type="dxa"/>
            <w:tcBorders>
              <w:top w:val="nil"/>
              <w:left w:val="nil"/>
              <w:bottom w:val="nil"/>
              <w:right w:val="nil"/>
            </w:tcBorders>
            <w:noWrap w:val="0"/>
            <w:tcMar>
              <w:top w:w="-1" w:type="dxa"/>
              <w:left w:w="-1" w:type="dxa"/>
              <w:bottom w:w="-1" w:type="dxa"/>
              <w:right w:w="-1" w:type="dxa"/>
            </w:tcMar>
            <w:vAlign w:val="center"/>
          </w:tcPr>
          <w:p w14:paraId="4A6DA99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4.2</w:t>
            </w:r>
          </w:p>
        </w:tc>
        <w:tc>
          <w:tcPr>
            <w:tcW w:w="2131" w:type="dxa"/>
            <w:tcBorders>
              <w:top w:val="nil"/>
              <w:left w:val="nil"/>
              <w:bottom w:val="nil"/>
              <w:right w:val="nil"/>
            </w:tcBorders>
            <w:noWrap w:val="0"/>
            <w:tcMar>
              <w:top w:w="-1" w:type="dxa"/>
              <w:left w:w="-1" w:type="dxa"/>
              <w:bottom w:w="-1" w:type="dxa"/>
              <w:right w:w="-1" w:type="dxa"/>
            </w:tcMar>
            <w:vAlign w:val="center"/>
          </w:tcPr>
          <w:p w14:paraId="1289AA9A">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nil"/>
              <w:right w:val="nil"/>
            </w:tcBorders>
            <w:noWrap w:val="0"/>
            <w:tcMar>
              <w:top w:w="-1" w:type="dxa"/>
              <w:left w:w="-1" w:type="dxa"/>
              <w:bottom w:w="-1" w:type="dxa"/>
              <w:right w:w="-1" w:type="dxa"/>
            </w:tcMar>
            <w:vAlign w:val="center"/>
          </w:tcPr>
          <w:p w14:paraId="00AC6A51">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nil"/>
              <w:right w:val="nil"/>
            </w:tcBorders>
            <w:noWrap w:val="0"/>
            <w:tcMar>
              <w:top w:w="-1" w:type="dxa"/>
              <w:left w:w="-1" w:type="dxa"/>
              <w:bottom w:w="-1" w:type="dxa"/>
              <w:right w:w="-1" w:type="dxa"/>
            </w:tcMar>
            <w:vAlign w:val="center"/>
          </w:tcPr>
          <w:p w14:paraId="2F6A723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r w14:paraId="75E6A79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70" w:type="dxa"/>
            <w:left w:w="80" w:type="dxa"/>
            <w:bottom w:w="70" w:type="dxa"/>
            <w:right w:w="80" w:type="dxa"/>
          </w:tblCellMar>
        </w:tblPrEx>
        <w:trPr>
          <w:cantSplit/>
          <w:jc w:val="center"/>
        </w:trPr>
        <w:tc>
          <w:tcPr>
            <w:tcW w:w="691" w:type="dxa"/>
            <w:tcBorders>
              <w:top w:val="nil"/>
              <w:left w:val="nil"/>
              <w:bottom w:val="single" w:color="auto" w:sz="12" w:space="0"/>
              <w:right w:val="nil"/>
            </w:tcBorders>
            <w:noWrap w:val="0"/>
            <w:tcMar>
              <w:top w:w="-1" w:type="dxa"/>
              <w:left w:w="-1" w:type="dxa"/>
              <w:bottom w:w="-1" w:type="dxa"/>
              <w:right w:w="-1" w:type="dxa"/>
            </w:tcMar>
            <w:vAlign w:val="center"/>
          </w:tcPr>
          <w:p w14:paraId="4048D61F">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E35</w:t>
            </w:r>
          </w:p>
        </w:tc>
        <w:tc>
          <w:tcPr>
            <w:tcW w:w="864" w:type="dxa"/>
            <w:tcBorders>
              <w:top w:val="nil"/>
              <w:left w:val="nil"/>
              <w:bottom w:val="single" w:color="auto" w:sz="12" w:space="0"/>
              <w:right w:val="nil"/>
            </w:tcBorders>
            <w:noWrap w:val="0"/>
            <w:tcMar>
              <w:top w:w="-1" w:type="dxa"/>
              <w:left w:w="-1" w:type="dxa"/>
              <w:bottom w:w="-1" w:type="dxa"/>
              <w:right w:w="-1" w:type="dxa"/>
            </w:tcMar>
            <w:vAlign w:val="center"/>
          </w:tcPr>
          <w:p w14:paraId="65C1B515">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No</w:t>
            </w:r>
          </w:p>
        </w:tc>
        <w:tc>
          <w:tcPr>
            <w:tcW w:w="1008" w:type="dxa"/>
            <w:tcBorders>
              <w:top w:val="nil"/>
              <w:left w:val="nil"/>
              <w:bottom w:val="single" w:color="auto" w:sz="12" w:space="0"/>
              <w:right w:val="nil"/>
            </w:tcBorders>
            <w:noWrap w:val="0"/>
            <w:tcMar>
              <w:top w:w="-1" w:type="dxa"/>
              <w:left w:w="-1" w:type="dxa"/>
              <w:bottom w:w="-1" w:type="dxa"/>
              <w:right w:w="-1" w:type="dxa"/>
            </w:tcMar>
            <w:vAlign w:val="center"/>
          </w:tcPr>
          <w:p w14:paraId="45182816">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439</w:t>
            </w:r>
          </w:p>
        </w:tc>
        <w:tc>
          <w:tcPr>
            <w:tcW w:w="2520" w:type="dxa"/>
            <w:tcBorders>
              <w:top w:val="nil"/>
              <w:left w:val="nil"/>
              <w:bottom w:val="single" w:color="auto" w:sz="12" w:space="0"/>
              <w:right w:val="nil"/>
            </w:tcBorders>
            <w:noWrap w:val="0"/>
            <w:tcMar>
              <w:top w:w="-1" w:type="dxa"/>
              <w:left w:w="-1" w:type="dxa"/>
              <w:bottom w:w="-1" w:type="dxa"/>
              <w:right w:w="-1" w:type="dxa"/>
            </w:tcMar>
            <w:vAlign w:val="center"/>
          </w:tcPr>
          <w:p w14:paraId="5B5557B0">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Primary hypo</w:t>
            </w:r>
          </w:p>
        </w:tc>
        <w:tc>
          <w:tcPr>
            <w:tcW w:w="950" w:type="dxa"/>
            <w:tcBorders>
              <w:top w:val="nil"/>
              <w:left w:val="nil"/>
              <w:bottom w:val="single" w:color="auto" w:sz="12" w:space="0"/>
              <w:right w:val="nil"/>
            </w:tcBorders>
            <w:noWrap w:val="0"/>
            <w:tcMar>
              <w:top w:w="-1" w:type="dxa"/>
              <w:left w:w="-1" w:type="dxa"/>
              <w:bottom w:w="-1" w:type="dxa"/>
              <w:right w:w="-1" w:type="dxa"/>
            </w:tcMar>
            <w:vAlign w:val="center"/>
          </w:tcPr>
          <w:p w14:paraId="655C924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16.6</w:t>
            </w:r>
          </w:p>
        </w:tc>
        <w:tc>
          <w:tcPr>
            <w:tcW w:w="950" w:type="dxa"/>
            <w:tcBorders>
              <w:top w:val="nil"/>
              <w:left w:val="nil"/>
              <w:bottom w:val="single" w:color="auto" w:sz="12" w:space="0"/>
              <w:right w:val="nil"/>
            </w:tcBorders>
            <w:noWrap w:val="0"/>
            <w:tcMar>
              <w:top w:w="-1" w:type="dxa"/>
              <w:left w:w="-1" w:type="dxa"/>
              <w:bottom w:w="-1" w:type="dxa"/>
              <w:right w:w="-1" w:type="dxa"/>
            </w:tcMar>
            <w:vAlign w:val="center"/>
          </w:tcPr>
          <w:p w14:paraId="2A7C2E9C">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12.5</w:t>
            </w:r>
          </w:p>
        </w:tc>
        <w:tc>
          <w:tcPr>
            <w:tcW w:w="950" w:type="dxa"/>
            <w:tcBorders>
              <w:top w:val="nil"/>
              <w:left w:val="nil"/>
              <w:bottom w:val="single" w:color="auto" w:sz="12" w:space="0"/>
              <w:right w:val="nil"/>
            </w:tcBorders>
            <w:noWrap w:val="0"/>
            <w:tcMar>
              <w:top w:w="-1" w:type="dxa"/>
              <w:left w:w="-1" w:type="dxa"/>
              <w:bottom w:w="-1" w:type="dxa"/>
              <w:right w:w="-1" w:type="dxa"/>
            </w:tcMar>
            <w:vAlign w:val="center"/>
          </w:tcPr>
          <w:p w14:paraId="75B65593">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2.38</w:t>
            </w:r>
          </w:p>
        </w:tc>
        <w:tc>
          <w:tcPr>
            <w:tcW w:w="2131" w:type="dxa"/>
            <w:tcBorders>
              <w:top w:val="nil"/>
              <w:left w:val="nil"/>
              <w:bottom w:val="single" w:color="auto" w:sz="12" w:space="0"/>
              <w:right w:val="nil"/>
            </w:tcBorders>
            <w:noWrap w:val="0"/>
            <w:tcMar>
              <w:top w:w="-1" w:type="dxa"/>
              <w:left w:w="-1" w:type="dxa"/>
              <w:bottom w:w="-1" w:type="dxa"/>
              <w:right w:w="-1" w:type="dxa"/>
            </w:tcMar>
            <w:vAlign w:val="center"/>
          </w:tcPr>
          <w:p w14:paraId="0D708CCE">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1872" w:type="dxa"/>
            <w:tcBorders>
              <w:top w:val="nil"/>
              <w:left w:val="nil"/>
              <w:bottom w:val="single" w:color="auto" w:sz="12" w:space="0"/>
              <w:right w:val="nil"/>
            </w:tcBorders>
            <w:noWrap w:val="0"/>
            <w:tcMar>
              <w:top w:w="-1" w:type="dxa"/>
              <w:left w:w="-1" w:type="dxa"/>
              <w:bottom w:w="-1" w:type="dxa"/>
              <w:right w:w="-1" w:type="dxa"/>
            </w:tcMar>
            <w:vAlign w:val="center"/>
          </w:tcPr>
          <w:p w14:paraId="10393147">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w:t>
            </w:r>
          </w:p>
        </w:tc>
        <w:tc>
          <w:tcPr>
            <w:tcW w:w="2966" w:type="dxa"/>
            <w:tcBorders>
              <w:top w:val="nil"/>
              <w:left w:val="nil"/>
              <w:bottom w:val="single" w:color="auto" w:sz="12" w:space="0"/>
              <w:right w:val="nil"/>
            </w:tcBorders>
            <w:noWrap w:val="0"/>
            <w:tcMar>
              <w:top w:w="-1" w:type="dxa"/>
              <w:left w:w="-1" w:type="dxa"/>
              <w:bottom w:w="-1" w:type="dxa"/>
              <w:right w:w="-1" w:type="dxa"/>
            </w:tcMar>
            <w:vAlign w:val="center"/>
          </w:tcPr>
          <w:p w14:paraId="083C3E58">
            <w:pPr>
              <w:keepNext w:val="0"/>
              <w:keepLines w:val="0"/>
              <w:pageBreakBefore w:val="0"/>
              <w:widowControl/>
              <w:kinsoku/>
              <w:wordWrap/>
              <w:overflowPunct/>
              <w:topLinePunct w:val="0"/>
              <w:autoSpaceDE/>
              <w:autoSpaceDN/>
              <w:bidi w:val="0"/>
              <w:adjustRightInd/>
              <w:snapToGrid/>
              <w:spacing w:before="0" w:after="40" w:line="360" w:lineRule="auto"/>
              <w:ind w:left="0" w:right="0" w:firstLine="0"/>
              <w:textAlignment w:val="auto"/>
              <w:rPr>
                <w:sz w:val="18"/>
                <w:szCs w:val="18"/>
              </w:rPr>
            </w:pPr>
            <w:r>
              <w:rPr>
                <w:rFonts w:ascii="Times New Roman" w:hAnsi="Times New Roman"/>
                <w:b w:val="0"/>
                <w:color w:val="000000"/>
                <w:sz w:val="18"/>
                <w:szCs w:val="18"/>
              </w:rPr>
              <w:t>0 / —</w:t>
            </w:r>
          </w:p>
        </w:tc>
      </w:tr>
    </w:tbl>
    <w:p w14:paraId="4C46E4F7">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Research case labels are newly assigned for this table and contain no patient identifiers or calendar dates. Days are relative to first ICI; last gap is days from event to the last later thyroid test. Repeat support lists the earliest later TSH &gt;5.60 on Days 7–84 after the event. A dash means no such recorded evidence, not absence of disease. TSH is mIU/L; FT4/FT3 are pmol/L. *Thyrotoxicosis without a recorded subsequent hypothyroid phase. Two primary cases have no later test. All six primary trajectories had qualifying hypothyroid reports by Day 365; their complete qualifying pairs are shown in Table S13B. Single-report primary hypothyroidism or thyrotoxicosis could qualify after clinical review; repeated biochemical abnormality was not a universal requirement. Among the 18 primary-cohort adjudicated primary hypothyroidism cases, six had a later TSH &gt;5.60 mIU/L recorded within Days 7–84; this interval-specific repeat evidence was not required for classification of that subtype.</w:t>
      </w:r>
    </w:p>
    <w:p w14:paraId="32DCF06A">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Table S13B. Qualifying biochemical pairs for the seven adjudicated thyroiditis trajectories</w:t>
      </w:r>
    </w:p>
    <w:tbl>
      <w:tblPr>
        <w:tblStyle w:val="5"/>
        <w:tblW w:w="0" w:type="auto"/>
        <w:jc w:val="center"/>
        <w:tblLayout w:type="fixed"/>
        <w:tblCellMar>
          <w:top w:w="0" w:type="dxa"/>
          <w:left w:w="10" w:type="dxa"/>
          <w:bottom w:w="0" w:type="dxa"/>
          <w:right w:w="10" w:type="dxa"/>
        </w:tblCellMar>
      </w:tblPr>
      <w:tblGrid>
        <w:gridCol w:w="1200"/>
        <w:gridCol w:w="1440"/>
        <w:gridCol w:w="1152"/>
        <w:gridCol w:w="1080"/>
        <w:gridCol w:w="1152"/>
        <w:gridCol w:w="1152"/>
        <w:gridCol w:w="1080"/>
        <w:gridCol w:w="1080"/>
        <w:gridCol w:w="1152"/>
        <w:gridCol w:w="1152"/>
        <w:gridCol w:w="1320"/>
      </w:tblGrid>
      <w:tr w14:paraId="7BC52F93">
        <w:tblPrEx>
          <w:tblCellMar>
            <w:top w:w="0" w:type="dxa"/>
            <w:left w:w="10" w:type="dxa"/>
            <w:bottom w:w="0" w:type="dxa"/>
            <w:right w:w="10" w:type="dxa"/>
          </w:tblCellMar>
        </w:tblPrEx>
        <w:trPr>
          <w:cantSplit/>
          <w:tblHeader/>
          <w:jc w:val="center"/>
        </w:trPr>
        <w:tc>
          <w:tcPr>
            <w:tcW w:w="1200" w:type="dxa"/>
            <w:vMerge w:val="restart"/>
            <w:tcBorders>
              <w:top w:val="single" w:color="auto" w:sz="12" w:space="0"/>
              <w:left w:val="nil"/>
              <w:bottom w:val="nil"/>
              <w:right w:val="nil"/>
            </w:tcBorders>
            <w:noWrap w:val="0"/>
            <w:tcMar>
              <w:top w:w="-1" w:type="dxa"/>
              <w:left w:w="-1" w:type="dxa"/>
              <w:bottom w:w="-1" w:type="dxa"/>
              <w:right w:w="-1" w:type="dxa"/>
            </w:tcMar>
            <w:vAlign w:val="center"/>
          </w:tcPr>
          <w:p w14:paraId="5438F7B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Case</w:t>
            </w:r>
          </w:p>
        </w:tc>
        <w:tc>
          <w:tcPr>
            <w:tcW w:w="1440" w:type="dxa"/>
            <w:vMerge w:val="restart"/>
            <w:tcBorders>
              <w:top w:val="single" w:color="auto" w:sz="12" w:space="0"/>
              <w:left w:val="nil"/>
              <w:bottom w:val="nil"/>
              <w:right w:val="nil"/>
            </w:tcBorders>
            <w:noWrap w:val="0"/>
            <w:tcMar>
              <w:top w:w="-1" w:type="dxa"/>
              <w:left w:w="-1" w:type="dxa"/>
              <w:bottom w:w="-1" w:type="dxa"/>
              <w:right w:w="-1" w:type="dxa"/>
            </w:tcMar>
            <w:vAlign w:val="center"/>
          </w:tcPr>
          <w:p w14:paraId="3524EA0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Primary</w:t>
            </w:r>
          </w:p>
        </w:tc>
        <w:tc>
          <w:tcPr>
            <w:tcW w:w="1152" w:type="dxa"/>
            <w:vMerge w:val="restart"/>
            <w:tcBorders>
              <w:top w:val="single" w:color="auto" w:sz="12" w:space="0"/>
              <w:left w:val="nil"/>
              <w:bottom w:val="nil"/>
              <w:right w:val="nil"/>
            </w:tcBorders>
            <w:noWrap w:val="0"/>
            <w:tcMar>
              <w:top w:w="-1" w:type="dxa"/>
              <w:left w:w="-1" w:type="dxa"/>
              <w:bottom w:w="-1" w:type="dxa"/>
              <w:right w:w="-1" w:type="dxa"/>
            </w:tcMar>
            <w:vAlign w:val="center"/>
          </w:tcPr>
          <w:p w14:paraId="1E1BC92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Event day</w:t>
            </w:r>
          </w:p>
        </w:tc>
        <w:tc>
          <w:tcPr>
            <w:tcW w:w="4464" w:type="dxa"/>
            <w:gridSpan w:val="4"/>
            <w:tcBorders>
              <w:top w:val="single" w:color="auto" w:sz="12" w:space="0"/>
              <w:left w:val="nil"/>
              <w:bottom w:val="nil"/>
              <w:right w:val="nil"/>
            </w:tcBorders>
            <w:noWrap w:val="0"/>
            <w:tcMar>
              <w:top w:w="-1" w:type="dxa"/>
              <w:left w:w="-1" w:type="dxa"/>
              <w:bottom w:w="-1" w:type="dxa"/>
              <w:right w:w="-1" w:type="dxa"/>
            </w:tcMar>
            <w:vAlign w:val="center"/>
          </w:tcPr>
          <w:p w14:paraId="0EFE470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Qualifying thyrotoxic report</w:t>
            </w:r>
          </w:p>
        </w:tc>
        <w:tc>
          <w:tcPr>
            <w:tcW w:w="3384" w:type="dxa"/>
            <w:gridSpan w:val="3"/>
            <w:tcBorders>
              <w:top w:val="single" w:color="auto" w:sz="12" w:space="0"/>
              <w:left w:val="nil"/>
              <w:bottom w:val="nil"/>
              <w:right w:val="nil"/>
            </w:tcBorders>
            <w:noWrap w:val="0"/>
            <w:tcMar>
              <w:top w:w="-1" w:type="dxa"/>
              <w:left w:w="-1" w:type="dxa"/>
              <w:bottom w:w="-1" w:type="dxa"/>
              <w:right w:w="-1" w:type="dxa"/>
            </w:tcMar>
            <w:vAlign w:val="center"/>
          </w:tcPr>
          <w:p w14:paraId="4D7DDC7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Qualifying hypothyroid report</w:t>
            </w:r>
          </w:p>
        </w:tc>
        <w:tc>
          <w:tcPr>
            <w:tcW w:w="1320" w:type="dxa"/>
            <w:vMerge w:val="restart"/>
            <w:tcBorders>
              <w:top w:val="single" w:color="auto" w:sz="12" w:space="0"/>
              <w:left w:val="nil"/>
              <w:bottom w:val="nil"/>
              <w:right w:val="nil"/>
            </w:tcBorders>
            <w:noWrap w:val="0"/>
            <w:tcMar>
              <w:top w:w="-1" w:type="dxa"/>
              <w:left w:w="-1" w:type="dxa"/>
              <w:bottom w:w="-1" w:type="dxa"/>
              <w:right w:w="-1" w:type="dxa"/>
            </w:tcMar>
            <w:vAlign w:val="center"/>
          </w:tcPr>
          <w:p w14:paraId="2C4EC71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Exact elapsed interval, days</w:t>
            </w:r>
          </w:p>
        </w:tc>
      </w:tr>
      <w:tr w14:paraId="3EB85119">
        <w:tblPrEx>
          <w:tblCellMar>
            <w:top w:w="0" w:type="dxa"/>
            <w:left w:w="10" w:type="dxa"/>
            <w:bottom w:w="0" w:type="dxa"/>
            <w:right w:w="10" w:type="dxa"/>
          </w:tblCellMar>
        </w:tblPrEx>
        <w:trPr>
          <w:cantSplit/>
          <w:tblHeader/>
          <w:jc w:val="center"/>
        </w:trPr>
        <w:tc>
          <w:tcPr>
            <w:tcW w:w="864" w:type="dxa"/>
            <w:vMerge w:val="continue"/>
            <w:tcBorders>
              <w:top w:val="nil"/>
              <w:left w:val="nil"/>
              <w:bottom w:val="nil"/>
              <w:right w:val="nil"/>
            </w:tcBorders>
            <w:noWrap w:val="0"/>
            <w:tcMar>
              <w:top w:w="-1" w:type="dxa"/>
              <w:left w:w="-1" w:type="dxa"/>
              <w:bottom w:w="-1" w:type="dxa"/>
              <w:right w:w="-1" w:type="dxa"/>
            </w:tcMar>
            <w:vAlign w:val="top"/>
          </w:tcPr>
          <w:p w14:paraId="34121021">
            <w:pPr>
              <w:keepLines w:val="0"/>
              <w:pageBreakBefore w:val="0"/>
              <w:widowControl/>
              <w:kinsoku/>
              <w:wordWrap/>
              <w:overflowPunct/>
              <w:topLinePunct w:val="0"/>
              <w:autoSpaceDE/>
              <w:autoSpaceDN/>
              <w:bidi w:val="0"/>
              <w:adjustRightInd/>
              <w:snapToGrid/>
              <w:spacing w:line="360" w:lineRule="auto"/>
              <w:textAlignment w:val="auto"/>
            </w:pPr>
          </w:p>
        </w:tc>
        <w:tc>
          <w:tcPr>
            <w:tcW w:w="1152" w:type="dxa"/>
            <w:vMerge w:val="continue"/>
            <w:tcBorders>
              <w:top w:val="nil"/>
              <w:left w:val="nil"/>
              <w:bottom w:val="nil"/>
              <w:right w:val="nil"/>
            </w:tcBorders>
            <w:noWrap w:val="0"/>
            <w:tcMar>
              <w:top w:w="-1" w:type="dxa"/>
              <w:left w:w="-1" w:type="dxa"/>
              <w:bottom w:w="-1" w:type="dxa"/>
              <w:right w:w="-1" w:type="dxa"/>
            </w:tcMar>
            <w:vAlign w:val="top"/>
          </w:tcPr>
          <w:p w14:paraId="03A71736">
            <w:pPr>
              <w:keepLines w:val="0"/>
              <w:pageBreakBefore w:val="0"/>
              <w:widowControl/>
              <w:kinsoku/>
              <w:wordWrap/>
              <w:overflowPunct/>
              <w:topLinePunct w:val="0"/>
              <w:autoSpaceDE/>
              <w:autoSpaceDN/>
              <w:bidi w:val="0"/>
              <w:adjustRightInd/>
              <w:snapToGrid/>
              <w:spacing w:line="360" w:lineRule="auto"/>
              <w:textAlignment w:val="auto"/>
            </w:pPr>
          </w:p>
        </w:tc>
        <w:tc>
          <w:tcPr>
            <w:tcW w:w="1152" w:type="dxa"/>
            <w:vMerge w:val="continue"/>
            <w:tcBorders>
              <w:top w:val="nil"/>
              <w:left w:val="nil"/>
              <w:bottom w:val="nil"/>
              <w:right w:val="nil"/>
            </w:tcBorders>
            <w:noWrap w:val="0"/>
            <w:tcMar>
              <w:top w:w="-1" w:type="dxa"/>
              <w:left w:w="-1" w:type="dxa"/>
              <w:bottom w:w="-1" w:type="dxa"/>
              <w:right w:w="-1" w:type="dxa"/>
            </w:tcMar>
            <w:vAlign w:val="top"/>
          </w:tcPr>
          <w:p w14:paraId="2ACFD6A5">
            <w:pPr>
              <w:keepLines w:val="0"/>
              <w:pageBreakBefore w:val="0"/>
              <w:widowControl/>
              <w:kinsoku/>
              <w:wordWrap/>
              <w:overflowPunct/>
              <w:topLinePunct w:val="0"/>
              <w:autoSpaceDE/>
              <w:autoSpaceDN/>
              <w:bidi w:val="0"/>
              <w:adjustRightInd/>
              <w:snapToGrid/>
              <w:spacing w:line="360" w:lineRule="auto"/>
              <w:textAlignment w:val="auto"/>
            </w:pPr>
          </w:p>
        </w:tc>
        <w:tc>
          <w:tcPr>
            <w:tcW w:w="1080" w:type="dxa"/>
            <w:tcBorders>
              <w:top w:val="nil"/>
              <w:left w:val="nil"/>
              <w:bottom w:val="nil"/>
              <w:right w:val="nil"/>
            </w:tcBorders>
            <w:noWrap w:val="0"/>
            <w:tcMar>
              <w:top w:w="-1" w:type="dxa"/>
              <w:left w:w="-1" w:type="dxa"/>
              <w:bottom w:w="-1" w:type="dxa"/>
              <w:right w:w="-1" w:type="dxa"/>
            </w:tcMar>
            <w:vAlign w:val="center"/>
          </w:tcPr>
          <w:p w14:paraId="17A28CB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Day</w:t>
            </w:r>
          </w:p>
        </w:tc>
        <w:tc>
          <w:tcPr>
            <w:tcW w:w="1152" w:type="dxa"/>
            <w:tcBorders>
              <w:top w:val="nil"/>
              <w:left w:val="nil"/>
              <w:bottom w:val="nil"/>
              <w:right w:val="nil"/>
            </w:tcBorders>
            <w:noWrap w:val="0"/>
            <w:tcMar>
              <w:top w:w="-1" w:type="dxa"/>
              <w:left w:w="-1" w:type="dxa"/>
              <w:bottom w:w="-1" w:type="dxa"/>
              <w:right w:w="-1" w:type="dxa"/>
            </w:tcMar>
            <w:vAlign w:val="center"/>
          </w:tcPr>
          <w:p w14:paraId="3487949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TSH</w:t>
            </w:r>
          </w:p>
        </w:tc>
        <w:tc>
          <w:tcPr>
            <w:tcW w:w="1152" w:type="dxa"/>
            <w:tcBorders>
              <w:top w:val="nil"/>
              <w:left w:val="nil"/>
              <w:bottom w:val="nil"/>
              <w:right w:val="nil"/>
            </w:tcBorders>
            <w:noWrap w:val="0"/>
            <w:tcMar>
              <w:top w:w="-1" w:type="dxa"/>
              <w:left w:w="-1" w:type="dxa"/>
              <w:bottom w:w="-1" w:type="dxa"/>
              <w:right w:w="-1" w:type="dxa"/>
            </w:tcMar>
            <w:vAlign w:val="center"/>
          </w:tcPr>
          <w:p w14:paraId="6AAF168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FT4</w:t>
            </w:r>
          </w:p>
        </w:tc>
        <w:tc>
          <w:tcPr>
            <w:tcW w:w="1080" w:type="dxa"/>
            <w:tcBorders>
              <w:top w:val="nil"/>
              <w:left w:val="nil"/>
              <w:bottom w:val="nil"/>
              <w:right w:val="nil"/>
            </w:tcBorders>
            <w:noWrap w:val="0"/>
            <w:tcMar>
              <w:top w:w="-1" w:type="dxa"/>
              <w:left w:w="-1" w:type="dxa"/>
              <w:bottom w:w="-1" w:type="dxa"/>
              <w:right w:w="-1" w:type="dxa"/>
            </w:tcMar>
            <w:vAlign w:val="center"/>
          </w:tcPr>
          <w:p w14:paraId="2157C5C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FT3</w:t>
            </w:r>
          </w:p>
        </w:tc>
        <w:tc>
          <w:tcPr>
            <w:tcW w:w="1080" w:type="dxa"/>
            <w:tcBorders>
              <w:top w:val="nil"/>
              <w:left w:val="nil"/>
              <w:bottom w:val="nil"/>
              <w:right w:val="nil"/>
            </w:tcBorders>
            <w:noWrap w:val="0"/>
            <w:tcMar>
              <w:top w:w="-1" w:type="dxa"/>
              <w:left w:w="-1" w:type="dxa"/>
              <w:bottom w:w="-1" w:type="dxa"/>
              <w:right w:w="-1" w:type="dxa"/>
            </w:tcMar>
            <w:vAlign w:val="center"/>
          </w:tcPr>
          <w:p w14:paraId="7A34CAA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Day</w:t>
            </w:r>
          </w:p>
        </w:tc>
        <w:tc>
          <w:tcPr>
            <w:tcW w:w="1152" w:type="dxa"/>
            <w:tcBorders>
              <w:top w:val="nil"/>
              <w:left w:val="nil"/>
              <w:bottom w:val="nil"/>
              <w:right w:val="nil"/>
            </w:tcBorders>
            <w:noWrap w:val="0"/>
            <w:tcMar>
              <w:top w:w="-1" w:type="dxa"/>
              <w:left w:w="-1" w:type="dxa"/>
              <w:bottom w:w="-1" w:type="dxa"/>
              <w:right w:w="-1" w:type="dxa"/>
            </w:tcMar>
            <w:vAlign w:val="center"/>
          </w:tcPr>
          <w:p w14:paraId="07EFDAE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TSH</w:t>
            </w:r>
          </w:p>
        </w:tc>
        <w:tc>
          <w:tcPr>
            <w:tcW w:w="1152" w:type="dxa"/>
            <w:tcBorders>
              <w:top w:val="nil"/>
              <w:left w:val="nil"/>
              <w:bottom w:val="nil"/>
              <w:right w:val="nil"/>
            </w:tcBorders>
            <w:noWrap w:val="0"/>
            <w:tcMar>
              <w:top w:w="-1" w:type="dxa"/>
              <w:left w:w="-1" w:type="dxa"/>
              <w:bottom w:w="-1" w:type="dxa"/>
              <w:right w:w="-1" w:type="dxa"/>
            </w:tcMar>
            <w:vAlign w:val="center"/>
          </w:tcPr>
          <w:p w14:paraId="523CC41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sz w:val="18"/>
                <w:szCs w:val="18"/>
              </w:rPr>
              <w:t>FT4</w:t>
            </w:r>
          </w:p>
        </w:tc>
        <w:tc>
          <w:tcPr>
            <w:tcW w:w="1944" w:type="dxa"/>
            <w:vMerge w:val="continue"/>
            <w:tcBorders>
              <w:top w:val="nil"/>
              <w:left w:val="nil"/>
              <w:bottom w:val="nil"/>
              <w:right w:val="nil"/>
            </w:tcBorders>
            <w:noWrap w:val="0"/>
            <w:tcMar>
              <w:top w:w="-1" w:type="dxa"/>
              <w:left w:w="-1" w:type="dxa"/>
              <w:bottom w:w="-1" w:type="dxa"/>
              <w:right w:w="-1" w:type="dxa"/>
            </w:tcMar>
            <w:vAlign w:val="top"/>
          </w:tcPr>
          <w:p w14:paraId="0B7C61F1">
            <w:pPr>
              <w:keepLines w:val="0"/>
              <w:pageBreakBefore w:val="0"/>
              <w:widowControl/>
              <w:kinsoku/>
              <w:wordWrap/>
              <w:overflowPunct/>
              <w:topLinePunct w:val="0"/>
              <w:autoSpaceDE/>
              <w:autoSpaceDN/>
              <w:bidi w:val="0"/>
              <w:adjustRightInd/>
              <w:snapToGrid/>
              <w:spacing w:line="360" w:lineRule="auto"/>
              <w:textAlignment w:val="auto"/>
            </w:pPr>
          </w:p>
        </w:tc>
      </w:tr>
      <w:tr w14:paraId="11A0B3F3">
        <w:tblPrEx>
          <w:tblCellMar>
            <w:top w:w="0" w:type="dxa"/>
            <w:left w:w="10" w:type="dxa"/>
            <w:bottom w:w="0" w:type="dxa"/>
            <w:right w:w="10" w:type="dxa"/>
          </w:tblCellMar>
        </w:tblPrEx>
        <w:trPr>
          <w:cantSplit/>
          <w:jc w:val="center"/>
        </w:trPr>
        <w:tc>
          <w:tcPr>
            <w:tcW w:w="1200" w:type="dxa"/>
            <w:tcBorders>
              <w:top w:val="single" w:color="auto" w:sz="4" w:space="0"/>
              <w:left w:val="nil"/>
              <w:bottom w:val="nil"/>
              <w:right w:val="nil"/>
            </w:tcBorders>
            <w:noWrap w:val="0"/>
            <w:tcMar>
              <w:top w:w="-1" w:type="dxa"/>
              <w:left w:w="-1" w:type="dxa"/>
              <w:bottom w:w="-1" w:type="dxa"/>
              <w:right w:w="-1" w:type="dxa"/>
            </w:tcMar>
            <w:vAlign w:val="center"/>
          </w:tcPr>
          <w:p w14:paraId="7AA93DD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E06</w:t>
            </w:r>
          </w:p>
        </w:tc>
        <w:tc>
          <w:tcPr>
            <w:tcW w:w="1440" w:type="dxa"/>
            <w:tcBorders>
              <w:top w:val="single" w:color="auto" w:sz="4" w:space="0"/>
              <w:left w:val="nil"/>
              <w:bottom w:val="nil"/>
              <w:right w:val="nil"/>
            </w:tcBorders>
            <w:noWrap w:val="0"/>
            <w:tcMar>
              <w:top w:w="-1" w:type="dxa"/>
              <w:left w:w="-1" w:type="dxa"/>
              <w:bottom w:w="-1" w:type="dxa"/>
              <w:right w:w="-1" w:type="dxa"/>
            </w:tcMar>
            <w:vAlign w:val="center"/>
          </w:tcPr>
          <w:p w14:paraId="14BEA1E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489D8B3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22</w:t>
            </w:r>
          </w:p>
        </w:tc>
        <w:tc>
          <w:tcPr>
            <w:tcW w:w="1080" w:type="dxa"/>
            <w:tcBorders>
              <w:top w:val="single" w:color="auto" w:sz="4" w:space="0"/>
              <w:left w:val="nil"/>
              <w:bottom w:val="nil"/>
              <w:right w:val="nil"/>
            </w:tcBorders>
            <w:noWrap w:val="0"/>
            <w:tcMar>
              <w:top w:w="-1" w:type="dxa"/>
              <w:left w:w="-1" w:type="dxa"/>
              <w:bottom w:w="-1" w:type="dxa"/>
              <w:right w:w="-1" w:type="dxa"/>
            </w:tcMar>
            <w:vAlign w:val="center"/>
          </w:tcPr>
          <w:p w14:paraId="3075AE3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22</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1DB5CD7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0.06</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534FA0F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36.6</w:t>
            </w:r>
          </w:p>
        </w:tc>
        <w:tc>
          <w:tcPr>
            <w:tcW w:w="1080" w:type="dxa"/>
            <w:tcBorders>
              <w:top w:val="single" w:color="auto" w:sz="4" w:space="0"/>
              <w:left w:val="nil"/>
              <w:bottom w:val="nil"/>
              <w:right w:val="nil"/>
            </w:tcBorders>
            <w:noWrap w:val="0"/>
            <w:tcMar>
              <w:top w:w="-1" w:type="dxa"/>
              <w:left w:w="-1" w:type="dxa"/>
              <w:bottom w:w="-1" w:type="dxa"/>
              <w:right w:w="-1" w:type="dxa"/>
            </w:tcMar>
            <w:vAlign w:val="center"/>
          </w:tcPr>
          <w:p w14:paraId="00B9E45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10.5</w:t>
            </w:r>
          </w:p>
        </w:tc>
        <w:tc>
          <w:tcPr>
            <w:tcW w:w="1080" w:type="dxa"/>
            <w:tcBorders>
              <w:top w:val="single" w:color="auto" w:sz="4" w:space="0"/>
              <w:left w:val="nil"/>
              <w:bottom w:val="nil"/>
              <w:right w:val="nil"/>
            </w:tcBorders>
            <w:noWrap w:val="0"/>
            <w:tcMar>
              <w:top w:w="-1" w:type="dxa"/>
              <w:left w:w="-1" w:type="dxa"/>
              <w:bottom w:w="-1" w:type="dxa"/>
              <w:right w:w="-1" w:type="dxa"/>
            </w:tcMar>
            <w:vAlign w:val="center"/>
          </w:tcPr>
          <w:p w14:paraId="423930F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92</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50611FE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57</w:t>
            </w:r>
          </w:p>
        </w:tc>
        <w:tc>
          <w:tcPr>
            <w:tcW w:w="1152" w:type="dxa"/>
            <w:tcBorders>
              <w:top w:val="single" w:color="auto" w:sz="4" w:space="0"/>
              <w:left w:val="nil"/>
              <w:bottom w:val="nil"/>
              <w:right w:val="nil"/>
            </w:tcBorders>
            <w:noWrap w:val="0"/>
            <w:tcMar>
              <w:top w:w="-1" w:type="dxa"/>
              <w:left w:w="-1" w:type="dxa"/>
              <w:bottom w:w="-1" w:type="dxa"/>
              <w:right w:w="-1" w:type="dxa"/>
            </w:tcMar>
            <w:vAlign w:val="center"/>
          </w:tcPr>
          <w:p w14:paraId="150850A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1.69</w:t>
            </w:r>
          </w:p>
        </w:tc>
        <w:tc>
          <w:tcPr>
            <w:tcW w:w="1320" w:type="dxa"/>
            <w:tcBorders>
              <w:top w:val="single" w:color="auto" w:sz="4" w:space="0"/>
              <w:left w:val="nil"/>
              <w:bottom w:val="nil"/>
              <w:right w:val="nil"/>
            </w:tcBorders>
            <w:noWrap w:val="0"/>
            <w:tcMar>
              <w:top w:w="-1" w:type="dxa"/>
              <w:left w:w="-1" w:type="dxa"/>
              <w:bottom w:w="-1" w:type="dxa"/>
              <w:right w:w="-1" w:type="dxa"/>
            </w:tcMar>
            <w:vAlign w:val="center"/>
          </w:tcPr>
          <w:p w14:paraId="52CDB88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69.9</w:t>
            </w:r>
          </w:p>
        </w:tc>
      </w:tr>
      <w:tr w14:paraId="7DE4B5A0">
        <w:tblPrEx>
          <w:tblCellMar>
            <w:top w:w="0" w:type="dxa"/>
            <w:left w:w="10" w:type="dxa"/>
            <w:bottom w:w="0" w:type="dxa"/>
            <w:right w:w="10" w:type="dxa"/>
          </w:tblCellMar>
        </w:tblPrEx>
        <w:trPr>
          <w:cantSplit/>
          <w:jc w:val="center"/>
        </w:trPr>
        <w:tc>
          <w:tcPr>
            <w:tcW w:w="1200" w:type="dxa"/>
            <w:tcBorders>
              <w:top w:val="nil"/>
              <w:left w:val="nil"/>
              <w:bottom w:val="nil"/>
              <w:right w:val="nil"/>
            </w:tcBorders>
            <w:noWrap w:val="0"/>
            <w:tcMar>
              <w:top w:w="-1" w:type="dxa"/>
              <w:left w:w="-1" w:type="dxa"/>
              <w:bottom w:w="-1" w:type="dxa"/>
              <w:right w:w="-1" w:type="dxa"/>
            </w:tcMar>
            <w:vAlign w:val="center"/>
          </w:tcPr>
          <w:p w14:paraId="0EC96CB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E07</w:t>
            </w:r>
          </w:p>
        </w:tc>
        <w:tc>
          <w:tcPr>
            <w:tcW w:w="1440" w:type="dxa"/>
            <w:tcBorders>
              <w:top w:val="nil"/>
              <w:left w:val="nil"/>
              <w:bottom w:val="nil"/>
              <w:right w:val="nil"/>
            </w:tcBorders>
            <w:noWrap w:val="0"/>
            <w:tcMar>
              <w:top w:w="-1" w:type="dxa"/>
              <w:left w:w="-1" w:type="dxa"/>
              <w:bottom w:w="-1" w:type="dxa"/>
              <w:right w:w="-1" w:type="dxa"/>
            </w:tcMar>
            <w:vAlign w:val="center"/>
          </w:tcPr>
          <w:p w14:paraId="63AECB75">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No</w:t>
            </w:r>
          </w:p>
        </w:tc>
        <w:tc>
          <w:tcPr>
            <w:tcW w:w="1152" w:type="dxa"/>
            <w:tcBorders>
              <w:top w:val="nil"/>
              <w:left w:val="nil"/>
              <w:bottom w:val="nil"/>
              <w:right w:val="nil"/>
            </w:tcBorders>
            <w:noWrap w:val="0"/>
            <w:tcMar>
              <w:top w:w="-1" w:type="dxa"/>
              <w:left w:w="-1" w:type="dxa"/>
              <w:bottom w:w="-1" w:type="dxa"/>
              <w:right w:w="-1" w:type="dxa"/>
            </w:tcMar>
            <w:vAlign w:val="center"/>
          </w:tcPr>
          <w:p w14:paraId="0A7394D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24</w:t>
            </w:r>
          </w:p>
        </w:tc>
        <w:tc>
          <w:tcPr>
            <w:tcW w:w="1080" w:type="dxa"/>
            <w:tcBorders>
              <w:top w:val="nil"/>
              <w:left w:val="nil"/>
              <w:bottom w:val="nil"/>
              <w:right w:val="nil"/>
            </w:tcBorders>
            <w:noWrap w:val="0"/>
            <w:tcMar>
              <w:top w:w="-1" w:type="dxa"/>
              <w:left w:w="-1" w:type="dxa"/>
              <w:bottom w:w="-1" w:type="dxa"/>
              <w:right w:w="-1" w:type="dxa"/>
            </w:tcMar>
            <w:vAlign w:val="center"/>
          </w:tcPr>
          <w:p w14:paraId="549766E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24</w:t>
            </w:r>
          </w:p>
        </w:tc>
        <w:tc>
          <w:tcPr>
            <w:tcW w:w="1152" w:type="dxa"/>
            <w:tcBorders>
              <w:top w:val="nil"/>
              <w:left w:val="nil"/>
              <w:bottom w:val="nil"/>
              <w:right w:val="nil"/>
            </w:tcBorders>
            <w:noWrap w:val="0"/>
            <w:tcMar>
              <w:top w:w="-1" w:type="dxa"/>
              <w:left w:w="-1" w:type="dxa"/>
              <w:bottom w:w="-1" w:type="dxa"/>
              <w:right w:w="-1" w:type="dxa"/>
            </w:tcMar>
            <w:vAlign w:val="center"/>
          </w:tcPr>
          <w:p w14:paraId="63951527">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0.02</w:t>
            </w:r>
          </w:p>
        </w:tc>
        <w:tc>
          <w:tcPr>
            <w:tcW w:w="1152" w:type="dxa"/>
            <w:tcBorders>
              <w:top w:val="nil"/>
              <w:left w:val="nil"/>
              <w:bottom w:val="nil"/>
              <w:right w:val="nil"/>
            </w:tcBorders>
            <w:noWrap w:val="0"/>
            <w:tcMar>
              <w:top w:w="-1" w:type="dxa"/>
              <w:left w:w="-1" w:type="dxa"/>
              <w:bottom w:w="-1" w:type="dxa"/>
              <w:right w:w="-1" w:type="dxa"/>
            </w:tcMar>
            <w:vAlign w:val="center"/>
          </w:tcPr>
          <w:p w14:paraId="7889685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34</w:t>
            </w:r>
          </w:p>
        </w:tc>
        <w:tc>
          <w:tcPr>
            <w:tcW w:w="1080" w:type="dxa"/>
            <w:tcBorders>
              <w:top w:val="nil"/>
              <w:left w:val="nil"/>
              <w:bottom w:val="nil"/>
              <w:right w:val="nil"/>
            </w:tcBorders>
            <w:noWrap w:val="0"/>
            <w:tcMar>
              <w:top w:w="-1" w:type="dxa"/>
              <w:left w:w="-1" w:type="dxa"/>
              <w:bottom w:w="-1" w:type="dxa"/>
              <w:right w:w="-1" w:type="dxa"/>
            </w:tcMar>
            <w:vAlign w:val="center"/>
          </w:tcPr>
          <w:p w14:paraId="3C4A351F">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8.88</w:t>
            </w:r>
          </w:p>
        </w:tc>
        <w:tc>
          <w:tcPr>
            <w:tcW w:w="1080" w:type="dxa"/>
            <w:tcBorders>
              <w:top w:val="nil"/>
              <w:left w:val="nil"/>
              <w:bottom w:val="nil"/>
              <w:right w:val="nil"/>
            </w:tcBorders>
            <w:noWrap w:val="0"/>
            <w:tcMar>
              <w:top w:w="-1" w:type="dxa"/>
              <w:left w:w="-1" w:type="dxa"/>
              <w:bottom w:w="-1" w:type="dxa"/>
              <w:right w:w="-1" w:type="dxa"/>
            </w:tcMar>
            <w:vAlign w:val="center"/>
          </w:tcPr>
          <w:p w14:paraId="608BBDE5">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108</w:t>
            </w:r>
          </w:p>
        </w:tc>
        <w:tc>
          <w:tcPr>
            <w:tcW w:w="1152" w:type="dxa"/>
            <w:tcBorders>
              <w:top w:val="nil"/>
              <w:left w:val="nil"/>
              <w:bottom w:val="nil"/>
              <w:right w:val="nil"/>
            </w:tcBorders>
            <w:noWrap w:val="0"/>
            <w:tcMar>
              <w:top w:w="-1" w:type="dxa"/>
              <w:left w:w="-1" w:type="dxa"/>
              <w:bottom w:w="-1" w:type="dxa"/>
              <w:right w:w="-1" w:type="dxa"/>
            </w:tcMar>
            <w:vAlign w:val="center"/>
          </w:tcPr>
          <w:p w14:paraId="26984A6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71</w:t>
            </w:r>
          </w:p>
        </w:tc>
        <w:tc>
          <w:tcPr>
            <w:tcW w:w="1152" w:type="dxa"/>
            <w:tcBorders>
              <w:top w:val="nil"/>
              <w:left w:val="nil"/>
              <w:bottom w:val="nil"/>
              <w:right w:val="nil"/>
            </w:tcBorders>
            <w:noWrap w:val="0"/>
            <w:tcMar>
              <w:top w:w="-1" w:type="dxa"/>
              <w:left w:w="-1" w:type="dxa"/>
              <w:bottom w:w="-1" w:type="dxa"/>
              <w:right w:w="-1" w:type="dxa"/>
            </w:tcMar>
            <w:vAlign w:val="center"/>
          </w:tcPr>
          <w:p w14:paraId="20EF663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1.70</w:t>
            </w:r>
          </w:p>
        </w:tc>
        <w:tc>
          <w:tcPr>
            <w:tcW w:w="1320" w:type="dxa"/>
            <w:tcBorders>
              <w:top w:val="nil"/>
              <w:left w:val="nil"/>
              <w:bottom w:val="nil"/>
              <w:right w:val="nil"/>
            </w:tcBorders>
            <w:noWrap w:val="0"/>
            <w:tcMar>
              <w:top w:w="-1" w:type="dxa"/>
              <w:left w:w="-1" w:type="dxa"/>
              <w:bottom w:w="-1" w:type="dxa"/>
              <w:right w:w="-1" w:type="dxa"/>
            </w:tcMar>
            <w:vAlign w:val="center"/>
          </w:tcPr>
          <w:p w14:paraId="607DFEF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84.2</w:t>
            </w:r>
          </w:p>
        </w:tc>
      </w:tr>
      <w:tr w14:paraId="34B94F91">
        <w:tblPrEx>
          <w:tblCellMar>
            <w:top w:w="0" w:type="dxa"/>
            <w:left w:w="10" w:type="dxa"/>
            <w:bottom w:w="0" w:type="dxa"/>
            <w:right w:w="10" w:type="dxa"/>
          </w:tblCellMar>
        </w:tblPrEx>
        <w:trPr>
          <w:cantSplit/>
          <w:jc w:val="center"/>
        </w:trPr>
        <w:tc>
          <w:tcPr>
            <w:tcW w:w="1200" w:type="dxa"/>
            <w:tcBorders>
              <w:top w:val="nil"/>
              <w:left w:val="nil"/>
              <w:bottom w:val="nil"/>
              <w:right w:val="nil"/>
            </w:tcBorders>
            <w:noWrap w:val="0"/>
            <w:tcMar>
              <w:top w:w="-1" w:type="dxa"/>
              <w:left w:w="-1" w:type="dxa"/>
              <w:bottom w:w="-1" w:type="dxa"/>
              <w:right w:w="-1" w:type="dxa"/>
            </w:tcMar>
            <w:vAlign w:val="center"/>
          </w:tcPr>
          <w:p w14:paraId="41E79A5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E13</w:t>
            </w:r>
          </w:p>
        </w:tc>
        <w:tc>
          <w:tcPr>
            <w:tcW w:w="1440" w:type="dxa"/>
            <w:tcBorders>
              <w:top w:val="nil"/>
              <w:left w:val="nil"/>
              <w:bottom w:val="nil"/>
              <w:right w:val="nil"/>
            </w:tcBorders>
            <w:noWrap w:val="0"/>
            <w:tcMar>
              <w:top w:w="-1" w:type="dxa"/>
              <w:left w:w="-1" w:type="dxa"/>
              <w:bottom w:w="-1" w:type="dxa"/>
              <w:right w:w="-1" w:type="dxa"/>
            </w:tcMar>
            <w:vAlign w:val="center"/>
          </w:tcPr>
          <w:p w14:paraId="5BB9B18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nil"/>
              <w:left w:val="nil"/>
              <w:bottom w:val="nil"/>
              <w:right w:val="nil"/>
            </w:tcBorders>
            <w:noWrap w:val="0"/>
            <w:tcMar>
              <w:top w:w="-1" w:type="dxa"/>
              <w:left w:w="-1" w:type="dxa"/>
              <w:bottom w:w="-1" w:type="dxa"/>
              <w:right w:w="-1" w:type="dxa"/>
            </w:tcMar>
            <w:vAlign w:val="center"/>
          </w:tcPr>
          <w:p w14:paraId="0EE4FA5D">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43</w:t>
            </w:r>
          </w:p>
        </w:tc>
        <w:tc>
          <w:tcPr>
            <w:tcW w:w="1080" w:type="dxa"/>
            <w:tcBorders>
              <w:top w:val="nil"/>
              <w:left w:val="nil"/>
              <w:bottom w:val="nil"/>
              <w:right w:val="nil"/>
            </w:tcBorders>
            <w:noWrap w:val="0"/>
            <w:tcMar>
              <w:top w:w="-1" w:type="dxa"/>
              <w:left w:w="-1" w:type="dxa"/>
              <w:bottom w:w="-1" w:type="dxa"/>
              <w:right w:w="-1" w:type="dxa"/>
            </w:tcMar>
            <w:vAlign w:val="center"/>
          </w:tcPr>
          <w:p w14:paraId="79CCD33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43</w:t>
            </w:r>
          </w:p>
        </w:tc>
        <w:tc>
          <w:tcPr>
            <w:tcW w:w="1152" w:type="dxa"/>
            <w:tcBorders>
              <w:top w:val="nil"/>
              <w:left w:val="nil"/>
              <w:bottom w:val="nil"/>
              <w:right w:val="nil"/>
            </w:tcBorders>
            <w:noWrap w:val="0"/>
            <w:tcMar>
              <w:top w:w="-1" w:type="dxa"/>
              <w:left w:w="-1" w:type="dxa"/>
              <w:bottom w:w="-1" w:type="dxa"/>
              <w:right w:w="-1" w:type="dxa"/>
            </w:tcMar>
            <w:vAlign w:val="center"/>
          </w:tcPr>
          <w:p w14:paraId="4239868F">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0.63</w:t>
            </w:r>
          </w:p>
        </w:tc>
        <w:tc>
          <w:tcPr>
            <w:tcW w:w="1152" w:type="dxa"/>
            <w:tcBorders>
              <w:top w:val="nil"/>
              <w:left w:val="nil"/>
              <w:bottom w:val="nil"/>
              <w:right w:val="nil"/>
            </w:tcBorders>
            <w:noWrap w:val="0"/>
            <w:tcMar>
              <w:top w:w="-1" w:type="dxa"/>
              <w:left w:w="-1" w:type="dxa"/>
              <w:bottom w:w="-1" w:type="dxa"/>
              <w:right w:w="-1" w:type="dxa"/>
            </w:tcMar>
            <w:vAlign w:val="center"/>
          </w:tcPr>
          <w:p w14:paraId="45D9F9C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19.59</w:t>
            </w:r>
          </w:p>
        </w:tc>
        <w:tc>
          <w:tcPr>
            <w:tcW w:w="1080" w:type="dxa"/>
            <w:tcBorders>
              <w:top w:val="nil"/>
              <w:left w:val="nil"/>
              <w:bottom w:val="nil"/>
              <w:right w:val="nil"/>
            </w:tcBorders>
            <w:noWrap w:val="0"/>
            <w:tcMar>
              <w:top w:w="-1" w:type="dxa"/>
              <w:left w:w="-1" w:type="dxa"/>
              <w:bottom w:w="-1" w:type="dxa"/>
              <w:right w:w="-1" w:type="dxa"/>
            </w:tcMar>
            <w:vAlign w:val="center"/>
          </w:tcPr>
          <w:p w14:paraId="219846BE">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6.75</w:t>
            </w:r>
          </w:p>
        </w:tc>
        <w:tc>
          <w:tcPr>
            <w:tcW w:w="1080" w:type="dxa"/>
            <w:tcBorders>
              <w:top w:val="nil"/>
              <w:left w:val="nil"/>
              <w:bottom w:val="nil"/>
              <w:right w:val="nil"/>
            </w:tcBorders>
            <w:noWrap w:val="0"/>
            <w:tcMar>
              <w:top w:w="-1" w:type="dxa"/>
              <w:left w:w="-1" w:type="dxa"/>
              <w:bottom w:w="-1" w:type="dxa"/>
              <w:right w:w="-1" w:type="dxa"/>
            </w:tcMar>
            <w:vAlign w:val="center"/>
          </w:tcPr>
          <w:p w14:paraId="6238A78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70</w:t>
            </w:r>
          </w:p>
        </w:tc>
        <w:tc>
          <w:tcPr>
            <w:tcW w:w="1152" w:type="dxa"/>
            <w:tcBorders>
              <w:top w:val="nil"/>
              <w:left w:val="nil"/>
              <w:bottom w:val="nil"/>
              <w:right w:val="nil"/>
            </w:tcBorders>
            <w:noWrap w:val="0"/>
            <w:tcMar>
              <w:top w:w="-1" w:type="dxa"/>
              <w:left w:w="-1" w:type="dxa"/>
              <w:bottom w:w="-1" w:type="dxa"/>
              <w:right w:w="-1" w:type="dxa"/>
            </w:tcMar>
            <w:vAlign w:val="center"/>
          </w:tcPr>
          <w:p w14:paraId="411ED1C7">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23.79</w:t>
            </w:r>
          </w:p>
        </w:tc>
        <w:tc>
          <w:tcPr>
            <w:tcW w:w="1152" w:type="dxa"/>
            <w:tcBorders>
              <w:top w:val="nil"/>
              <w:left w:val="nil"/>
              <w:bottom w:val="nil"/>
              <w:right w:val="nil"/>
            </w:tcBorders>
            <w:noWrap w:val="0"/>
            <w:tcMar>
              <w:top w:w="-1" w:type="dxa"/>
              <w:left w:w="-1" w:type="dxa"/>
              <w:bottom w:w="-1" w:type="dxa"/>
              <w:right w:w="-1" w:type="dxa"/>
            </w:tcMar>
            <w:vAlign w:val="center"/>
          </w:tcPr>
          <w:p w14:paraId="39C51D5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8.61</w:t>
            </w:r>
          </w:p>
        </w:tc>
        <w:tc>
          <w:tcPr>
            <w:tcW w:w="1320" w:type="dxa"/>
            <w:tcBorders>
              <w:top w:val="nil"/>
              <w:left w:val="nil"/>
              <w:bottom w:val="nil"/>
              <w:right w:val="nil"/>
            </w:tcBorders>
            <w:noWrap w:val="0"/>
            <w:tcMar>
              <w:top w:w="-1" w:type="dxa"/>
              <w:left w:w="-1" w:type="dxa"/>
              <w:bottom w:w="-1" w:type="dxa"/>
              <w:right w:w="-1" w:type="dxa"/>
            </w:tcMar>
            <w:vAlign w:val="center"/>
          </w:tcPr>
          <w:p w14:paraId="6BD2CE3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27.0</w:t>
            </w:r>
          </w:p>
        </w:tc>
      </w:tr>
      <w:tr w14:paraId="7548DA6A">
        <w:tblPrEx>
          <w:tblCellMar>
            <w:top w:w="0" w:type="dxa"/>
            <w:left w:w="10" w:type="dxa"/>
            <w:bottom w:w="0" w:type="dxa"/>
            <w:right w:w="10" w:type="dxa"/>
          </w:tblCellMar>
        </w:tblPrEx>
        <w:trPr>
          <w:cantSplit/>
          <w:jc w:val="center"/>
        </w:trPr>
        <w:tc>
          <w:tcPr>
            <w:tcW w:w="1200" w:type="dxa"/>
            <w:tcBorders>
              <w:top w:val="nil"/>
              <w:left w:val="nil"/>
              <w:bottom w:val="nil"/>
              <w:right w:val="nil"/>
            </w:tcBorders>
            <w:noWrap w:val="0"/>
            <w:tcMar>
              <w:top w:w="-1" w:type="dxa"/>
              <w:left w:w="-1" w:type="dxa"/>
              <w:bottom w:w="-1" w:type="dxa"/>
              <w:right w:w="-1" w:type="dxa"/>
            </w:tcMar>
            <w:vAlign w:val="center"/>
          </w:tcPr>
          <w:p w14:paraId="1D897F1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E14</w:t>
            </w:r>
          </w:p>
        </w:tc>
        <w:tc>
          <w:tcPr>
            <w:tcW w:w="1440" w:type="dxa"/>
            <w:tcBorders>
              <w:top w:val="nil"/>
              <w:left w:val="nil"/>
              <w:bottom w:val="nil"/>
              <w:right w:val="nil"/>
            </w:tcBorders>
            <w:noWrap w:val="0"/>
            <w:tcMar>
              <w:top w:w="-1" w:type="dxa"/>
              <w:left w:w="-1" w:type="dxa"/>
              <w:bottom w:w="-1" w:type="dxa"/>
              <w:right w:w="-1" w:type="dxa"/>
            </w:tcMar>
            <w:vAlign w:val="center"/>
          </w:tcPr>
          <w:p w14:paraId="676958A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nil"/>
              <w:left w:val="nil"/>
              <w:bottom w:val="nil"/>
              <w:right w:val="nil"/>
            </w:tcBorders>
            <w:noWrap w:val="0"/>
            <w:tcMar>
              <w:top w:w="-1" w:type="dxa"/>
              <w:left w:w="-1" w:type="dxa"/>
              <w:bottom w:w="-1" w:type="dxa"/>
              <w:right w:w="-1" w:type="dxa"/>
            </w:tcMar>
            <w:vAlign w:val="center"/>
          </w:tcPr>
          <w:p w14:paraId="5AE9554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47</w:t>
            </w:r>
          </w:p>
        </w:tc>
        <w:tc>
          <w:tcPr>
            <w:tcW w:w="1080" w:type="dxa"/>
            <w:tcBorders>
              <w:top w:val="nil"/>
              <w:left w:val="nil"/>
              <w:bottom w:val="nil"/>
              <w:right w:val="nil"/>
            </w:tcBorders>
            <w:noWrap w:val="0"/>
            <w:tcMar>
              <w:top w:w="-1" w:type="dxa"/>
              <w:left w:w="-1" w:type="dxa"/>
              <w:bottom w:w="-1" w:type="dxa"/>
              <w:right w:w="-1" w:type="dxa"/>
            </w:tcMar>
            <w:vAlign w:val="center"/>
          </w:tcPr>
          <w:p w14:paraId="33ADAC4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97</w:t>
            </w:r>
          </w:p>
        </w:tc>
        <w:tc>
          <w:tcPr>
            <w:tcW w:w="1152" w:type="dxa"/>
            <w:tcBorders>
              <w:top w:val="nil"/>
              <w:left w:val="nil"/>
              <w:bottom w:val="nil"/>
              <w:right w:val="nil"/>
            </w:tcBorders>
            <w:noWrap w:val="0"/>
            <w:tcMar>
              <w:top w:w="-1" w:type="dxa"/>
              <w:left w:w="-1" w:type="dxa"/>
              <w:bottom w:w="-1" w:type="dxa"/>
              <w:right w:w="-1" w:type="dxa"/>
            </w:tcMar>
            <w:vAlign w:val="center"/>
          </w:tcPr>
          <w:p w14:paraId="6777834F">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0.01</w:t>
            </w:r>
          </w:p>
        </w:tc>
        <w:tc>
          <w:tcPr>
            <w:tcW w:w="1152" w:type="dxa"/>
            <w:tcBorders>
              <w:top w:val="nil"/>
              <w:left w:val="nil"/>
              <w:bottom w:val="nil"/>
              <w:right w:val="nil"/>
            </w:tcBorders>
            <w:noWrap w:val="0"/>
            <w:tcMar>
              <w:top w:w="-1" w:type="dxa"/>
              <w:left w:w="-1" w:type="dxa"/>
              <w:bottom w:w="-1" w:type="dxa"/>
              <w:right w:w="-1" w:type="dxa"/>
            </w:tcMar>
            <w:vAlign w:val="center"/>
          </w:tcPr>
          <w:p w14:paraId="6BC90E8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21.29</w:t>
            </w:r>
          </w:p>
        </w:tc>
        <w:tc>
          <w:tcPr>
            <w:tcW w:w="1080" w:type="dxa"/>
            <w:tcBorders>
              <w:top w:val="nil"/>
              <w:left w:val="nil"/>
              <w:bottom w:val="nil"/>
              <w:right w:val="nil"/>
            </w:tcBorders>
            <w:noWrap w:val="0"/>
            <w:tcMar>
              <w:top w:w="-1" w:type="dxa"/>
              <w:left w:w="-1" w:type="dxa"/>
              <w:bottom w:w="-1" w:type="dxa"/>
              <w:right w:w="-1" w:type="dxa"/>
            </w:tcMar>
            <w:vAlign w:val="center"/>
          </w:tcPr>
          <w:p w14:paraId="57F3880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7.73</w:t>
            </w:r>
          </w:p>
        </w:tc>
        <w:tc>
          <w:tcPr>
            <w:tcW w:w="1080" w:type="dxa"/>
            <w:tcBorders>
              <w:top w:val="nil"/>
              <w:left w:val="nil"/>
              <w:bottom w:val="nil"/>
              <w:right w:val="nil"/>
            </w:tcBorders>
            <w:noWrap w:val="0"/>
            <w:tcMar>
              <w:top w:w="-1" w:type="dxa"/>
              <w:left w:w="-1" w:type="dxa"/>
              <w:bottom w:w="-1" w:type="dxa"/>
              <w:right w:w="-1" w:type="dxa"/>
            </w:tcMar>
            <w:vAlign w:val="center"/>
          </w:tcPr>
          <w:p w14:paraId="22AFF1B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244</w:t>
            </w:r>
          </w:p>
        </w:tc>
        <w:tc>
          <w:tcPr>
            <w:tcW w:w="1152" w:type="dxa"/>
            <w:tcBorders>
              <w:top w:val="nil"/>
              <w:left w:val="nil"/>
              <w:bottom w:val="nil"/>
              <w:right w:val="nil"/>
            </w:tcBorders>
            <w:noWrap w:val="0"/>
            <w:tcMar>
              <w:top w:w="-1" w:type="dxa"/>
              <w:left w:w="-1" w:type="dxa"/>
              <w:bottom w:w="-1" w:type="dxa"/>
              <w:right w:w="-1" w:type="dxa"/>
            </w:tcMar>
            <w:vAlign w:val="center"/>
          </w:tcPr>
          <w:p w14:paraId="51B61FA8">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100</w:t>
            </w:r>
          </w:p>
        </w:tc>
        <w:tc>
          <w:tcPr>
            <w:tcW w:w="1152" w:type="dxa"/>
            <w:tcBorders>
              <w:top w:val="nil"/>
              <w:left w:val="nil"/>
              <w:bottom w:val="nil"/>
              <w:right w:val="nil"/>
            </w:tcBorders>
            <w:noWrap w:val="0"/>
            <w:tcMar>
              <w:top w:w="-1" w:type="dxa"/>
              <w:left w:w="-1" w:type="dxa"/>
              <w:bottom w:w="-1" w:type="dxa"/>
              <w:right w:w="-1" w:type="dxa"/>
            </w:tcMar>
            <w:vAlign w:val="center"/>
          </w:tcPr>
          <w:p w14:paraId="1ABC4A08">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1.33</w:t>
            </w:r>
          </w:p>
        </w:tc>
        <w:tc>
          <w:tcPr>
            <w:tcW w:w="1320" w:type="dxa"/>
            <w:tcBorders>
              <w:top w:val="nil"/>
              <w:left w:val="nil"/>
              <w:bottom w:val="nil"/>
              <w:right w:val="nil"/>
            </w:tcBorders>
            <w:noWrap w:val="0"/>
            <w:tcMar>
              <w:top w:w="-1" w:type="dxa"/>
              <w:left w:w="-1" w:type="dxa"/>
              <w:bottom w:w="-1" w:type="dxa"/>
              <w:right w:w="-1" w:type="dxa"/>
            </w:tcMar>
            <w:vAlign w:val="center"/>
          </w:tcPr>
          <w:p w14:paraId="3E026988">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146.8</w:t>
            </w:r>
          </w:p>
        </w:tc>
      </w:tr>
      <w:tr w14:paraId="00C49687">
        <w:tblPrEx>
          <w:tblCellMar>
            <w:top w:w="0" w:type="dxa"/>
            <w:left w:w="10" w:type="dxa"/>
            <w:bottom w:w="0" w:type="dxa"/>
            <w:right w:w="10" w:type="dxa"/>
          </w:tblCellMar>
        </w:tblPrEx>
        <w:trPr>
          <w:cantSplit/>
          <w:jc w:val="center"/>
        </w:trPr>
        <w:tc>
          <w:tcPr>
            <w:tcW w:w="1200" w:type="dxa"/>
            <w:tcBorders>
              <w:top w:val="nil"/>
              <w:left w:val="nil"/>
              <w:bottom w:val="nil"/>
              <w:right w:val="nil"/>
            </w:tcBorders>
            <w:noWrap w:val="0"/>
            <w:tcMar>
              <w:top w:w="-1" w:type="dxa"/>
              <w:left w:w="-1" w:type="dxa"/>
              <w:bottom w:w="-1" w:type="dxa"/>
              <w:right w:w="-1" w:type="dxa"/>
            </w:tcMar>
            <w:vAlign w:val="center"/>
          </w:tcPr>
          <w:p w14:paraId="73281AE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E18</w:t>
            </w:r>
          </w:p>
        </w:tc>
        <w:tc>
          <w:tcPr>
            <w:tcW w:w="1440" w:type="dxa"/>
            <w:tcBorders>
              <w:top w:val="nil"/>
              <w:left w:val="nil"/>
              <w:bottom w:val="nil"/>
              <w:right w:val="nil"/>
            </w:tcBorders>
            <w:noWrap w:val="0"/>
            <w:tcMar>
              <w:top w:w="-1" w:type="dxa"/>
              <w:left w:w="-1" w:type="dxa"/>
              <w:bottom w:w="-1" w:type="dxa"/>
              <w:right w:w="-1" w:type="dxa"/>
            </w:tcMar>
            <w:vAlign w:val="center"/>
          </w:tcPr>
          <w:p w14:paraId="64DA9D9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nil"/>
              <w:left w:val="nil"/>
              <w:bottom w:val="nil"/>
              <w:right w:val="nil"/>
            </w:tcBorders>
            <w:noWrap w:val="0"/>
            <w:tcMar>
              <w:top w:w="-1" w:type="dxa"/>
              <w:left w:w="-1" w:type="dxa"/>
              <w:bottom w:w="-1" w:type="dxa"/>
              <w:right w:w="-1" w:type="dxa"/>
            </w:tcMar>
            <w:vAlign w:val="center"/>
          </w:tcPr>
          <w:p w14:paraId="12CFD12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75</w:t>
            </w:r>
          </w:p>
        </w:tc>
        <w:tc>
          <w:tcPr>
            <w:tcW w:w="1080" w:type="dxa"/>
            <w:tcBorders>
              <w:top w:val="nil"/>
              <w:left w:val="nil"/>
              <w:bottom w:val="nil"/>
              <w:right w:val="nil"/>
            </w:tcBorders>
            <w:noWrap w:val="0"/>
            <w:tcMar>
              <w:top w:w="-1" w:type="dxa"/>
              <w:left w:w="-1" w:type="dxa"/>
              <w:bottom w:w="-1" w:type="dxa"/>
              <w:right w:w="-1" w:type="dxa"/>
            </w:tcMar>
            <w:vAlign w:val="center"/>
          </w:tcPr>
          <w:p w14:paraId="586195E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75</w:t>
            </w:r>
          </w:p>
        </w:tc>
        <w:tc>
          <w:tcPr>
            <w:tcW w:w="1152" w:type="dxa"/>
            <w:tcBorders>
              <w:top w:val="nil"/>
              <w:left w:val="nil"/>
              <w:bottom w:val="nil"/>
              <w:right w:val="nil"/>
            </w:tcBorders>
            <w:noWrap w:val="0"/>
            <w:tcMar>
              <w:top w:w="-1" w:type="dxa"/>
              <w:left w:w="-1" w:type="dxa"/>
              <w:bottom w:w="-1" w:type="dxa"/>
              <w:right w:w="-1" w:type="dxa"/>
            </w:tcMar>
            <w:vAlign w:val="center"/>
          </w:tcPr>
          <w:p w14:paraId="5F2B56BE">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0.02</w:t>
            </w:r>
          </w:p>
        </w:tc>
        <w:tc>
          <w:tcPr>
            <w:tcW w:w="1152" w:type="dxa"/>
            <w:tcBorders>
              <w:top w:val="nil"/>
              <w:left w:val="nil"/>
              <w:bottom w:val="nil"/>
              <w:right w:val="nil"/>
            </w:tcBorders>
            <w:noWrap w:val="0"/>
            <w:tcMar>
              <w:top w:w="-1" w:type="dxa"/>
              <w:left w:w="-1" w:type="dxa"/>
              <w:bottom w:w="-1" w:type="dxa"/>
              <w:right w:w="-1" w:type="dxa"/>
            </w:tcMar>
            <w:vAlign w:val="center"/>
          </w:tcPr>
          <w:p w14:paraId="3BA5F22D">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24.43</w:t>
            </w:r>
          </w:p>
        </w:tc>
        <w:tc>
          <w:tcPr>
            <w:tcW w:w="1080" w:type="dxa"/>
            <w:tcBorders>
              <w:top w:val="nil"/>
              <w:left w:val="nil"/>
              <w:bottom w:val="nil"/>
              <w:right w:val="nil"/>
            </w:tcBorders>
            <w:noWrap w:val="0"/>
            <w:tcMar>
              <w:top w:w="-1" w:type="dxa"/>
              <w:left w:w="-1" w:type="dxa"/>
              <w:bottom w:w="-1" w:type="dxa"/>
              <w:right w:w="-1" w:type="dxa"/>
            </w:tcMar>
            <w:vAlign w:val="center"/>
          </w:tcPr>
          <w:p w14:paraId="745606A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6.22</w:t>
            </w:r>
          </w:p>
        </w:tc>
        <w:tc>
          <w:tcPr>
            <w:tcW w:w="1080" w:type="dxa"/>
            <w:tcBorders>
              <w:top w:val="nil"/>
              <w:left w:val="nil"/>
              <w:bottom w:val="nil"/>
              <w:right w:val="nil"/>
            </w:tcBorders>
            <w:noWrap w:val="0"/>
            <w:tcMar>
              <w:top w:w="-1" w:type="dxa"/>
              <w:left w:w="-1" w:type="dxa"/>
              <w:bottom w:w="-1" w:type="dxa"/>
              <w:right w:w="-1" w:type="dxa"/>
            </w:tcMar>
            <w:vAlign w:val="center"/>
          </w:tcPr>
          <w:p w14:paraId="1B26BBC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101</w:t>
            </w:r>
          </w:p>
        </w:tc>
        <w:tc>
          <w:tcPr>
            <w:tcW w:w="1152" w:type="dxa"/>
            <w:tcBorders>
              <w:top w:val="nil"/>
              <w:left w:val="nil"/>
              <w:bottom w:val="nil"/>
              <w:right w:val="nil"/>
            </w:tcBorders>
            <w:noWrap w:val="0"/>
            <w:tcMar>
              <w:top w:w="-1" w:type="dxa"/>
              <w:left w:w="-1" w:type="dxa"/>
              <w:bottom w:w="-1" w:type="dxa"/>
              <w:right w:w="-1" w:type="dxa"/>
            </w:tcMar>
            <w:vAlign w:val="center"/>
          </w:tcPr>
          <w:p w14:paraId="1985A80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9.20</w:t>
            </w:r>
          </w:p>
        </w:tc>
        <w:tc>
          <w:tcPr>
            <w:tcW w:w="1152" w:type="dxa"/>
            <w:tcBorders>
              <w:top w:val="nil"/>
              <w:left w:val="nil"/>
              <w:bottom w:val="nil"/>
              <w:right w:val="nil"/>
            </w:tcBorders>
            <w:noWrap w:val="0"/>
            <w:tcMar>
              <w:top w:w="-1" w:type="dxa"/>
              <w:left w:w="-1" w:type="dxa"/>
              <w:bottom w:w="-1" w:type="dxa"/>
              <w:right w:w="-1" w:type="dxa"/>
            </w:tcMar>
            <w:vAlign w:val="center"/>
          </w:tcPr>
          <w:p w14:paraId="2194D64F">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8.01</w:t>
            </w:r>
          </w:p>
        </w:tc>
        <w:tc>
          <w:tcPr>
            <w:tcW w:w="1320" w:type="dxa"/>
            <w:tcBorders>
              <w:top w:val="nil"/>
              <w:left w:val="nil"/>
              <w:bottom w:val="nil"/>
              <w:right w:val="nil"/>
            </w:tcBorders>
            <w:noWrap w:val="0"/>
            <w:tcMar>
              <w:top w:w="-1" w:type="dxa"/>
              <w:left w:w="-1" w:type="dxa"/>
              <w:bottom w:w="-1" w:type="dxa"/>
              <w:right w:w="-1" w:type="dxa"/>
            </w:tcMar>
            <w:vAlign w:val="center"/>
          </w:tcPr>
          <w:p w14:paraId="52EAD61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25.9</w:t>
            </w:r>
          </w:p>
        </w:tc>
      </w:tr>
      <w:tr w14:paraId="0B3D279A">
        <w:tblPrEx>
          <w:tblCellMar>
            <w:top w:w="0" w:type="dxa"/>
            <w:left w:w="10" w:type="dxa"/>
            <w:bottom w:w="0" w:type="dxa"/>
            <w:right w:w="10" w:type="dxa"/>
          </w:tblCellMar>
        </w:tblPrEx>
        <w:trPr>
          <w:cantSplit/>
          <w:jc w:val="center"/>
        </w:trPr>
        <w:tc>
          <w:tcPr>
            <w:tcW w:w="1200" w:type="dxa"/>
            <w:tcBorders>
              <w:top w:val="nil"/>
              <w:left w:val="nil"/>
              <w:bottom w:val="nil"/>
              <w:right w:val="nil"/>
            </w:tcBorders>
            <w:noWrap w:val="0"/>
            <w:tcMar>
              <w:top w:w="-1" w:type="dxa"/>
              <w:left w:w="-1" w:type="dxa"/>
              <w:bottom w:w="-1" w:type="dxa"/>
              <w:right w:w="-1" w:type="dxa"/>
            </w:tcMar>
            <w:vAlign w:val="center"/>
          </w:tcPr>
          <w:p w14:paraId="6F65C6F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E21</w:t>
            </w:r>
          </w:p>
        </w:tc>
        <w:tc>
          <w:tcPr>
            <w:tcW w:w="1440" w:type="dxa"/>
            <w:tcBorders>
              <w:top w:val="nil"/>
              <w:left w:val="nil"/>
              <w:bottom w:val="nil"/>
              <w:right w:val="nil"/>
            </w:tcBorders>
            <w:noWrap w:val="0"/>
            <w:tcMar>
              <w:top w:w="-1" w:type="dxa"/>
              <w:left w:w="-1" w:type="dxa"/>
              <w:bottom w:w="-1" w:type="dxa"/>
              <w:right w:w="-1" w:type="dxa"/>
            </w:tcMar>
            <w:vAlign w:val="center"/>
          </w:tcPr>
          <w:p w14:paraId="1FB081C7">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nil"/>
              <w:left w:val="nil"/>
              <w:bottom w:val="nil"/>
              <w:right w:val="nil"/>
            </w:tcBorders>
            <w:noWrap w:val="0"/>
            <w:tcMar>
              <w:top w:w="-1" w:type="dxa"/>
              <w:left w:w="-1" w:type="dxa"/>
              <w:bottom w:w="-1" w:type="dxa"/>
              <w:right w:w="-1" w:type="dxa"/>
            </w:tcMar>
            <w:vAlign w:val="center"/>
          </w:tcPr>
          <w:p w14:paraId="6C1E1D3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98</w:t>
            </w:r>
          </w:p>
        </w:tc>
        <w:tc>
          <w:tcPr>
            <w:tcW w:w="1080" w:type="dxa"/>
            <w:tcBorders>
              <w:top w:val="nil"/>
              <w:left w:val="nil"/>
              <w:bottom w:val="nil"/>
              <w:right w:val="nil"/>
            </w:tcBorders>
            <w:noWrap w:val="0"/>
            <w:tcMar>
              <w:top w:w="-1" w:type="dxa"/>
              <w:left w:w="-1" w:type="dxa"/>
              <w:bottom w:w="-1" w:type="dxa"/>
              <w:right w:w="-1" w:type="dxa"/>
            </w:tcMar>
            <w:vAlign w:val="center"/>
          </w:tcPr>
          <w:p w14:paraId="7DEC92DC">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98</w:t>
            </w:r>
          </w:p>
        </w:tc>
        <w:tc>
          <w:tcPr>
            <w:tcW w:w="1152" w:type="dxa"/>
            <w:tcBorders>
              <w:top w:val="nil"/>
              <w:left w:val="nil"/>
              <w:bottom w:val="nil"/>
              <w:right w:val="nil"/>
            </w:tcBorders>
            <w:noWrap w:val="0"/>
            <w:tcMar>
              <w:top w:w="-1" w:type="dxa"/>
              <w:left w:w="-1" w:type="dxa"/>
              <w:bottom w:w="-1" w:type="dxa"/>
              <w:right w:w="-1" w:type="dxa"/>
            </w:tcMar>
            <w:vAlign w:val="center"/>
          </w:tcPr>
          <w:p w14:paraId="15941218">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0.03</w:t>
            </w:r>
          </w:p>
        </w:tc>
        <w:tc>
          <w:tcPr>
            <w:tcW w:w="1152" w:type="dxa"/>
            <w:tcBorders>
              <w:top w:val="nil"/>
              <w:left w:val="nil"/>
              <w:bottom w:val="nil"/>
              <w:right w:val="nil"/>
            </w:tcBorders>
            <w:noWrap w:val="0"/>
            <w:tcMar>
              <w:top w:w="-1" w:type="dxa"/>
              <w:left w:w="-1" w:type="dxa"/>
              <w:bottom w:w="-1" w:type="dxa"/>
              <w:right w:w="-1" w:type="dxa"/>
            </w:tcMar>
            <w:vAlign w:val="center"/>
          </w:tcPr>
          <w:p w14:paraId="587B272B">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20.19</w:t>
            </w:r>
          </w:p>
        </w:tc>
        <w:tc>
          <w:tcPr>
            <w:tcW w:w="1080" w:type="dxa"/>
            <w:tcBorders>
              <w:top w:val="nil"/>
              <w:left w:val="nil"/>
              <w:bottom w:val="nil"/>
              <w:right w:val="nil"/>
            </w:tcBorders>
            <w:noWrap w:val="0"/>
            <w:tcMar>
              <w:top w:w="-1" w:type="dxa"/>
              <w:left w:w="-1" w:type="dxa"/>
              <w:bottom w:w="-1" w:type="dxa"/>
              <w:right w:w="-1" w:type="dxa"/>
            </w:tcMar>
            <w:vAlign w:val="center"/>
          </w:tcPr>
          <w:p w14:paraId="5A9A46C3">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7.05</w:t>
            </w:r>
          </w:p>
        </w:tc>
        <w:tc>
          <w:tcPr>
            <w:tcW w:w="1080" w:type="dxa"/>
            <w:tcBorders>
              <w:top w:val="nil"/>
              <w:left w:val="nil"/>
              <w:bottom w:val="nil"/>
              <w:right w:val="nil"/>
            </w:tcBorders>
            <w:noWrap w:val="0"/>
            <w:tcMar>
              <w:top w:w="-1" w:type="dxa"/>
              <w:left w:w="-1" w:type="dxa"/>
              <w:bottom w:w="-1" w:type="dxa"/>
              <w:right w:w="-1" w:type="dxa"/>
            </w:tcMar>
            <w:vAlign w:val="center"/>
          </w:tcPr>
          <w:p w14:paraId="13D05EBF">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161</w:t>
            </w:r>
          </w:p>
        </w:tc>
        <w:tc>
          <w:tcPr>
            <w:tcW w:w="1152" w:type="dxa"/>
            <w:tcBorders>
              <w:top w:val="nil"/>
              <w:left w:val="nil"/>
              <w:bottom w:val="nil"/>
              <w:right w:val="nil"/>
            </w:tcBorders>
            <w:noWrap w:val="0"/>
            <w:tcMar>
              <w:top w:w="-1" w:type="dxa"/>
              <w:left w:w="-1" w:type="dxa"/>
              <w:bottom w:w="-1" w:type="dxa"/>
              <w:right w:w="-1" w:type="dxa"/>
            </w:tcMar>
            <w:vAlign w:val="center"/>
          </w:tcPr>
          <w:p w14:paraId="0BA42C0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50.75</w:t>
            </w:r>
          </w:p>
        </w:tc>
        <w:tc>
          <w:tcPr>
            <w:tcW w:w="1152" w:type="dxa"/>
            <w:tcBorders>
              <w:top w:val="nil"/>
              <w:left w:val="nil"/>
              <w:bottom w:val="nil"/>
              <w:right w:val="nil"/>
            </w:tcBorders>
            <w:noWrap w:val="0"/>
            <w:tcMar>
              <w:top w:w="-1" w:type="dxa"/>
              <w:left w:w="-1" w:type="dxa"/>
              <w:bottom w:w="-1" w:type="dxa"/>
              <w:right w:w="-1" w:type="dxa"/>
            </w:tcMar>
            <w:vAlign w:val="center"/>
          </w:tcPr>
          <w:p w14:paraId="73037DCD">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2.97</w:t>
            </w:r>
          </w:p>
        </w:tc>
        <w:tc>
          <w:tcPr>
            <w:tcW w:w="1320" w:type="dxa"/>
            <w:tcBorders>
              <w:top w:val="nil"/>
              <w:left w:val="nil"/>
              <w:bottom w:val="nil"/>
              <w:right w:val="nil"/>
            </w:tcBorders>
            <w:noWrap w:val="0"/>
            <w:tcMar>
              <w:top w:w="-1" w:type="dxa"/>
              <w:left w:w="-1" w:type="dxa"/>
              <w:bottom w:w="-1" w:type="dxa"/>
              <w:right w:w="-1" w:type="dxa"/>
            </w:tcMar>
            <w:vAlign w:val="center"/>
          </w:tcPr>
          <w:p w14:paraId="20EA085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62.8</w:t>
            </w:r>
          </w:p>
        </w:tc>
      </w:tr>
      <w:tr w14:paraId="624EBDE4">
        <w:tblPrEx>
          <w:tblCellMar>
            <w:top w:w="0" w:type="dxa"/>
            <w:left w:w="10" w:type="dxa"/>
            <w:bottom w:w="0" w:type="dxa"/>
            <w:right w:w="10" w:type="dxa"/>
          </w:tblCellMar>
        </w:tblPrEx>
        <w:trPr>
          <w:cantSplit/>
          <w:jc w:val="center"/>
        </w:trPr>
        <w:tc>
          <w:tcPr>
            <w:tcW w:w="1200" w:type="dxa"/>
            <w:tcBorders>
              <w:top w:val="nil"/>
              <w:left w:val="nil"/>
              <w:bottom w:val="single" w:color="auto" w:sz="12" w:space="0"/>
              <w:right w:val="nil"/>
            </w:tcBorders>
            <w:noWrap w:val="0"/>
            <w:tcMar>
              <w:top w:w="-1" w:type="dxa"/>
              <w:left w:w="-1" w:type="dxa"/>
              <w:bottom w:w="-1" w:type="dxa"/>
              <w:right w:w="-1" w:type="dxa"/>
            </w:tcMar>
            <w:vAlign w:val="center"/>
          </w:tcPr>
          <w:p w14:paraId="10471D69">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E27</w:t>
            </w:r>
          </w:p>
        </w:tc>
        <w:tc>
          <w:tcPr>
            <w:tcW w:w="1440" w:type="dxa"/>
            <w:tcBorders>
              <w:top w:val="nil"/>
              <w:left w:val="nil"/>
              <w:bottom w:val="single" w:color="auto" w:sz="12" w:space="0"/>
              <w:right w:val="nil"/>
            </w:tcBorders>
            <w:noWrap w:val="0"/>
            <w:tcMar>
              <w:top w:w="-1" w:type="dxa"/>
              <w:left w:w="-1" w:type="dxa"/>
              <w:bottom w:w="-1" w:type="dxa"/>
              <w:right w:w="-1" w:type="dxa"/>
            </w:tcMar>
            <w:vAlign w:val="center"/>
          </w:tcPr>
          <w:p w14:paraId="706CC241">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Yes</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06405892">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158</w:t>
            </w:r>
          </w:p>
        </w:tc>
        <w:tc>
          <w:tcPr>
            <w:tcW w:w="1080" w:type="dxa"/>
            <w:tcBorders>
              <w:top w:val="nil"/>
              <w:left w:val="nil"/>
              <w:bottom w:val="single" w:color="auto" w:sz="12" w:space="0"/>
              <w:right w:val="nil"/>
            </w:tcBorders>
            <w:noWrap w:val="0"/>
            <w:tcMar>
              <w:top w:w="-1" w:type="dxa"/>
              <w:left w:w="-1" w:type="dxa"/>
              <w:bottom w:w="-1" w:type="dxa"/>
              <w:right w:w="-1" w:type="dxa"/>
            </w:tcMar>
            <w:vAlign w:val="center"/>
          </w:tcPr>
          <w:p w14:paraId="132402C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158</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7464ADE5">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0.32</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055E951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22.86</w:t>
            </w:r>
          </w:p>
        </w:tc>
        <w:tc>
          <w:tcPr>
            <w:tcW w:w="1080" w:type="dxa"/>
            <w:tcBorders>
              <w:top w:val="nil"/>
              <w:left w:val="nil"/>
              <w:bottom w:val="single" w:color="auto" w:sz="12" w:space="0"/>
              <w:right w:val="nil"/>
            </w:tcBorders>
            <w:noWrap w:val="0"/>
            <w:tcMar>
              <w:top w:w="-1" w:type="dxa"/>
              <w:left w:w="-1" w:type="dxa"/>
              <w:bottom w:w="-1" w:type="dxa"/>
              <w:right w:w="-1" w:type="dxa"/>
            </w:tcMar>
            <w:vAlign w:val="center"/>
          </w:tcPr>
          <w:p w14:paraId="08344E1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5.75</w:t>
            </w:r>
          </w:p>
        </w:tc>
        <w:tc>
          <w:tcPr>
            <w:tcW w:w="1080" w:type="dxa"/>
            <w:tcBorders>
              <w:top w:val="nil"/>
              <w:left w:val="nil"/>
              <w:bottom w:val="single" w:color="auto" w:sz="12" w:space="0"/>
              <w:right w:val="nil"/>
            </w:tcBorders>
            <w:noWrap w:val="0"/>
            <w:tcMar>
              <w:top w:w="-1" w:type="dxa"/>
              <w:left w:w="-1" w:type="dxa"/>
              <w:bottom w:w="-1" w:type="dxa"/>
              <w:right w:w="-1" w:type="dxa"/>
            </w:tcMar>
            <w:vAlign w:val="center"/>
          </w:tcPr>
          <w:p w14:paraId="3C12DF5A">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263</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4396F1E0">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25.64</w:t>
            </w:r>
          </w:p>
        </w:tc>
        <w:tc>
          <w:tcPr>
            <w:tcW w:w="1152" w:type="dxa"/>
            <w:tcBorders>
              <w:top w:val="nil"/>
              <w:left w:val="nil"/>
              <w:bottom w:val="single" w:color="auto" w:sz="12" w:space="0"/>
              <w:right w:val="nil"/>
            </w:tcBorders>
            <w:noWrap w:val="0"/>
            <w:tcMar>
              <w:top w:w="-1" w:type="dxa"/>
              <w:left w:w="-1" w:type="dxa"/>
              <w:bottom w:w="-1" w:type="dxa"/>
              <w:right w:w="-1" w:type="dxa"/>
            </w:tcMar>
            <w:vAlign w:val="center"/>
          </w:tcPr>
          <w:p w14:paraId="205E3A64">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12.15</w:t>
            </w:r>
          </w:p>
        </w:tc>
        <w:tc>
          <w:tcPr>
            <w:tcW w:w="1320" w:type="dxa"/>
            <w:tcBorders>
              <w:top w:val="nil"/>
              <w:left w:val="nil"/>
              <w:bottom w:val="single" w:color="auto" w:sz="12" w:space="0"/>
              <w:right w:val="nil"/>
            </w:tcBorders>
            <w:noWrap w:val="0"/>
            <w:tcMar>
              <w:top w:w="-1" w:type="dxa"/>
              <w:left w:w="-1" w:type="dxa"/>
              <w:bottom w:w="-1" w:type="dxa"/>
              <w:right w:w="-1" w:type="dxa"/>
            </w:tcMar>
            <w:vAlign w:val="center"/>
          </w:tcPr>
          <w:p w14:paraId="2C2892D6">
            <w:pPr>
              <w:keepLines w:val="0"/>
              <w:pageBreakBefore w:val="0"/>
              <w:widowControl/>
              <w:kinsoku/>
              <w:wordWrap/>
              <w:overflowPunct/>
              <w:topLinePunct w:val="0"/>
              <w:autoSpaceDE/>
              <w:autoSpaceDN/>
              <w:bidi w:val="0"/>
              <w:adjustRightInd/>
              <w:snapToGrid/>
              <w:spacing w:before="0" w:after="0" w:line="360" w:lineRule="auto"/>
              <w:jc w:val="center"/>
              <w:textAlignment w:val="auto"/>
              <w:rPr>
                <w:sz w:val="18"/>
                <w:szCs w:val="18"/>
              </w:rPr>
            </w:pPr>
            <w:r>
              <w:rPr>
                <w:rFonts w:ascii="Times New Roman" w:hAnsi="Times New Roman" w:eastAsia="Times New Roman"/>
                <w:b w:val="0"/>
                <w:sz w:val="18"/>
                <w:szCs w:val="18"/>
              </w:rPr>
              <w:t>105.2</w:t>
            </w:r>
          </w:p>
        </w:tc>
      </w:tr>
    </w:tbl>
    <w:p w14:paraId="5EAAD938">
      <w:pPr>
        <w:pStyle w:val="12"/>
        <w:keepLines w:val="0"/>
        <w:pageBreakBefore w:val="0"/>
        <w:widowControl/>
        <w:kinsoku/>
        <w:wordWrap/>
        <w:overflowPunct/>
        <w:topLinePunct w:val="0"/>
        <w:autoSpaceDE/>
        <w:autoSpaceDN/>
        <w:bidi w:val="0"/>
        <w:adjustRightInd/>
        <w:snapToGrid/>
        <w:spacing w:line="360" w:lineRule="auto"/>
        <w:textAlignment w:val="auto"/>
        <w:rPr>
          <w:sz w:val="18"/>
          <w:szCs w:val="18"/>
        </w:rPr>
      </w:pPr>
      <w:r>
        <w:rPr>
          <w:sz w:val="18"/>
          <w:szCs w:val="18"/>
        </w:rPr>
        <w:t>Days are relative to first ICI. Event day is the earliest qualifying biochemical presentation and may precede the thyrotoxic report used in the qualifying pair. The interval is the exact elapsed time between the qualifying report timestamps, shown to one decimal day; it can differ by less than one day from subtraction of the integer study days. All intervals met the prespecified 7–168-day criterion. TSH is mIU/L; FT4/FT3 are pmol/L. E14 illustrates the prespecified rule: the event on Day 47 preceded the qualifying thyrotoxic report on Day 97; the interval from the Day 97 thyrotoxic report to the Day 244 hypothyroid report was 146.8 elapsed days.</w:t>
      </w:r>
    </w:p>
    <w:p w14:paraId="7A7EB00A">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Figure S1. Descriptive phenotype hierarchy in the broader monitored cohort</w:t>
      </w:r>
    </w:p>
    <w:p w14:paraId="1F40914F">
      <w:pPr>
        <w:keepLines w:val="0"/>
        <w:pageBreakBefore w:val="0"/>
        <w:widowControl/>
        <w:kinsoku/>
        <w:wordWrap/>
        <w:overflowPunct/>
        <w:topLinePunct w:val="0"/>
        <w:autoSpaceDE/>
        <w:autoSpaceDN/>
        <w:bidi w:val="0"/>
        <w:adjustRightInd/>
        <w:snapToGrid/>
        <w:spacing w:after="0" w:line="360" w:lineRule="auto"/>
        <w:ind w:firstLine="0"/>
        <w:jc w:val="center"/>
        <w:textAlignment w:val="auto"/>
      </w:pPr>
      <w:r>
        <w:drawing>
          <wp:inline distT="0" distB="0" distL="114300" distR="114300">
            <wp:extent cx="8686800" cy="4737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8686800" cy="4738255"/>
                    </a:xfrm>
                    <a:prstGeom prst="rect">
                      <a:avLst/>
                    </a:prstGeom>
                  </pic:spPr>
                </pic:pic>
              </a:graphicData>
            </a:graphic>
          </wp:inline>
        </w:drawing>
      </w:r>
    </w:p>
    <w:p w14:paraId="20A8C471">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The five descriptive phenotypes refer to all 273 monitored patients and are distinct from the four adjudicated event subtypes. The right-hand subtype counts use all 35 events at any follow-up; 34 occurred by Day 365. The 36-patient descriptive phenotype count is not the 35-patient adjudicated event count. This hierarchy does not establish causal PD-1 attribution or diagnostic accuracy. The primary monitoring cohort comprises 240 patients.</w:t>
      </w:r>
    </w:p>
    <w:p w14:paraId="6036E31A">
      <w:pPr>
        <w:pStyle w:val="9"/>
        <w:keepNext/>
        <w:keepLines w:val="0"/>
        <w:pageBreakBefore w:val="0"/>
        <w:widowControl/>
        <w:kinsoku/>
        <w:wordWrap/>
        <w:overflowPunct/>
        <w:topLinePunct w:val="0"/>
        <w:autoSpaceDE/>
        <w:autoSpaceDN/>
        <w:bidi w:val="0"/>
        <w:adjustRightInd/>
        <w:snapToGrid/>
        <w:spacing w:line="360" w:lineRule="auto"/>
        <w:textAlignment w:val="auto"/>
        <w:rPr>
          <w:sz w:val="22"/>
          <w:szCs w:val="22"/>
        </w:rPr>
      </w:pPr>
      <w:r>
        <w:rPr>
          <w:sz w:val="22"/>
          <w:szCs w:val="22"/>
        </w:rPr>
        <w:t>Figure S2. Patient-window event-centred laboratory summaries in the broader 35-event cohort</w:t>
      </w:r>
    </w:p>
    <w:p w14:paraId="7B0A0031">
      <w:pPr>
        <w:keepLines w:val="0"/>
        <w:pageBreakBefore w:val="0"/>
        <w:widowControl/>
        <w:kinsoku/>
        <w:wordWrap/>
        <w:overflowPunct/>
        <w:topLinePunct w:val="0"/>
        <w:autoSpaceDE/>
        <w:autoSpaceDN/>
        <w:bidi w:val="0"/>
        <w:adjustRightInd/>
        <w:snapToGrid/>
        <w:spacing w:line="360" w:lineRule="auto"/>
        <w:textAlignment w:val="auto"/>
      </w:pPr>
      <w:r>
        <w:drawing>
          <wp:inline distT="0" distB="0" distL="114300" distR="114300">
            <wp:extent cx="9235440" cy="4869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9235440" cy="4869596"/>
                    </a:xfrm>
                    <a:prstGeom prst="rect">
                      <a:avLst/>
                    </a:prstGeom>
                  </pic:spPr>
                </pic:pic>
              </a:graphicData>
            </a:graphic>
          </wp:inline>
        </w:drawing>
      </w:r>
    </w:p>
    <w:p w14:paraId="35052F3A">
      <w:pPr>
        <w:pStyle w:val="12"/>
        <w:keepLines w:val="0"/>
        <w:pageBreakBefore w:val="0"/>
        <w:widowControl/>
        <w:kinsoku/>
        <w:wordWrap/>
        <w:overflowPunct/>
        <w:topLinePunct w:val="0"/>
        <w:autoSpaceDE/>
        <w:autoSpaceDN/>
        <w:bidi w:val="0"/>
        <w:adjustRightInd/>
        <w:snapToGrid/>
        <w:spacing w:after="140" w:line="360" w:lineRule="auto"/>
        <w:textAlignment w:val="auto"/>
        <w:rPr>
          <w:sz w:val="18"/>
          <w:szCs w:val="18"/>
        </w:rPr>
      </w:pPr>
      <w:r>
        <w:rPr>
          <w:sz w:val="18"/>
          <w:szCs w:val="18"/>
        </w:rPr>
        <w:t>Grey lines connect each patient’s available within-window median values. The orange curve is the group median of patient-window values, so frequent testers do not receive extra weight within a window; IQRs are shown. TSH patient-window medians are transformed as log10(TSH+0.01). Membership differs by window. These summaries do not imply complete individual follow-up or a typical within-patient course.</w:t>
      </w:r>
    </w:p>
    <w:sectPr>
      <w:footerReference r:id="rId5" w:type="default"/>
      <w:pgSz w:w="16838" w:h="11906" w:orient="landscape"/>
      <w:pgMar w:top="822" w:right="822" w:bottom="822" w:left="822"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F1FD">
    <w:pPr>
      <w:ind w:firstLine="0"/>
      <w:jc w:val="center"/>
    </w:pPr>
    <w:r>
      <w:rPr>
        <w:rFonts w:ascii="Times New Roman" w:hAnsi="Times New Roman" w:eastAsia="宋体"/>
        <w:b w:val="0"/>
        <w:i w:val="0"/>
        <w:color w:val="000000"/>
        <w:sz w:val="18"/>
      </w:rPr>
      <w:fldChar w:fldCharType="begin"/>
    </w:r>
    <w:r>
      <w:rPr>
        <w:rFonts w:ascii="Times New Roman" w:hAnsi="Times New Roman" w:eastAsia="宋体"/>
        <w:b w:val="0"/>
        <w:i w:val="0"/>
        <w:color w:val="000000"/>
        <w:sz w:val="18"/>
      </w:rPr>
      <w:instrText xml:space="preserve"> PAGE </w:instrText>
    </w:r>
    <w:r>
      <w:rPr>
        <w:rFonts w:ascii="Times New Roman" w:hAnsi="Times New Roman" w:eastAsia="宋体"/>
        <w:b w:val="0"/>
        <w:i w:val="0"/>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footnotePr>
    <w:footnote w:id="0"/>
    <w:footnote w:id="1"/>
  </w:footnotePr>
  <w:endnotePr>
    <w:endnote w:id="0"/>
    <w:endnote w:id="1"/>
  </w:endnotePr>
  <w:compat>
    <w:useFELayout/>
    <w:splitPgBreakAndParaMark/>
    <w:compatSetting w:name="compatibilityMode" w:uri="http://schemas.microsoft.com/office/word" w:val="12"/>
  </w:compat>
  <w:rsids>
    <w:rsidRoot w:val="00000000"/>
    <w:rsid w:val="1BD61E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ind w:firstLine="420"/>
    </w:pPr>
    <w:rPr>
      <w:rFonts w:ascii="Times New Roman" w:hAnsi="Times New Roman" w:eastAsia="宋体"/>
      <w:sz w:val="21"/>
      <w:szCs w:val="22"/>
    </w:rPr>
  </w:style>
  <w:style w:type="paragraph" w:styleId="2">
    <w:name w:val="heading 1"/>
    <w:basedOn w:val="1"/>
    <w:qFormat/>
    <w:uiPriority w:val="0"/>
    <w:pPr>
      <w:keepNext/>
      <w:spacing w:before="240" w:after="120"/>
      <w:ind w:firstLine="0"/>
    </w:pPr>
    <w:rPr>
      <w:rFonts w:ascii="Times New Roman" w:hAnsi="Times New Roman" w:eastAsia="黑体"/>
      <w:b/>
      <w:bCs/>
      <w:color w:val="000000"/>
      <w:sz w:val="30"/>
      <w:szCs w:val="28"/>
    </w:rPr>
  </w:style>
  <w:style w:type="paragraph" w:styleId="3">
    <w:name w:val="heading 2"/>
    <w:basedOn w:val="1"/>
    <w:qFormat/>
    <w:uiPriority w:val="0"/>
    <w:pPr>
      <w:keepNext/>
      <w:spacing w:before="180" w:after="80"/>
      <w:ind w:firstLine="0"/>
    </w:pPr>
    <w:rPr>
      <w:rFonts w:ascii="Times New Roman" w:hAnsi="Times New Roman" w:eastAsia="黑体"/>
      <w:b/>
      <w:bCs/>
      <w:color w:val="000000"/>
      <w:sz w:val="25"/>
      <w:szCs w:val="24"/>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Title"/>
    <w:basedOn w:val="1"/>
    <w:qFormat/>
    <w:uiPriority w:val="0"/>
    <w:pPr>
      <w:keepNext/>
      <w:spacing w:before="0" w:after="200"/>
      <w:ind w:firstLine="0"/>
    </w:pPr>
    <w:rPr>
      <w:rFonts w:ascii="Times New Roman" w:hAnsi="Times New Roman" w:eastAsia="黑体"/>
      <w:b/>
      <w:bCs/>
      <w:color w:val="000000"/>
      <w:sz w:val="32"/>
      <w:szCs w:val="32"/>
    </w:rPr>
  </w:style>
  <w:style w:type="table" w:styleId="6">
    <w:name w:val="Table Grid"/>
    <w:qFormat/>
    <w:uiPriority w:val="59"/>
    <w:tblPr>
      <w:tblBorders>
        <w:top w:val="single" w:color="111111" w:sz="8" w:space="0"/>
        <w:bottom w:val="single" w:color="111111" w:sz="8" w:space="0"/>
        <w:insideH w:val="single" w:color="D9D9D9" w:sz="2" w:space="0"/>
      </w:tblBorders>
    </w:tblPr>
  </w:style>
  <w:style w:type="paragraph" w:customStyle="1" w:styleId="8">
    <w:name w:val="heading 3"/>
    <w:qFormat/>
    <w:uiPriority w:val="0"/>
    <w:pPr>
      <w:keepNext/>
      <w:spacing w:before="120" w:after="40"/>
      <w:ind w:firstLine="0"/>
    </w:pPr>
    <w:rPr>
      <w:rFonts w:ascii="Times New Roman" w:hAnsi="Times New Roman" w:eastAsia="黑体"/>
      <w:b/>
      <w:color w:val="000000"/>
      <w:sz w:val="22"/>
      <w:szCs w:val="22"/>
    </w:rPr>
  </w:style>
  <w:style w:type="paragraph" w:customStyle="1" w:styleId="9">
    <w:name w:val="caption"/>
    <w:qFormat/>
    <w:uiPriority w:val="0"/>
    <w:rPr>
      <w:rFonts w:ascii="Times New Roman" w:hAnsi="Times New Roman" w:eastAsia="宋体"/>
      <w:sz w:val="18"/>
      <w:szCs w:val="22"/>
    </w:rPr>
  </w:style>
  <w:style w:type="paragraph" w:customStyle="1" w:styleId="10">
    <w:name w:val="List Number"/>
    <w:uiPriority w:val="0"/>
    <w:rPr>
      <w:rFonts w:ascii="Times New Roman" w:hAnsi="Times New Roman" w:eastAsia="宋体"/>
      <w:sz w:val="18"/>
      <w:szCs w:val="22"/>
    </w:rPr>
  </w:style>
  <w:style w:type="paragraph" w:customStyle="1" w:styleId="11">
    <w:name w:val="List Bullet"/>
    <w:qFormat/>
    <w:uiPriority w:val="0"/>
    <w:rPr>
      <w:rFonts w:ascii="Times New Roman" w:hAnsi="Times New Roman" w:eastAsia="宋体"/>
      <w:sz w:val="18"/>
      <w:szCs w:val="22"/>
    </w:rPr>
  </w:style>
  <w:style w:type="paragraph" w:customStyle="1" w:styleId="12">
    <w:name w:val="Table Note"/>
    <w:uiPriority w:val="0"/>
    <w:pPr>
      <w:spacing w:before="40" w:after="80" w:line="240" w:lineRule="auto"/>
      <w:ind w:firstLine="0"/>
    </w:pPr>
    <w:rPr>
      <w:rFonts w:ascii="Times New Roman" w:hAnsi="Times New Roman" w:eastAsia="宋体"/>
      <w:sz w:val="16"/>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2841</Words>
  <Characters>18065</Characters>
  <TotalTime>19</TotalTime>
  <ScaleCrop>false</ScaleCrop>
  <LinksUpToDate>false</LinksUpToDate>
  <CharactersWithSpaces>20653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2026-09-20T09:24:56Z</dcterms:created>
  <dc:creator>lx</dc:creator>
  <cp:lastModifiedBy>九色猫</cp:lastModifiedBy>
  <dcterms:modified xsi:type="dcterms:W3CDTF">2026-09-20T09:44:24Z</dcterms:modified>
  <dc:subject>Supplementary material</dc:subject>
  <dc:title>Additional file 1: Supplementary methods, tables and figures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eyJoZGlkIjoiZWY5ZDQxNjljN2U1NjA3YWY1YjQwYjZhNWY3YTMwMmYiLCJ1c2VySWQiOiI0MjQwMDgxNTcifQ==</vt:lpwstr>
  </property>
  <property fmtid="{D5CDD505-2E9C-101B-9397-08002B2CF9AE}" pid="3" name="KSOProductBuildVer">
    <vt:lpwstr>2052-12.1.0.28043</vt:lpwstr>
  </property>
  <property fmtid="{D5CDD505-2E9C-101B-9397-08002B2CF9AE}" pid="4" name="ICV">
    <vt:lpwstr>1EBB2022A52C46F09247168205A0E849_12</vt:lpwstr>
  </property>
</Properties>
</file>