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1C0F" w:rsidRDefault="004A76E1">
      <w:pPr>
        <w:rPr>
          <w:rFonts w:ascii="Times New Roman" w:eastAsia="微軟正黑體" w:hAnsi="Times New Roman" w:cs="Times New Roman"/>
        </w:rPr>
      </w:pPr>
      <w:r>
        <w:rPr>
          <w:rFonts w:ascii="Times New Roman" w:eastAsia="微軟正黑體" w:hAnsi="Times New Roman" w:cs="Times New Roman"/>
        </w:rPr>
        <w:t>Supplementary Figure 1</w:t>
      </w:r>
      <w:r w:rsidR="00D02BC2" w:rsidRPr="00D02BC2">
        <w:rPr>
          <w:rFonts w:ascii="Times New Roman" w:eastAsia="微軟正黑體" w:hAnsi="Times New Roman" w:cs="Times New Roman"/>
        </w:rPr>
        <w:t xml:space="preserve"> </w:t>
      </w:r>
      <w:r w:rsidR="000B1C0F" w:rsidRPr="000B1C0F">
        <w:rPr>
          <w:rFonts w:ascii="Times New Roman" w:eastAsia="微軟正黑體" w:hAnsi="Times New Roman" w:cs="Times New Roman"/>
        </w:rPr>
        <w:t xml:space="preserve">Propensity score density </w:t>
      </w:r>
      <w:r w:rsidR="00CE394B">
        <w:rPr>
          <w:rFonts w:ascii="Times New Roman" w:eastAsia="微軟正黑體" w:hAnsi="Times New Roman" w:cs="Times New Roman"/>
        </w:rPr>
        <w:t>curves</w:t>
      </w:r>
      <w:r w:rsidR="000B1C0F" w:rsidRPr="000B1C0F">
        <w:rPr>
          <w:rFonts w:ascii="Times New Roman" w:eastAsia="微軟正黑體" w:hAnsi="Times New Roman" w:cs="Times New Roman"/>
        </w:rPr>
        <w:t xml:space="preserve"> before (A) and after (B) matching for patients who used GLP-1 receptor agonists and those who did not</w:t>
      </w:r>
    </w:p>
    <w:p w:rsidR="000B1C0F" w:rsidRDefault="000B1C0F">
      <w:pPr>
        <w:rPr>
          <w:rFonts w:ascii="Times New Roman" w:eastAsia="微軟正黑體" w:hAnsi="Times New Roman" w:cs="Times New Roman"/>
        </w:rPr>
      </w:pPr>
    </w:p>
    <w:p w:rsidR="003062B3" w:rsidRDefault="00B569CD">
      <w:pPr>
        <w:rPr>
          <w:rFonts w:ascii="Times New Roman" w:eastAsia="微軟正黑體" w:hAnsi="Times New Roman" w:cs="Times New Roman"/>
          <w:noProof/>
        </w:rPr>
      </w:pPr>
      <w:r>
        <w:rPr>
          <w:rFonts w:ascii="Times New Roman" w:eastAsia="微軟正黑體" w:hAnsi="Times New Roman" w:cs="Times New Roman"/>
          <w:noProof/>
        </w:rPr>
        <w:drawing>
          <wp:inline distT="0" distB="0" distL="0" distR="0">
            <wp:extent cx="5759450" cy="177673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1.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59450" cy="1776730"/>
                    </a:xfrm>
                    <a:prstGeom prst="rect">
                      <a:avLst/>
                    </a:prstGeom>
                  </pic:spPr>
                </pic:pic>
              </a:graphicData>
            </a:graphic>
          </wp:inline>
        </w:drawing>
      </w:r>
    </w:p>
    <w:p w:rsidR="000C6BA2" w:rsidRDefault="000C6BA2">
      <w:pPr>
        <w:rPr>
          <w:rFonts w:ascii="Times New Roman" w:eastAsia="微軟正黑體" w:hAnsi="Times New Roman" w:cs="Times New Roman"/>
          <w:noProof/>
        </w:rPr>
      </w:pPr>
    </w:p>
    <w:p w:rsidR="000C6BA2" w:rsidRDefault="000C6BA2">
      <w:pPr>
        <w:rPr>
          <w:rFonts w:ascii="Times New Roman" w:eastAsia="微軟正黑體" w:hAnsi="Times New Roman" w:cs="Times New Roman"/>
        </w:rPr>
      </w:pPr>
    </w:p>
    <w:p w:rsidR="000C6BA2" w:rsidRDefault="000C6BA2" w:rsidP="000C6BA2">
      <w:pPr>
        <w:rPr>
          <w:rFonts w:ascii="Times New Roman" w:eastAsia="微軟正黑體" w:hAnsi="Times New Roman" w:cs="Times New Roman"/>
        </w:rPr>
      </w:pPr>
      <w:r>
        <w:rPr>
          <w:rFonts w:ascii="Times New Roman" w:eastAsia="微軟正黑體" w:hAnsi="Times New Roman" w:cs="Times New Roman"/>
        </w:rPr>
        <w:t xml:space="preserve">Supplementary Figure </w:t>
      </w:r>
      <w:r>
        <w:rPr>
          <w:rFonts w:ascii="Times New Roman" w:eastAsia="微軟正黑體" w:hAnsi="Times New Roman" w:cs="Times New Roman" w:hint="eastAsia"/>
        </w:rPr>
        <w:t>2</w:t>
      </w:r>
      <w:r>
        <w:rPr>
          <w:rFonts w:ascii="Times New Roman" w:eastAsia="微軟正黑體" w:hAnsi="Times New Roman" w:cs="Times New Roman"/>
        </w:rPr>
        <w:t xml:space="preserve"> </w:t>
      </w:r>
      <w:r w:rsidRPr="000B1C0F">
        <w:rPr>
          <w:rFonts w:ascii="Times New Roman" w:eastAsia="微軟正黑體" w:hAnsi="Times New Roman" w:cs="Times New Roman"/>
        </w:rPr>
        <w:t xml:space="preserve">Propensity score density </w:t>
      </w:r>
      <w:r w:rsidR="00CE394B">
        <w:rPr>
          <w:rFonts w:ascii="Times New Roman" w:eastAsia="微軟正黑體" w:hAnsi="Times New Roman" w:cs="Times New Roman"/>
        </w:rPr>
        <w:t>curves</w:t>
      </w:r>
      <w:r w:rsidRPr="000B1C0F">
        <w:rPr>
          <w:rFonts w:ascii="Times New Roman" w:eastAsia="微軟正黑體" w:hAnsi="Times New Roman" w:cs="Times New Roman"/>
        </w:rPr>
        <w:t xml:space="preserve"> before (A) and after (B) matching for patients who used GLP-1 receptor agonists and those who did not</w:t>
      </w:r>
      <w:r w:rsidR="009A0B48">
        <w:rPr>
          <w:rFonts w:ascii="Times New Roman" w:eastAsia="微軟正黑體" w:hAnsi="Times New Roman" w:cs="Times New Roman"/>
        </w:rPr>
        <w:t xml:space="preserve"> (excluding SGLT2-inhibitor</w:t>
      </w:r>
      <w:r w:rsidR="00190085">
        <w:rPr>
          <w:rFonts w:ascii="Times New Roman" w:eastAsia="微軟正黑體" w:hAnsi="Times New Roman" w:cs="Times New Roman"/>
        </w:rPr>
        <w:t>s</w:t>
      </w:r>
      <w:r w:rsidR="009A0B48">
        <w:rPr>
          <w:rFonts w:ascii="Times New Roman" w:eastAsia="微軟正黑體" w:hAnsi="Times New Roman" w:cs="Times New Roman"/>
        </w:rPr>
        <w:t>)</w:t>
      </w:r>
    </w:p>
    <w:p w:rsidR="000C6BA2" w:rsidRDefault="000C6BA2" w:rsidP="000C6BA2">
      <w:pPr>
        <w:rPr>
          <w:rFonts w:ascii="Times New Roman" w:eastAsia="微軟正黑體" w:hAnsi="Times New Roman" w:cs="Times New Roman"/>
        </w:rPr>
      </w:pPr>
    </w:p>
    <w:p w:rsidR="000C6BA2" w:rsidRDefault="00B569CD" w:rsidP="000C6BA2">
      <w:pPr>
        <w:rPr>
          <w:rFonts w:ascii="Times New Roman" w:eastAsia="微軟正黑體" w:hAnsi="Times New Roman" w:cs="Times New Roman"/>
        </w:rPr>
      </w:pPr>
      <w:r>
        <w:rPr>
          <w:rFonts w:ascii="Times New Roman" w:eastAsia="微軟正黑體" w:hAnsi="Times New Roman" w:cs="Times New Roman"/>
          <w:noProof/>
        </w:rPr>
        <w:drawing>
          <wp:inline distT="0" distB="0" distL="0" distR="0">
            <wp:extent cx="5759450" cy="1799590"/>
            <wp:effectExtent l="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2.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1799590"/>
                    </a:xfrm>
                    <a:prstGeom prst="rect">
                      <a:avLst/>
                    </a:prstGeom>
                  </pic:spPr>
                </pic:pic>
              </a:graphicData>
            </a:graphic>
          </wp:inline>
        </w:drawing>
      </w:r>
    </w:p>
    <w:p w:rsidR="003062B3" w:rsidRPr="000C6BA2" w:rsidRDefault="003062B3">
      <w:pPr>
        <w:rPr>
          <w:rFonts w:ascii="Times New Roman" w:eastAsia="微軟正黑體" w:hAnsi="Times New Roman" w:cs="Times New Roman"/>
        </w:rPr>
      </w:pPr>
    </w:p>
    <w:p w:rsidR="003062B3" w:rsidRPr="000C6BA2" w:rsidRDefault="003062B3">
      <w:pPr>
        <w:rPr>
          <w:rFonts w:ascii="Times New Roman" w:eastAsia="微軟正黑體" w:hAnsi="Times New Roman" w:cs="Times New Roman"/>
        </w:rPr>
      </w:pPr>
    </w:p>
    <w:p w:rsidR="0051662C" w:rsidRDefault="00FD4EC1">
      <w:pPr>
        <w:rPr>
          <w:rFonts w:ascii="Times New Roman" w:eastAsia="微軟正黑體" w:hAnsi="Times New Roman" w:cs="Times New Roman"/>
        </w:rPr>
      </w:pPr>
      <w:r w:rsidRPr="00FD4EC1">
        <w:rPr>
          <w:rFonts w:ascii="Times New Roman" w:eastAsia="微軟正黑體" w:hAnsi="Times New Roman" w:cs="Times New Roman"/>
        </w:rPr>
        <w:t>Supplementary Table 1</w:t>
      </w:r>
      <w:r w:rsidR="00C210AD">
        <w:rPr>
          <w:rFonts w:ascii="Times New Roman" w:eastAsia="微軟正黑體" w:hAnsi="Times New Roman" w:cs="Times New Roman"/>
        </w:rPr>
        <w:t xml:space="preserve"> Inclusion </w:t>
      </w:r>
      <w:r w:rsidR="00175F21">
        <w:rPr>
          <w:rFonts w:ascii="Times New Roman" w:eastAsia="微軟正黑體" w:hAnsi="Times New Roman" w:cs="Times New Roman"/>
        </w:rPr>
        <w:t>criteria</w:t>
      </w:r>
      <w:r w:rsidR="00C210AD">
        <w:rPr>
          <w:rFonts w:ascii="Times New Roman" w:eastAsia="微軟正黑體" w:hAnsi="Times New Roman" w:cs="Times New Roman"/>
        </w:rPr>
        <w:t xml:space="preserve"> for patients taking</w:t>
      </w:r>
      <w:r w:rsidR="00B62BD5">
        <w:rPr>
          <w:rFonts w:ascii="Times New Roman" w:eastAsia="微軟正黑體" w:hAnsi="Times New Roman" w:cs="Times New Roman"/>
        </w:rPr>
        <w:t xml:space="preserve"> </w:t>
      </w:r>
      <w:r w:rsidR="00320302" w:rsidRPr="000B1C0F">
        <w:rPr>
          <w:rFonts w:ascii="Times New Roman" w:eastAsia="微軟正黑體" w:hAnsi="Times New Roman" w:cs="Times New Roman"/>
        </w:rPr>
        <w:t>GLP-1 receptor agonists</w:t>
      </w:r>
    </w:p>
    <w:p w:rsidR="00FD4EC1" w:rsidRDefault="00FD4EC1">
      <w:pPr>
        <w:rPr>
          <w:rFonts w:ascii="Times New Roman" w:eastAsia="微軟正黑體" w:hAnsi="Times New Roman" w:cs="Times New Roman"/>
        </w:rPr>
      </w:pPr>
    </w:p>
    <w:tbl>
      <w:tblPr>
        <w:tblStyle w:val="2-4"/>
        <w:tblpPr w:leftFromText="180" w:rightFromText="180" w:vertAnchor="text" w:tblpY="1"/>
        <w:tblOverlap w:val="never"/>
        <w:tblW w:w="0" w:type="auto"/>
        <w:tblBorders>
          <w:top w:val="none" w:sz="0" w:space="0" w:color="auto"/>
          <w:bottom w:val="none" w:sz="0" w:space="0" w:color="auto"/>
          <w:insideH w:val="none" w:sz="0" w:space="0" w:color="auto"/>
        </w:tblBorders>
        <w:tblLook w:val="06A0" w:firstRow="1" w:lastRow="0" w:firstColumn="1" w:lastColumn="0" w:noHBand="1" w:noVBand="1"/>
      </w:tblPr>
      <w:tblGrid>
        <w:gridCol w:w="222"/>
        <w:gridCol w:w="811"/>
        <w:gridCol w:w="521"/>
        <w:gridCol w:w="1039"/>
        <w:gridCol w:w="2096"/>
        <w:gridCol w:w="4381"/>
      </w:tblGrid>
      <w:tr w:rsidR="001C7976" w:rsidRPr="001673AB" w:rsidTr="001C79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6"/>
            <w:shd w:val="clear" w:color="auto" w:fill="auto"/>
          </w:tcPr>
          <w:p w:rsidR="001C7976" w:rsidRDefault="001C7976" w:rsidP="001C7976">
            <w:pPr>
              <w:spacing w:line="0" w:lineRule="atLeast"/>
              <w:rPr>
                <w:sz w:val="18"/>
                <w:szCs w:val="20"/>
              </w:rPr>
            </w:pPr>
          </w:p>
        </w:tc>
      </w:tr>
      <w:tr w:rsidR="001C7976" w:rsidRPr="001673AB" w:rsidTr="001C7976">
        <w:tc>
          <w:tcPr>
            <w:cnfStyle w:val="001000000000" w:firstRow="0" w:lastRow="0" w:firstColumn="1" w:lastColumn="0" w:oddVBand="0" w:evenVBand="0" w:oddHBand="0" w:evenHBand="0" w:firstRowFirstColumn="0" w:firstRowLastColumn="0" w:lastRowFirstColumn="0" w:lastRowLastColumn="0"/>
            <w:tcW w:w="0" w:type="auto"/>
            <w:gridSpan w:val="6"/>
            <w:tcBorders>
              <w:top w:val="single" w:sz="4" w:space="0" w:color="808080" w:themeColor="background1" w:themeShade="80"/>
              <w:bottom w:val="single" w:sz="4" w:space="0" w:color="808080" w:themeColor="background1" w:themeShade="80"/>
            </w:tcBorders>
            <w:shd w:val="clear" w:color="auto" w:fill="BFBFBF" w:themeFill="background1" w:themeFillShade="BF"/>
          </w:tcPr>
          <w:p w:rsidR="001C7976" w:rsidRDefault="001C7976" w:rsidP="001C7976">
            <w:pPr>
              <w:spacing w:line="0" w:lineRule="atLeast"/>
              <w:rPr>
                <w:sz w:val="18"/>
                <w:szCs w:val="20"/>
              </w:rPr>
            </w:pPr>
            <w:r>
              <w:rPr>
                <w:sz w:val="18"/>
                <w:szCs w:val="20"/>
              </w:rPr>
              <w:t>Ungrouped terms</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UMLS:ICD10CM:E11</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Type 2 diabetes mellitus</w:t>
            </w:r>
          </w:p>
        </w:tc>
      </w:tr>
      <w:tr w:rsidR="001C7976" w:rsidRPr="001673AB" w:rsidTr="001C7976">
        <w:tc>
          <w:tcPr>
            <w:cnfStyle w:val="001000000000" w:firstRow="0" w:lastRow="0" w:firstColumn="1" w:lastColumn="0" w:oddVBand="0" w:evenVBand="0" w:oddHBand="0" w:evenHBand="0" w:firstRowFirstColumn="0" w:firstRowLastColumn="0" w:lastRowFirstColumn="0" w:lastRowLastColumn="0"/>
            <w:tcW w:w="0" w:type="auto"/>
            <w:gridSpan w:val="6"/>
            <w:tcBorders>
              <w:top w:val="single" w:sz="4" w:space="0" w:color="808080" w:themeColor="background1" w:themeShade="80"/>
            </w:tcBorders>
            <w:shd w:val="clear" w:color="auto" w:fill="D9D9D9" w:themeFill="background1" w:themeFillShade="D9"/>
          </w:tcPr>
          <w:p w:rsidR="001C7976" w:rsidRDefault="001C7976" w:rsidP="001C7976">
            <w:pPr>
              <w:spacing w:line="0" w:lineRule="atLeast"/>
              <w:rPr>
                <w:sz w:val="18"/>
                <w:szCs w:val="20"/>
              </w:rPr>
            </w:pPr>
            <w:r>
              <w:rPr>
                <w:sz w:val="18"/>
                <w:szCs w:val="20"/>
              </w:rPr>
              <w:t>Group 1</w:t>
            </w:r>
          </w:p>
        </w:tc>
      </w:tr>
      <w:tr w:rsidR="001C7976" w:rsidRPr="000461F3"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61F3" w:rsidRDefault="001C7976" w:rsidP="001C7976">
            <w:pPr>
              <w:spacing w:line="0" w:lineRule="atLeast"/>
              <w:rPr>
                <w:bCs w:val="0"/>
                <w:sz w:val="18"/>
                <w:szCs w:val="20"/>
              </w:rPr>
            </w:pPr>
          </w:p>
        </w:tc>
        <w:tc>
          <w:tcPr>
            <w:tcW w:w="0" w:type="auto"/>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rsidR="001C7976" w:rsidRPr="000461F3"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UMLS:ICD10CM:M72.6</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Necrotizing fasciitis</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UMLS:ICD10CM:A48.0</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Gas gangrene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UMLS:ICD10CM:N49.3</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Fournier gangrene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UMLS:CPT:1003168</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Debridement of skin, subcutaneous tissue, muscle and fascia for necrotizing soft tissue infection</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UMLS:CPT:11004</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Debridement of skin, subcutaneous tissue, muscle and fascia for necrotizing soft tissue infection; external genitalia and perineum</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UMLS:CPT:11005</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Debridement of skin, subcutaneous tissue, muscle and fascia for necrotizing soft tissue infection; abdominal wall, with or without fascial closure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UMLS:CPT:11008</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Removal of prosthetic material or mesh, abdominal wall for infection (eg, for chronic or recurrent mesh infection or necrotizing soft tissue infection) (List separately in addition to code for primary procedure)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UMLS:CPT:11006</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Debridement of skin, subcutaneous tissue, muscle and fascia for necrotizing soft tissue infection; external genitalia, perineum and abdominal wall, with or without fascial closure</w:t>
            </w:r>
          </w:p>
        </w:tc>
      </w:tr>
      <w:tr w:rsidR="001C7976" w:rsidRPr="001673AB"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Default="001C7976" w:rsidP="001C7976">
            <w:pPr>
              <w:spacing w:line="0" w:lineRule="atLeast"/>
              <w:rPr>
                <w:b w:val="0"/>
                <w:bCs w:val="0"/>
                <w:sz w:val="18"/>
                <w:szCs w:val="20"/>
              </w:rPr>
            </w:pPr>
          </w:p>
        </w:tc>
        <w:tc>
          <w:tcPr>
            <w:tcW w:w="0" w:type="auto"/>
            <w:gridSpan w:val="2"/>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0" w:type="auto"/>
            <w:gridSpan w:val="3"/>
            <w:tcBorders>
              <w:top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1C7976" w:rsidRPr="001673AB"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Default="001C7976" w:rsidP="001C7976">
            <w:pPr>
              <w:spacing w:line="0" w:lineRule="atLeast"/>
              <w:rPr>
                <w:b w:val="0"/>
                <w:bCs w:val="0"/>
                <w:sz w:val="18"/>
                <w:szCs w:val="20"/>
              </w:rPr>
            </w:pPr>
          </w:p>
        </w:tc>
        <w:tc>
          <w:tcPr>
            <w:tcW w:w="0" w:type="auto"/>
            <w:gridSpan w:val="2"/>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0" w:type="auto"/>
            <w:gridSpan w:val="3"/>
            <w:tcBorders>
              <w:top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GLP1 occurred within 6 months on or before any instance of Group 1A</w:t>
            </w:r>
          </w:p>
        </w:tc>
      </w:tr>
      <w:tr w:rsidR="001C7976" w:rsidRPr="000461F3"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61F3" w:rsidRDefault="001C7976" w:rsidP="001C7976">
            <w:pPr>
              <w:spacing w:line="0" w:lineRule="atLeast"/>
              <w:rPr>
                <w:bCs w:val="0"/>
                <w:sz w:val="18"/>
                <w:szCs w:val="20"/>
              </w:rPr>
            </w:pPr>
          </w:p>
        </w:tc>
        <w:tc>
          <w:tcPr>
            <w:tcW w:w="0" w:type="auto"/>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rsidR="001C7976" w:rsidRPr="000461F3"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 GLP1</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NLM:RXNORM:2601723</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tirzepatide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NLM:ATC:A10BJ</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Glucagon-like peptide-1 (GLP-1) analogues</w:t>
            </w:r>
          </w:p>
        </w:tc>
      </w:tr>
      <w:tr w:rsidR="001C7976" w:rsidRPr="001673AB" w:rsidTr="001C7976">
        <w:tc>
          <w:tcPr>
            <w:cnfStyle w:val="001000000000" w:firstRow="0" w:lastRow="0" w:firstColumn="1" w:lastColumn="0" w:oddVBand="0" w:evenVBand="0" w:oddHBand="0" w:evenHBand="0" w:firstRowFirstColumn="0" w:firstRowLastColumn="0" w:lastRowFirstColumn="0" w:lastRowLastColumn="0"/>
            <w:tcW w:w="0" w:type="auto"/>
            <w:gridSpan w:val="6"/>
            <w:tcBorders>
              <w:top w:val="single" w:sz="4" w:space="0" w:color="808080" w:themeColor="background1" w:themeShade="80"/>
            </w:tcBorders>
            <w:shd w:val="clear" w:color="auto" w:fill="D9D9D9" w:themeFill="background1" w:themeFillShade="D9"/>
          </w:tcPr>
          <w:p w:rsidR="001C7976" w:rsidRDefault="001C7976" w:rsidP="001C7976">
            <w:pPr>
              <w:spacing w:line="0" w:lineRule="atLeast"/>
              <w:rPr>
                <w:sz w:val="18"/>
                <w:szCs w:val="20"/>
              </w:rPr>
            </w:pPr>
            <w:r>
              <w:rPr>
                <w:sz w:val="18"/>
                <w:szCs w:val="20"/>
              </w:rPr>
              <w:t>Group 2</w:t>
            </w:r>
          </w:p>
        </w:tc>
      </w:tr>
      <w:tr w:rsidR="001C7976" w:rsidRPr="000461F3"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61F3" w:rsidRDefault="001C7976" w:rsidP="001C7976">
            <w:pPr>
              <w:spacing w:line="0" w:lineRule="atLeast"/>
              <w:rPr>
                <w:bCs w:val="0"/>
                <w:sz w:val="18"/>
                <w:szCs w:val="20"/>
              </w:rPr>
            </w:pPr>
          </w:p>
        </w:tc>
        <w:tc>
          <w:tcPr>
            <w:tcW w:w="0" w:type="auto"/>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rsidR="001C7976" w:rsidRPr="000461F3"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UMLS:ICD10CM:M72.6</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Necrotizing fasciitis</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UMLS:ICD10CM:A48.0</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Gas gangrene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UMLS:ICD10CM:N49.3</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Fournier gangrene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UMLS:CPT:1003168</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Debridement of skin, subcutaneous tissue, muscle and fascia for necrotizing soft tissue infection</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UMLS:CPT:11004</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Debridement of skin, subcutaneous tissue, muscle and fascia for necrotizing soft tissue infection; external genitalia and perineum</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UMLS:CPT:11005</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Debridement of skin, subcutaneous tissue, muscle and fascia for necrotizing soft tissue infection; abdominal wall, with or without fascial closure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UMLS:CPT:11008</w:t>
            </w: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Removal of prosthetic material or mesh, abdominal wall for infection (eg, for chronic or recurrent mesh infection or necrotizing soft tissue infection) (List separately in addition to code for primary procedure)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UMLS:CPT:11006</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Debridement of skin, subcutaneous tissue, muscle and fascia for necrotizing soft tissue infection; external genitalia, perineum and abdominal wall, with or without fascial closure</w:t>
            </w:r>
          </w:p>
        </w:tc>
      </w:tr>
      <w:tr w:rsidR="001C7976" w:rsidRPr="001673AB"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Default="001C7976" w:rsidP="001C7976">
            <w:pPr>
              <w:spacing w:line="0" w:lineRule="atLeast"/>
              <w:rPr>
                <w:b w:val="0"/>
                <w:bCs w:val="0"/>
                <w:sz w:val="18"/>
                <w:szCs w:val="20"/>
              </w:rPr>
            </w:pPr>
          </w:p>
        </w:tc>
        <w:tc>
          <w:tcPr>
            <w:tcW w:w="0" w:type="auto"/>
            <w:gridSpan w:val="2"/>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0" w:type="auto"/>
            <w:gridSpan w:val="3"/>
            <w:tcBorders>
              <w:top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1C7976" w:rsidRPr="001673AB"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Default="001C7976" w:rsidP="001C7976">
            <w:pPr>
              <w:spacing w:line="0" w:lineRule="atLeast"/>
              <w:rPr>
                <w:b w:val="0"/>
                <w:bCs w:val="0"/>
                <w:sz w:val="18"/>
                <w:szCs w:val="20"/>
              </w:rPr>
            </w:pPr>
          </w:p>
        </w:tc>
        <w:tc>
          <w:tcPr>
            <w:tcW w:w="0" w:type="auto"/>
            <w:gridSpan w:val="2"/>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0" w:type="auto"/>
            <w:gridSpan w:val="3"/>
            <w:tcBorders>
              <w:top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event occurred within 1 year and 1 day before any instance of Group 2A</w:t>
            </w:r>
          </w:p>
        </w:tc>
      </w:tr>
      <w:tr w:rsidR="001C7976" w:rsidRPr="000461F3"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61F3" w:rsidRDefault="001C7976" w:rsidP="001C7976">
            <w:pPr>
              <w:spacing w:line="0" w:lineRule="atLeast"/>
              <w:rPr>
                <w:bCs w:val="0"/>
                <w:sz w:val="18"/>
                <w:szCs w:val="20"/>
              </w:rPr>
            </w:pPr>
          </w:p>
        </w:tc>
        <w:tc>
          <w:tcPr>
            <w:tcW w:w="0" w:type="auto"/>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rsidR="001C7976" w:rsidRPr="000461F3"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2B event</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UMLS:CPT:27590</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Amputation, thigh, through femur, any level</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UMLS:ICD10PCS:0Y6H0Z1</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Detachment at Right Lower Leg, High, Open Approach</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UMLS:ICD10PCS:0Y6J0Z1</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Detachment at Left Lower Leg, High, Open Approach</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UMLS:ICD10PCS:0Y6C0Z1</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Detachment at Right Upper Leg, High, Open Approach</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UMLS:ICD10PCS:0Y6D0Z1</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Detachment at Left Upper Leg, High, Open Approach</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UMLS:ICD10CM:Z89.512</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Acquired absence of left leg below knee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UMLS:ICD10CM:Z89.519</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Acquired absence of unspecified leg below knee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UMLS:ICD10CM:Z89.612</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Acquired absence of left leg above knee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UMLS:ICD10CM:Z89.611</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Acquired absence of right leg above knee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UMLS:ICD10CM:I20.81</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Angina pectoris with coronary microvascular dysfunction</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UMLS:ICD10CM:I20.1</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Angina pectoris with documented spasm</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UMLS:ICD10CM:I20.89</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Other forms of angina pectoris</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UMLS:ICD10CM:I20.0</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Unstable angina</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UMLS:ICD10CM:I20.8</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Other forms of angina pectoris</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UMLS:ICD10CM:I20.9</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Angina pectoris, unspecified</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UMLS:ICD10CM:I20</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Angina pectoris</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UMLS:ICD10CM:I46.2</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Cardiac arrest due to underlying cardiac condition</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UMLS:ICD10CM:I46.8</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Cardiac arrest due to other underlying condition</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UMLS:ICD10CM:I46.9</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Cardiac arrest, cause unspecified</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UMLS:ICD10CM:I46</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Cardiac arrest</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UMLS:ICD10CM:I21.B</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Myocardial infarction with coronary microvascular dysfunction</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UMLS:ICD10CM:I21.01</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ST elevation (STEMI) myocardial infarction involving left main coronary artery</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UMLS:ICD10CM:I21.A9</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Other myocardial infarction type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UMLS:ICD10CM:I21.21</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ST elevation (STEMI) myocardial infarction involving left circumflex coronary artery</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UMLS:ICD10CM:I21.11</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ST elevation (STEMI) myocardial infarction involving right coronary artery</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UMLS:ICD10CM:I21.02</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ST elevation (STEMI) myocardial infarction involving left anterior descending coronary artery</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UMLS:ICD10CM:I21.29</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ST elevation (STEMI) myocardial infarction involving other sites</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UMLS:ICD10CM:I21.2</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ST elevation (STEMI) myocardial infarction of other sites</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UMLS:ICD10CM:I21.09</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ST elevation (STEMI) myocardial infarction involving other coronary artery of anterior wall</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UMLS:ICD10CM:I21.19</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ST elevation (STEMI) myocardial infarction involving other coronary artery of inferior wall</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UMLS:ICD10CM:I21.0</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ST elevation (STEMI) myocardial infarction of anterior wall</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UMLS:ICD10CM:I21.1</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ST elevation (STEMI) myocardial infarction of inferior wall</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UMLS:ICD10CM:I21.A1</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Myocardial infarction type 2</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UMLS:ICD10CM:I21.A</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Other type of myocardial infarction</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UMLS:ICD10CM:I21.3</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ST elevation (STEMI) myocardial infarction of unspecified site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UMLS:ICD10CM:I21.9</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myocardial infarction, unspecified</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UMLS:ICD10CM:I21.4</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Non-ST elevation (NSTEMI) myocardial infarction</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myocardial infarction</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UMLS:CPT:36430</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Transfusion, blood or blood components</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unspecified whether with hypoxia or hypercapnia</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UMLS:ICD10CM:J80</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distress syndrome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UMLS:ICD10CM:R06.03</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distress</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UMLS:ICD10CM:N17.9</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kidney failure, unspecified</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UMLS:ICD10CM:I50.40</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Unspecified combined systolic (congestive) and diastolic (congestive) heart failure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UMLS:ICD10CM:I50.41</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combined systolic (congestive) and diastolic (congestive) heart failure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UMLS:ICD10CM:I50.81</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Right heart failure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UMLS:ICD10CM:I50.8</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Other heart failure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UMLS:ICD10CM:I50.31</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diastolic (congestive) heart failure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UMLS:ICD10CM:I50.43</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on chronic combined systolic (congestive) and diastolic (congestive) heart failure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UMLS:ICD10CM:I50.42</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Chronic combined systolic (congestive) and diastolic (congestive) heart failure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UMLS:ICD10CM:I50.21</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systolic (congestive) heart failure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UMLS:ICD10CM:I50.1</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Left ventricular failure, unspecified</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UMLS:ICD10CM:I50.23</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on chronic systolic (congestive) heart failure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UMLS:ICD10CM:I50.33</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on chronic diastolic (congestive) heart failure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UMLS:ICD10CM:I50.4</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Combined systolic (congestive) and diastolic (congestive) heart failure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UMLS:ICD10CM:I50.30</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Unspecified diastolic (congestive) heart failure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UMLS:ICD10CM:I50.20</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Unspecified systolic (congestive) heart failure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UMLS:ICD10CM:I50.22</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Chronic systolic (congestive) heart failure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UMLS:ICD10CM:I50.32</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Chronic diastolic (congestive) heart failure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UMLS:ICD10CM:I50.2</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Systolic (congestive) heart failure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UMLS:ICD10CM:I50.3</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Diastolic (congestive) heart failure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UMLS:ICD10CM:I50.9</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Heart failure, unspecified</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Heart failure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UMLS:ICD10CM:I26.04</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Fat embolism of pulmonary artery with acute cor pulmonale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UMLS:ICD10CM:I26.96</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Fat embolism of pulmonary artery without acute cor pulmonale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UMLS:ICD10CM:I26.03</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Cement embolism of pulmonary artery with acute cor pulmonale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UMLS:ICD10CM:I26.95</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Cement embolism of pulmonary artery without acute cor pulmonale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UMLS:ICD10CM:I26.01</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Septic pulmonary embolism with acute cor pulmonale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UMLS:ICD10CM:I26.02</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Saddle embolus of pulmonary artery with acute cor pulmonale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UMLS:ICD10CM:I26.92</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Saddle embolus of pulmonary artery without acute cor pulmonale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UMLS:ICD10CM:I26.90</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Septic pulmonary embolism without acute cor pulmonale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UMLS:ICD10CM:I26.94</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Multiple subsegmental thrombotic pulmonary emboli without acute cor pulmonale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UMLS:ICD10CM:I26.93</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Single subsegmental thrombotic pulmonary embolism without acute cor pulmonale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UMLS:ICD10CM:I26.09</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Other pulmonary embolism with acute cor pulmonale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UMLS:ICD10CM:I26.0</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Pulmonary embolism with acute cor pulmonale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UMLS:ICD10CM:I26.99</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Other pulmonary embolism without acute cor pulmonale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UMLS:ICD10CM:I26.9</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Pulmonary embolism without acute cor pulmonale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UMLS:ICD10CM:I26</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Pulmonary embolism</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UMLS:ICD10CM:I20.2</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Refractory angina pectoris</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UMLS:ICD10CM:N17</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kidney failure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UMLS:ICD10CM:Z89.619</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Acquired absence of unspecified leg above knee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UMLS:ICD10CM:Z89.61</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Acquired absence of leg above knee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UMLS:ICD10CM:Z89.511</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Acquired absence of right leg below knee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UMLS:ICD10CM:Z89.51</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Acquired absence of leg below knee</w:t>
            </w:r>
          </w:p>
        </w:tc>
      </w:tr>
      <w:tr w:rsidR="001C7976" w:rsidRPr="000420CA" w:rsidTr="001C7976">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1C7976" w:rsidRPr="000420CA" w:rsidRDefault="001C7976" w:rsidP="001C7976">
            <w:pPr>
              <w:spacing w:line="0" w:lineRule="atLeast"/>
              <w:rPr>
                <w:b w:val="0"/>
                <w:bCs w:val="0"/>
                <w:sz w:val="18"/>
                <w:szCs w:val="20"/>
              </w:rPr>
            </w:pPr>
          </w:p>
        </w:tc>
        <w:tc>
          <w:tcPr>
            <w:tcW w:w="0" w:type="auto"/>
            <w:shd w:val="clear" w:color="auto" w:fill="auto"/>
          </w:tcPr>
          <w:p w:rsidR="001C7976" w:rsidRPr="000420CA"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tcBorders>
              <w:bottom w:val="single" w:sz="4" w:space="0" w:color="808080" w:themeColor="background1" w:themeShade="80"/>
            </w:tcBorders>
            <w:shd w:val="clear" w:color="auto" w:fill="auto"/>
          </w:tcPr>
          <w:p w:rsidR="001C7976"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UMLS:CPT:27591</w:t>
            </w:r>
          </w:p>
        </w:tc>
        <w:tc>
          <w:tcPr>
            <w:tcW w:w="0" w:type="auto"/>
            <w:tcBorders>
              <w:bottom w:val="single" w:sz="4" w:space="0" w:color="808080" w:themeColor="background1" w:themeShade="80"/>
            </w:tcBorders>
            <w:shd w:val="clear" w:color="auto" w:fill="auto"/>
          </w:tcPr>
          <w:p w:rsidR="001C7976" w:rsidRPr="00381224" w:rsidRDefault="001C7976" w:rsidP="001C7976">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Amputation, thigh, through femur, any level; immediate fitting technique including first cast</w:t>
            </w:r>
          </w:p>
        </w:tc>
      </w:tr>
    </w:tbl>
    <w:p w:rsidR="002247E5" w:rsidRPr="001C7976" w:rsidRDefault="002247E5">
      <w:pPr>
        <w:rPr>
          <w:rFonts w:ascii="Times New Roman" w:eastAsia="微軟正黑體" w:hAnsi="Times New Roman" w:cs="Times New Roman"/>
        </w:rPr>
      </w:pPr>
    </w:p>
    <w:p w:rsidR="00832626" w:rsidRDefault="00832626">
      <w:pPr>
        <w:rPr>
          <w:rFonts w:ascii="Times New Roman" w:eastAsia="微軟正黑體" w:hAnsi="Times New Roman" w:cs="Times New Roman"/>
        </w:rPr>
      </w:pPr>
    </w:p>
    <w:p w:rsidR="001D530F" w:rsidRDefault="001D530F" w:rsidP="00745230">
      <w:pPr>
        <w:rPr>
          <w:rFonts w:ascii="Times New Roman" w:eastAsia="微軟正黑體" w:hAnsi="Times New Roman" w:cs="Times New Roman"/>
        </w:rPr>
      </w:pPr>
    </w:p>
    <w:p w:rsidR="00745230" w:rsidRDefault="00745230" w:rsidP="00745230">
      <w:pPr>
        <w:rPr>
          <w:rFonts w:ascii="Times New Roman" w:eastAsia="微軟正黑體" w:hAnsi="Times New Roman" w:cs="Times New Roman"/>
        </w:rPr>
      </w:pPr>
      <w:r w:rsidRPr="00FD4EC1">
        <w:rPr>
          <w:rFonts w:ascii="Times New Roman" w:eastAsia="微軟正黑體" w:hAnsi="Times New Roman" w:cs="Times New Roman"/>
        </w:rPr>
        <w:t xml:space="preserve">Supplementary Table </w:t>
      </w:r>
      <w:r>
        <w:rPr>
          <w:rFonts w:ascii="Times New Roman" w:eastAsia="微軟正黑體" w:hAnsi="Times New Roman" w:cs="Times New Roman"/>
        </w:rPr>
        <w:t>2</w:t>
      </w:r>
      <w:r w:rsidR="005832E5">
        <w:rPr>
          <w:rFonts w:ascii="Times New Roman" w:eastAsia="微軟正黑體" w:hAnsi="Times New Roman" w:cs="Times New Roman"/>
        </w:rPr>
        <w:t xml:space="preserve"> Inclusion criteria for patients</w:t>
      </w:r>
      <w:r w:rsidR="00320302">
        <w:rPr>
          <w:rFonts w:ascii="Times New Roman" w:eastAsia="微軟正黑體" w:hAnsi="Times New Roman" w:cs="Times New Roman"/>
        </w:rPr>
        <w:t xml:space="preserve"> not taking </w:t>
      </w:r>
      <w:r w:rsidR="00320302" w:rsidRPr="000B1C0F">
        <w:rPr>
          <w:rFonts w:ascii="Times New Roman" w:eastAsia="微軟正黑體" w:hAnsi="Times New Roman" w:cs="Times New Roman"/>
        </w:rPr>
        <w:t>GLP-1 receptor agonists</w:t>
      </w:r>
    </w:p>
    <w:p w:rsidR="002247E5" w:rsidRDefault="002247E5">
      <w:pPr>
        <w:rPr>
          <w:rFonts w:ascii="Times New Roman" w:eastAsia="微軟正黑體" w:hAnsi="Times New Roman" w:cs="Times New Roman"/>
        </w:rPr>
      </w:pPr>
    </w:p>
    <w:tbl>
      <w:tblPr>
        <w:tblStyle w:val="2-4"/>
        <w:tblpPr w:leftFromText="180" w:rightFromText="180" w:vertAnchor="text" w:tblpY="1"/>
        <w:tblOverlap w:val="never"/>
        <w:tblW w:w="0" w:type="auto"/>
        <w:tblBorders>
          <w:top w:val="none" w:sz="0" w:space="0" w:color="auto"/>
          <w:bottom w:val="none" w:sz="0" w:space="0" w:color="auto"/>
          <w:insideH w:val="none" w:sz="0" w:space="0" w:color="auto"/>
        </w:tblBorders>
        <w:tblLook w:val="06A0" w:firstRow="1" w:lastRow="0" w:firstColumn="1" w:lastColumn="0" w:noHBand="1" w:noVBand="1"/>
      </w:tblPr>
      <w:tblGrid>
        <w:gridCol w:w="222"/>
        <w:gridCol w:w="803"/>
        <w:gridCol w:w="518"/>
        <w:gridCol w:w="1039"/>
        <w:gridCol w:w="2096"/>
        <w:gridCol w:w="4392"/>
      </w:tblGrid>
      <w:tr w:rsidR="00320144" w:rsidRPr="001673AB" w:rsidTr="003201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6"/>
            <w:tcBorders>
              <w:top w:val="single" w:sz="4" w:space="0" w:color="808080" w:themeColor="background1" w:themeShade="80"/>
              <w:bottom w:val="single" w:sz="4" w:space="0" w:color="808080" w:themeColor="background1" w:themeShade="80"/>
            </w:tcBorders>
            <w:shd w:val="clear" w:color="auto" w:fill="BFBFBF" w:themeFill="background1" w:themeFillShade="BF"/>
          </w:tcPr>
          <w:p w:rsidR="00320144" w:rsidRDefault="00320144" w:rsidP="00320144">
            <w:pPr>
              <w:spacing w:line="0" w:lineRule="atLeast"/>
              <w:rPr>
                <w:sz w:val="18"/>
                <w:szCs w:val="20"/>
              </w:rPr>
            </w:pPr>
            <w:r>
              <w:rPr>
                <w:sz w:val="18"/>
                <w:szCs w:val="20"/>
              </w:rPr>
              <w:t>Ungrouped terms</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UMLS:ICD10CM:E11</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Type 2 diabetes mellitus</w:t>
            </w:r>
          </w:p>
        </w:tc>
      </w:tr>
      <w:tr w:rsidR="00320144" w:rsidRPr="001673AB" w:rsidTr="00320144">
        <w:tc>
          <w:tcPr>
            <w:cnfStyle w:val="001000000000" w:firstRow="0" w:lastRow="0" w:firstColumn="1" w:lastColumn="0" w:oddVBand="0" w:evenVBand="0" w:oddHBand="0" w:evenHBand="0" w:firstRowFirstColumn="0" w:firstRowLastColumn="0" w:lastRowFirstColumn="0" w:lastRowLastColumn="0"/>
            <w:tcW w:w="0" w:type="auto"/>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rsidR="00320144" w:rsidRDefault="00320144" w:rsidP="00320144">
            <w:pPr>
              <w:spacing w:line="0" w:lineRule="atLeast"/>
              <w:rPr>
                <w:sz w:val="18"/>
                <w:szCs w:val="20"/>
              </w:rPr>
            </w:pPr>
            <w:r>
              <w:rPr>
                <w:sz w:val="18"/>
                <w:szCs w:val="20"/>
              </w:rPr>
              <w:t>Group 1</w:t>
            </w:r>
          </w:p>
        </w:tc>
      </w:tr>
      <w:tr w:rsidR="00320144" w:rsidRPr="000461F3"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61F3" w:rsidRDefault="00320144" w:rsidP="00320144">
            <w:pPr>
              <w:spacing w:line="0" w:lineRule="atLeast"/>
              <w:rPr>
                <w:bCs w:val="0"/>
                <w:sz w:val="18"/>
                <w:szCs w:val="20"/>
              </w:rPr>
            </w:pPr>
          </w:p>
        </w:tc>
        <w:tc>
          <w:tcPr>
            <w:tcW w:w="0" w:type="auto"/>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rsidR="00320144" w:rsidRPr="000461F3"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UMLS:ICD10CM:M72.6</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Necrotizing fasciitis</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UMLS:ICD10CM:A48.0</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Gas gangrene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UMLS:ICD10CM:N49.3</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Fournier gangrene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UMLS:CPT:1003168</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Debridement of skin, subcutaneous tissue, muscle and fascia for necrotizing soft tissue infection</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UMLS:CPT:11004</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Debridement of skin, subcutaneous tissue, muscle and fascia for necrotizing soft tissue infection; external genitalia and perineum</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UMLS:CPT:11005</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Debridement of skin, subcutaneous tissue, muscle and fascia for necrotizing soft tissue infection; abdominal wall, with or without fascial closure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UMLS:CPT:11008</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 xml:space="preserve">Removal of prosthetic material or mesh, abdominal wall </w:t>
            </w:r>
            <w:r>
              <w:rPr>
                <w:bCs/>
                <w:sz w:val="18"/>
                <w:szCs w:val="20"/>
              </w:rPr>
              <w:lastRenderedPageBreak/>
              <w:t>for infection (eg, for chronic or recurrent mesh infection or necrotizing soft tissue infection) (List separately in addition to code for primary procedure)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UMLS:CPT:11006</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Debridement of skin, subcutaneous tissue, muscle and fascia for necrotizing soft tissue infection; external genitalia, perineum and abdominal wall, with or without fascial closure</w:t>
            </w:r>
          </w:p>
        </w:tc>
      </w:tr>
      <w:tr w:rsidR="00320144" w:rsidRPr="001673AB"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Default="00320144" w:rsidP="00320144">
            <w:pPr>
              <w:spacing w:line="0" w:lineRule="atLeast"/>
              <w:rPr>
                <w:b w:val="0"/>
                <w:bCs w:val="0"/>
                <w:sz w:val="18"/>
                <w:szCs w:val="20"/>
              </w:rPr>
            </w:pPr>
          </w:p>
        </w:tc>
        <w:tc>
          <w:tcPr>
            <w:tcW w:w="0" w:type="auto"/>
            <w:gridSpan w:val="2"/>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0" w:type="auto"/>
            <w:gridSpan w:val="3"/>
            <w:tcBorders>
              <w:top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320144" w:rsidRPr="001673AB"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Default="00320144" w:rsidP="00320144">
            <w:pPr>
              <w:spacing w:line="0" w:lineRule="atLeast"/>
              <w:rPr>
                <w:b w:val="0"/>
                <w:bCs w:val="0"/>
                <w:sz w:val="18"/>
                <w:szCs w:val="20"/>
              </w:rPr>
            </w:pPr>
          </w:p>
        </w:tc>
        <w:tc>
          <w:tcPr>
            <w:tcW w:w="0" w:type="auto"/>
            <w:gridSpan w:val="2"/>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0" w:type="auto"/>
            <w:gridSpan w:val="3"/>
            <w:tcBorders>
              <w:top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no GLP1 occurred within 6 months on or before any instance of Group 1A</w:t>
            </w:r>
          </w:p>
        </w:tc>
      </w:tr>
      <w:tr w:rsidR="00320144" w:rsidRPr="000461F3"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61F3" w:rsidRDefault="00320144" w:rsidP="00320144">
            <w:pPr>
              <w:spacing w:line="0" w:lineRule="atLeast"/>
              <w:rPr>
                <w:bCs w:val="0"/>
                <w:sz w:val="18"/>
                <w:szCs w:val="20"/>
              </w:rPr>
            </w:pPr>
          </w:p>
        </w:tc>
        <w:tc>
          <w:tcPr>
            <w:tcW w:w="0" w:type="auto"/>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rsidR="00320144" w:rsidRPr="000461F3"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 no GLP1</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NLM:VA:HS501</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INSULIN</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NLM:RXNORM:6809</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metformin</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NLM:ATC:A10BH</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Dipeptidyl peptidase 4 (DPP-4) inhibitors</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NLM:ATC:A10BB</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Sulfonylureas</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NLM:ATC:A10BG</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Thiazolidinediones</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NLM:ATC:A10BK</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Sodium-glucose co-transporter 2 (SGLT2) inhibitors</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NLM:RXNORM:2601723</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tirzepatide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NLM:ATC:A10BJ</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Glucagon-like peptide-1 (GLP-1) analogues</w:t>
            </w:r>
          </w:p>
        </w:tc>
      </w:tr>
      <w:tr w:rsidR="00320144" w:rsidRPr="001673AB" w:rsidTr="00320144">
        <w:tc>
          <w:tcPr>
            <w:cnfStyle w:val="001000000000" w:firstRow="0" w:lastRow="0" w:firstColumn="1" w:lastColumn="0" w:oddVBand="0" w:evenVBand="0" w:oddHBand="0" w:evenHBand="0" w:firstRowFirstColumn="0" w:firstRowLastColumn="0" w:lastRowFirstColumn="0" w:lastRowLastColumn="0"/>
            <w:tcW w:w="0" w:type="auto"/>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rsidR="00320144" w:rsidRDefault="00320144" w:rsidP="00320144">
            <w:pPr>
              <w:spacing w:line="0" w:lineRule="atLeast"/>
              <w:rPr>
                <w:sz w:val="18"/>
                <w:szCs w:val="20"/>
              </w:rPr>
            </w:pPr>
            <w:r>
              <w:rPr>
                <w:sz w:val="18"/>
                <w:szCs w:val="20"/>
              </w:rPr>
              <w:t>Group 2</w:t>
            </w:r>
          </w:p>
        </w:tc>
      </w:tr>
      <w:tr w:rsidR="00320144" w:rsidRPr="000461F3"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61F3" w:rsidRDefault="00320144" w:rsidP="00320144">
            <w:pPr>
              <w:spacing w:line="0" w:lineRule="atLeast"/>
              <w:rPr>
                <w:bCs w:val="0"/>
                <w:sz w:val="18"/>
                <w:szCs w:val="20"/>
              </w:rPr>
            </w:pPr>
          </w:p>
        </w:tc>
        <w:tc>
          <w:tcPr>
            <w:tcW w:w="0" w:type="auto"/>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rsidR="00320144" w:rsidRPr="000461F3"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UMLS:ICD10CM:M72.6</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Necrotizing fasciitis</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UMLS:ICD10CM:A48.0</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Gas gangrene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UMLS:ICD10CM:N49.3</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Fournier gangrene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UMLS:CPT:1003168</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Debridement of skin, subcutaneous tissue, muscle and fascia for necrotizing soft tissue infection</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UMLS:CPT:11004</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Debridement of skin, subcutaneous tissue, muscle and fascia for necrotizing soft tissue infection; external genitalia and perineum</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UMLS:CPT:11005</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Debridement of skin, subcutaneous tissue, muscle and fascia for necrotizing soft tissue infection; abdominal wall, with or without fascial closure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UMLS:CPT:11008</w:t>
            </w: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Removal of prosthetic material or mesh, abdominal wall for infection (eg, for chronic or recurrent mesh infection or necrotizing soft tissue infection) (List separately in addition to code for primary procedure)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UMLS:CPT:11006</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Debridement of skin, subcutaneous tissue, muscle and fascia for necrotizing soft tissue infection; external genitalia, perineum and abdominal wall, with or without fascial closure</w:t>
            </w:r>
          </w:p>
        </w:tc>
      </w:tr>
      <w:tr w:rsidR="00320144" w:rsidRPr="001673AB"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Default="00320144" w:rsidP="00320144">
            <w:pPr>
              <w:spacing w:line="0" w:lineRule="atLeast"/>
              <w:rPr>
                <w:b w:val="0"/>
                <w:bCs w:val="0"/>
                <w:sz w:val="18"/>
                <w:szCs w:val="20"/>
              </w:rPr>
            </w:pPr>
          </w:p>
        </w:tc>
        <w:tc>
          <w:tcPr>
            <w:tcW w:w="0" w:type="auto"/>
            <w:gridSpan w:val="2"/>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0" w:type="auto"/>
            <w:gridSpan w:val="3"/>
            <w:tcBorders>
              <w:top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320144" w:rsidRPr="001673AB"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Default="00320144" w:rsidP="00320144">
            <w:pPr>
              <w:spacing w:line="0" w:lineRule="atLeast"/>
              <w:rPr>
                <w:b w:val="0"/>
                <w:bCs w:val="0"/>
                <w:sz w:val="18"/>
                <w:szCs w:val="20"/>
              </w:rPr>
            </w:pPr>
          </w:p>
        </w:tc>
        <w:tc>
          <w:tcPr>
            <w:tcW w:w="0" w:type="auto"/>
            <w:gridSpan w:val="2"/>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0" w:type="auto"/>
            <w:gridSpan w:val="3"/>
            <w:tcBorders>
              <w:top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event occurred within 1 year and 1 day before any instance of Group 2A</w:t>
            </w:r>
          </w:p>
        </w:tc>
      </w:tr>
      <w:tr w:rsidR="00320144" w:rsidRPr="000461F3"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61F3" w:rsidRDefault="00320144" w:rsidP="00320144">
            <w:pPr>
              <w:spacing w:line="0" w:lineRule="atLeast"/>
              <w:rPr>
                <w:bCs w:val="0"/>
                <w:sz w:val="18"/>
                <w:szCs w:val="20"/>
              </w:rPr>
            </w:pPr>
          </w:p>
        </w:tc>
        <w:tc>
          <w:tcPr>
            <w:tcW w:w="0" w:type="auto"/>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rsidR="00320144" w:rsidRPr="000461F3"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2B event</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UMLS:CPT:27590</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Amputation, thigh, through femur, any level</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UMLS:ICD10PCS:0Y6H0Z1</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Detachment at Right Lower Leg, High, Open Approach</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UMLS:ICD10PCS:0Y6J0Z1</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Detachment at Left Lower Leg, High, Open Approach</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UMLS:ICD10PCS:0Y6C0Z1</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Detachment at Right Upper Leg, High, Open Approach</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UMLS:ICD10PCS:0Y6D0Z1</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Detachment at Left Upper Leg, High, Open Approach</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UMLS:ICD10CM:Z89.512</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Acquired absence of left leg below knee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UMLS:ICD10CM:Z89.519</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Acquired absence of unspecified leg below knee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UMLS:ICD10CM:Z89.612</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Acquired absence of left leg above knee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UMLS:ICD10CM:Z89.611</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Acquired absence of right leg above knee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UMLS:ICD10CM:I20.81</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Angina pectoris with coronary microvascular dysfunction</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UMLS:ICD10CM:I20.1</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Angina pectoris with documented spasm</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UMLS:ICD10CM:I20.89</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Other forms of angina pectoris</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UMLS:ICD10CM:I20.0</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Unstable angina</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UMLS:ICD10CM:I20.8</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Other forms of angina pectoris</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UMLS:ICD10CM:I20.9</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Angina pectoris, unspecified</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UMLS:ICD10CM:I20</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Angina pectoris</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UMLS:ICD10CM:I46.2</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Cardiac arrest due to underlying cardiac condition</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UMLS:ICD10CM:I46.8</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Cardiac arrest due to other underlying condition</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UMLS:ICD10CM:I46.9</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Cardiac arrest, cause unspecified</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UMLS:ICD10CM:I46</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Cardiac arrest</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UMLS:ICD10CM:I21.B</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Myocardial infarction with coronary microvascular dysfunction</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UMLS:ICD10CM:I21.01</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ST elevation (STEMI) myocardial infarction involving left main coronary artery</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UMLS:ICD10CM:I21.A9</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Other myocardial infarction type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UMLS:ICD10CM:I21.21</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ST elevation (STEMI) myocardial infarction involving left circumflex coronary artery</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UMLS:ICD10CM:I21.11</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ST elevation (STEMI) myocardial infarction involving right coronary artery</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UMLS:ICD10CM:I21.02</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ST elevation (STEMI) myocardial infarction involving left anterior descending coronary artery</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UMLS:ICD10CM:I21.29</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ST elevation (STEMI) myocardial infarction involving other sites</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UMLS:ICD10CM:I21.2</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ST elevation (STEMI) myocardial infarction of other sites</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UMLS:ICD10CM:I21.09</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ST elevation (STEMI) myocardial infarction involving other coronary artery of anterior wall</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UMLS:ICD10CM:I21.19</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ST elevation (STEMI) myocardial infarction involving other coronary artery of inferior wall</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UMLS:ICD10CM:I21.0</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ST elevation (STEMI) myocardial infarction of anterior wall</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UMLS:ICD10CM:I21.1</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ST elevation (STEMI) myocardial infarction of inferior wall</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UMLS:ICD10CM:I21.A1</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Myocardial infarction type 2</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UMLS:ICD10CM:I21.A</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Other type of myocardial infarction</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UMLS:ICD10CM:I21.3</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ST elevation (STEMI) myocardial infarction of unspecified site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UMLS:ICD10CM:I21.9</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myocardial infarction, unspecified</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UMLS:ICD10CM:I21.4</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Non-ST elevation (NSTEMI) myocardial infarction</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UMLS:ICD10CM:I21</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myocardial infarction</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UMLS:CPT:36430</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Transfusion, blood or blood components</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unspecified whether with hypoxia or hypercapnia</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UMLS:ICD10CM:J80</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distress syndrome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UMLS:ICD10CM:R06.03</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distress</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UMLS:ICD10CM:N17.9</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kidney failure, unspecified</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UMLS:ICD10CM:I50.40</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Unspecified combined systolic (congestive) and diastolic (congestive) heart failure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UMLS:ICD10CM:I50.41</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combined systolic (congestive) and diastolic (congestive) heart failure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UMLS:ICD10CM:I50.81</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Right heart failure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UMLS:ICD10CM:I50.8</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Other heart failure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UMLS:ICD10CM:I50.31</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diastolic (congestive) heart failure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UMLS:ICD10CM:I50.43</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on chronic combined systolic (congestive) and diastolic (congestive) heart failure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UMLS:ICD10CM:I50.42</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Chronic combined systolic (congestive) and diastolic (congestive) heart failure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UMLS:ICD10CM:I50.21</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systolic (congestive) heart failure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UMLS:ICD10CM:I50.1</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Left ventricular failure, unspecified</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UMLS:ICD10CM:I50.23</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on chronic systolic (congestive) heart failure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UMLS:ICD10CM:I50.33</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on chronic diastolic (congestive) heart failure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UMLS:ICD10CM:I50.4</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Combined systolic (congestive) and diastolic (congestive) heart failure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UMLS:ICD10CM:I50.30</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Unspecified diastolic (congestive) heart failure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UMLS:ICD10CM:I50.20</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Unspecified systolic (congestive) heart failure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UMLS:ICD10CM:I50.22</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Chronic systolic (congestive) heart failure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UMLS:ICD10CM:I50.32</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Chronic diastolic (congestive) heart failure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UMLS:ICD10CM:I50.2</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Systolic (congestive) heart failure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UMLS:ICD10CM:I50.3</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Diastolic (congestive) heart failure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UMLS:ICD10CM:I50.9</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Heart failure, unspecified</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UMLS:ICD10CM:I50</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Heart failure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UMLS:ICD10CM:I26.04</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Fat embolism of pulmonary artery with acute cor pulmonale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UMLS:ICD10CM:I26.96</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Fat embolism of pulmonary artery without acute cor pulmonale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UMLS:ICD10CM:I26.03</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Cement embolism of pulmonary artery with acute cor pulmonale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UMLS:ICD10CM:I26.95</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Cement embolism of pulmonary artery without acute cor pulmonale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UMLS:ICD10CM:I26.01</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Septic pulmonary embolism with acute cor pulmonale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UMLS:ICD10CM:I26.02</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Saddle embolus of pulmonary artery with acute cor pulmonale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UMLS:ICD10CM:I26.92</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Saddle embolus of pulmonary artery without acute cor pulmonale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UMLS:ICD10CM:I26.90</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Septic pulmonary embolism without acute cor pulmonale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UMLS:ICD10CM:I26.94</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Multiple subsegmental thrombotic pulmonary emboli without acute cor pulmonale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UMLS:ICD10CM:I26.93</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Single subsegmental thrombotic pulmonary embolism without acute cor pulmonale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UMLS:ICD10CM:I26.09</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Other pulmonary embolism with acute cor pulmonale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UMLS:ICD10CM:I26.0</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Pulmonary embolism with acute cor pulmonale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UMLS:ICD10CM:I26.99</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Other pulmonary embolism without acute cor pulmonale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UMLS:ICD10CM:I26.9</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Pulmonary embolism without acute cor pulmonale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UMLS:ICD10CM:I26</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Pulmonary embolism</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UMLS:ICD10CM:I20.2</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Refractory angina pectoris</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UMLS:ICD10CM:N17</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kidney failure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UMLS:ICD10CM:Z89.619</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Acquired absence of unspecified leg above knee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UMLS:ICD10CM:Z89.61</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Acquired absence of leg above knee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UMLS:ICD10CM:Z89.511</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Acquired absence of right leg below knee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UMLS:ICD10CM:Z89.51</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Acquired absence of leg below knee</w:t>
            </w:r>
          </w:p>
        </w:tc>
      </w:tr>
      <w:tr w:rsidR="00320144" w:rsidRPr="000420CA" w:rsidTr="00320144">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320144" w:rsidRPr="000420CA" w:rsidRDefault="00320144" w:rsidP="00320144">
            <w:pPr>
              <w:spacing w:line="0" w:lineRule="atLeast"/>
              <w:rPr>
                <w:b w:val="0"/>
                <w:bCs w:val="0"/>
                <w:sz w:val="18"/>
                <w:szCs w:val="20"/>
              </w:rPr>
            </w:pPr>
          </w:p>
        </w:tc>
        <w:tc>
          <w:tcPr>
            <w:tcW w:w="0" w:type="auto"/>
            <w:shd w:val="clear" w:color="auto" w:fill="auto"/>
          </w:tcPr>
          <w:p w:rsidR="00320144" w:rsidRPr="000420CA"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0" w:type="auto"/>
            <w:tcBorders>
              <w:bottom w:val="single" w:sz="4" w:space="0" w:color="808080" w:themeColor="background1" w:themeShade="80"/>
            </w:tcBorders>
            <w:shd w:val="clear" w:color="auto" w:fill="auto"/>
          </w:tcPr>
          <w:p w:rsidR="0032014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UMLS:CPT:27591</w:t>
            </w:r>
          </w:p>
        </w:tc>
        <w:tc>
          <w:tcPr>
            <w:tcW w:w="0" w:type="auto"/>
            <w:tcBorders>
              <w:bottom w:val="single" w:sz="4" w:space="0" w:color="808080" w:themeColor="background1" w:themeShade="80"/>
            </w:tcBorders>
            <w:shd w:val="clear" w:color="auto" w:fill="auto"/>
          </w:tcPr>
          <w:p w:rsidR="00320144" w:rsidRPr="00381224" w:rsidRDefault="00320144" w:rsidP="00320144">
            <w:pPr>
              <w:spacing w:line="0" w:lineRule="atLeast"/>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Amputation, thigh, through femur, any level; immediate fitting technique including first cast</w:t>
            </w:r>
          </w:p>
        </w:tc>
      </w:tr>
    </w:tbl>
    <w:p w:rsidR="002247E5" w:rsidRPr="00320144" w:rsidRDefault="002247E5">
      <w:pPr>
        <w:rPr>
          <w:rFonts w:ascii="Times New Roman" w:eastAsia="微軟正黑體" w:hAnsi="Times New Roman" w:cs="Times New Roman"/>
        </w:rPr>
      </w:pPr>
    </w:p>
    <w:p w:rsidR="00B75F44" w:rsidRDefault="00B75F44">
      <w:pPr>
        <w:rPr>
          <w:rFonts w:ascii="Times New Roman" w:eastAsia="微軟正黑體" w:hAnsi="Times New Roman" w:cs="Times New Roman"/>
        </w:rPr>
      </w:pPr>
    </w:p>
    <w:p w:rsidR="00B75F44" w:rsidRDefault="00B75F44">
      <w:pPr>
        <w:rPr>
          <w:rFonts w:ascii="Times New Roman" w:eastAsia="微軟正黑體" w:hAnsi="Times New Roman" w:cs="Times New Roman"/>
        </w:rPr>
      </w:pPr>
    </w:p>
    <w:p w:rsidR="00B75F44" w:rsidRDefault="00B75F44">
      <w:pPr>
        <w:rPr>
          <w:rFonts w:ascii="Times New Roman" w:eastAsia="微軟正黑體" w:hAnsi="Times New Roman" w:cs="Times New Roman"/>
        </w:rPr>
      </w:pPr>
    </w:p>
    <w:p w:rsidR="00B75F44" w:rsidRDefault="00B75F44">
      <w:pPr>
        <w:rPr>
          <w:rFonts w:ascii="Times New Roman" w:eastAsia="微軟正黑體" w:hAnsi="Times New Roman" w:cs="Times New Roman"/>
        </w:rPr>
      </w:pPr>
    </w:p>
    <w:p w:rsidR="00B75F44" w:rsidRDefault="00B75F44">
      <w:pPr>
        <w:rPr>
          <w:rFonts w:ascii="Times New Roman" w:eastAsia="微軟正黑體" w:hAnsi="Times New Roman" w:cs="Times New Roman"/>
        </w:rPr>
      </w:pPr>
    </w:p>
    <w:p w:rsidR="0001405B" w:rsidRDefault="0001405B">
      <w:pPr>
        <w:rPr>
          <w:rFonts w:ascii="Times New Roman" w:eastAsia="微軟正黑體" w:hAnsi="Times New Roman" w:cs="Times New Roman"/>
        </w:rPr>
      </w:pPr>
    </w:p>
    <w:p w:rsidR="0001405B" w:rsidRDefault="0001405B">
      <w:pPr>
        <w:rPr>
          <w:rFonts w:ascii="Times New Roman" w:eastAsia="微軟正黑體" w:hAnsi="Times New Roman" w:cs="Times New Roman"/>
        </w:rPr>
      </w:pPr>
    </w:p>
    <w:p w:rsidR="0001405B" w:rsidRDefault="0001405B">
      <w:pPr>
        <w:rPr>
          <w:rFonts w:ascii="Times New Roman" w:eastAsia="微軟正黑體" w:hAnsi="Times New Roman" w:cs="Times New Roman"/>
        </w:rPr>
      </w:pPr>
    </w:p>
    <w:p w:rsidR="0001405B" w:rsidRDefault="0001405B">
      <w:pPr>
        <w:rPr>
          <w:rFonts w:ascii="Times New Roman" w:eastAsia="微軟正黑體" w:hAnsi="Times New Roman" w:cs="Times New Roman"/>
        </w:rPr>
      </w:pPr>
    </w:p>
    <w:p w:rsidR="0001405B" w:rsidRDefault="0001405B">
      <w:pPr>
        <w:rPr>
          <w:rFonts w:ascii="Times New Roman" w:eastAsia="微軟正黑體" w:hAnsi="Times New Roman" w:cs="Times New Roman"/>
        </w:rPr>
      </w:pPr>
    </w:p>
    <w:p w:rsidR="0001405B" w:rsidRDefault="0001405B">
      <w:pPr>
        <w:rPr>
          <w:rFonts w:ascii="Times New Roman" w:eastAsia="微軟正黑體" w:hAnsi="Times New Roman" w:cs="Times New Roman"/>
        </w:rPr>
      </w:pPr>
    </w:p>
    <w:p w:rsidR="0001405B" w:rsidRDefault="0001405B">
      <w:pPr>
        <w:rPr>
          <w:rFonts w:ascii="Times New Roman" w:eastAsia="微軟正黑體" w:hAnsi="Times New Roman" w:cs="Times New Roman"/>
        </w:rPr>
      </w:pPr>
    </w:p>
    <w:p w:rsidR="0001405B" w:rsidRDefault="0001405B">
      <w:pPr>
        <w:rPr>
          <w:rFonts w:ascii="Times New Roman" w:eastAsia="微軟正黑體" w:hAnsi="Times New Roman" w:cs="Times New Roman"/>
        </w:rPr>
      </w:pPr>
    </w:p>
    <w:p w:rsidR="008E7C4A" w:rsidRDefault="00C915D7" w:rsidP="008E7C4A">
      <w:pPr>
        <w:rPr>
          <w:rFonts w:ascii="Times New Roman" w:eastAsia="微軟正黑體" w:hAnsi="Times New Roman" w:cs="Times New Roman"/>
        </w:rPr>
      </w:pPr>
      <w:r w:rsidRPr="00FD4EC1">
        <w:rPr>
          <w:rFonts w:ascii="Times New Roman" w:eastAsia="微軟正黑體" w:hAnsi="Times New Roman" w:cs="Times New Roman"/>
        </w:rPr>
        <w:t xml:space="preserve">Supplementary Table </w:t>
      </w:r>
      <w:r>
        <w:rPr>
          <w:rFonts w:ascii="Times New Roman" w:eastAsia="微軟正黑體" w:hAnsi="Times New Roman" w:cs="Times New Roman"/>
        </w:rPr>
        <w:t>3</w:t>
      </w:r>
    </w:p>
    <w:p w:rsidR="008E7C4A" w:rsidRDefault="008E7C4A" w:rsidP="008E7C4A">
      <w:pPr>
        <w:widowControl/>
        <w:rPr>
          <w:rFonts w:ascii="Times New Roman" w:eastAsia="新細明體" w:hAnsi="Times New Roman" w:cs="Times New Roman"/>
          <w:color w:val="000000"/>
          <w:kern w:val="0"/>
          <w:sz w:val="22"/>
        </w:rPr>
        <w:sectPr w:rsidR="008E7C4A" w:rsidSect="00FD4EC1">
          <w:pgSz w:w="11906" w:h="16838"/>
          <w:pgMar w:top="1418" w:right="1418" w:bottom="1418" w:left="1418" w:header="851" w:footer="992" w:gutter="0"/>
          <w:cols w:space="425"/>
          <w:docGrid w:type="lines" w:linePitch="360"/>
        </w:sectPr>
      </w:pPr>
    </w:p>
    <w:tbl>
      <w:tblPr>
        <w:tblW w:w="0" w:type="auto"/>
        <w:tblCellMar>
          <w:left w:w="28" w:type="dxa"/>
          <w:right w:w="28" w:type="dxa"/>
        </w:tblCellMar>
        <w:tblLook w:val="04A0" w:firstRow="1" w:lastRow="0" w:firstColumn="1" w:lastColumn="0" w:noHBand="0" w:noVBand="1"/>
      </w:tblPr>
      <w:tblGrid>
        <w:gridCol w:w="4478"/>
        <w:gridCol w:w="691"/>
        <w:gridCol w:w="1114"/>
        <w:gridCol w:w="1080"/>
        <w:gridCol w:w="1114"/>
        <w:gridCol w:w="1242"/>
        <w:gridCol w:w="691"/>
        <w:gridCol w:w="1114"/>
        <w:gridCol w:w="691"/>
        <w:gridCol w:w="1114"/>
        <w:gridCol w:w="673"/>
      </w:tblGrid>
      <w:tr w:rsidR="0048201C" w:rsidRPr="0048201C" w:rsidTr="0048201C">
        <w:trPr>
          <w:trHeight w:val="350"/>
        </w:trPr>
        <w:tc>
          <w:tcPr>
            <w:tcW w:w="0" w:type="auto"/>
            <w:gridSpan w:val="10"/>
            <w:tcBorders>
              <w:top w:val="single" w:sz="4" w:space="0" w:color="auto"/>
              <w:left w:val="nil"/>
              <w:bottom w:val="single" w:sz="4" w:space="0" w:color="auto"/>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lastRenderedPageBreak/>
              <w:t>Table S</w:t>
            </w:r>
            <w:r>
              <w:rPr>
                <w:rFonts w:ascii="Times New Roman" w:eastAsia="新細明體" w:hAnsi="Times New Roman" w:cs="Times New Roman"/>
                <w:color w:val="000000"/>
                <w:kern w:val="0"/>
                <w:sz w:val="22"/>
              </w:rPr>
              <w:t>3</w:t>
            </w:r>
            <w:r w:rsidRPr="0048201C">
              <w:rPr>
                <w:rFonts w:ascii="Times New Roman" w:eastAsia="新細明體" w:hAnsi="Times New Roman" w:cs="Times New Roman"/>
                <w:color w:val="000000"/>
                <w:kern w:val="0"/>
                <w:sz w:val="22"/>
              </w:rPr>
              <w:t xml:space="preserve"> Baseline characteristics of necrotizing soft tissue infection patients with and without GLP-1 receptor agonist use (excluding SGLT2-inhibitors)</w:t>
            </w:r>
          </w:p>
        </w:tc>
        <w:tc>
          <w:tcPr>
            <w:tcW w:w="0" w:type="auto"/>
            <w:tcBorders>
              <w:top w:val="nil"/>
              <w:left w:val="nil"/>
              <w:bottom w:val="single" w:sz="4" w:space="0" w:color="auto"/>
              <w:right w:val="nil"/>
            </w:tcBorders>
            <w:shd w:val="clear" w:color="auto" w:fill="auto"/>
            <w:noWrap/>
            <w:vAlign w:val="center"/>
            <w:hideMark/>
          </w:tcPr>
          <w:p w:rsidR="0048201C" w:rsidRPr="0048201C" w:rsidRDefault="0048201C" w:rsidP="0048201C">
            <w:pPr>
              <w:widowControl/>
              <w:rPr>
                <w:rFonts w:ascii="新細明體" w:eastAsia="新細明體" w:hAnsi="新細明體" w:cs="新細明體"/>
                <w:color w:val="000000"/>
                <w:kern w:val="0"/>
                <w:sz w:val="22"/>
              </w:rPr>
            </w:pPr>
            <w:r w:rsidRPr="0048201C">
              <w:rPr>
                <w:rFonts w:ascii="新細明體" w:eastAsia="新細明體" w:hAnsi="新細明體" w:cs="新細明體" w:hint="eastAsia"/>
                <w:color w:val="000000"/>
                <w:kern w:val="0"/>
                <w:sz w:val="22"/>
              </w:rPr>
              <w:t xml:space="preserve">　</w:t>
            </w:r>
          </w:p>
        </w:tc>
      </w:tr>
      <w:tr w:rsidR="0048201C" w:rsidRPr="0048201C" w:rsidTr="0048201C">
        <w:trPr>
          <w:trHeight w:val="350"/>
        </w:trPr>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rPr>
                <w:rFonts w:ascii="新細明體" w:eastAsia="新細明體" w:hAnsi="新細明體" w:cs="新細明體"/>
                <w:color w:val="000000"/>
                <w:kern w:val="0"/>
                <w:sz w:val="22"/>
              </w:rPr>
            </w:pPr>
          </w:p>
        </w:tc>
        <w:tc>
          <w:tcPr>
            <w:tcW w:w="0" w:type="auto"/>
            <w:gridSpan w:val="5"/>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Before matching</w:t>
            </w:r>
          </w:p>
        </w:tc>
        <w:tc>
          <w:tcPr>
            <w:tcW w:w="0" w:type="auto"/>
            <w:gridSpan w:val="5"/>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After matching</w:t>
            </w:r>
          </w:p>
        </w:tc>
      </w:tr>
      <w:tr w:rsidR="0048201C" w:rsidRPr="0048201C" w:rsidTr="0048201C">
        <w:trPr>
          <w:trHeight w:val="306"/>
        </w:trPr>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p>
        </w:tc>
        <w:tc>
          <w:tcPr>
            <w:tcW w:w="0" w:type="auto"/>
            <w:gridSpan w:val="2"/>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GLP1-RA user</w:t>
            </w:r>
          </w:p>
        </w:tc>
        <w:tc>
          <w:tcPr>
            <w:tcW w:w="0" w:type="auto"/>
            <w:gridSpan w:val="2"/>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GLP1-RA non-user</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p value</w:t>
            </w:r>
          </w:p>
        </w:tc>
        <w:tc>
          <w:tcPr>
            <w:tcW w:w="0" w:type="auto"/>
            <w:gridSpan w:val="2"/>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GLP1-RA user</w:t>
            </w:r>
          </w:p>
        </w:tc>
        <w:tc>
          <w:tcPr>
            <w:tcW w:w="0" w:type="auto"/>
            <w:gridSpan w:val="2"/>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GLP1-RA non-user</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SMD</w:t>
            </w:r>
          </w:p>
        </w:tc>
      </w:tr>
      <w:tr w:rsidR="0048201C" w:rsidRPr="0048201C" w:rsidTr="0048201C">
        <w:trPr>
          <w:trHeight w:val="281"/>
        </w:trPr>
        <w:tc>
          <w:tcPr>
            <w:tcW w:w="0" w:type="auto"/>
            <w:tcBorders>
              <w:top w:val="nil"/>
              <w:left w:val="nil"/>
              <w:bottom w:val="single" w:sz="4" w:space="0" w:color="auto"/>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　</w:t>
            </w:r>
          </w:p>
        </w:tc>
        <w:tc>
          <w:tcPr>
            <w:tcW w:w="0" w:type="auto"/>
            <w:gridSpan w:val="2"/>
            <w:tcBorders>
              <w:top w:val="nil"/>
              <w:left w:val="nil"/>
              <w:bottom w:val="single" w:sz="4" w:space="0" w:color="auto"/>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n = 1,099</w:t>
            </w:r>
          </w:p>
        </w:tc>
        <w:tc>
          <w:tcPr>
            <w:tcW w:w="0" w:type="auto"/>
            <w:gridSpan w:val="2"/>
            <w:tcBorders>
              <w:top w:val="nil"/>
              <w:left w:val="nil"/>
              <w:bottom w:val="single" w:sz="4" w:space="0" w:color="auto"/>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n = 15,659</w:t>
            </w:r>
          </w:p>
        </w:tc>
        <w:tc>
          <w:tcPr>
            <w:tcW w:w="0" w:type="auto"/>
            <w:tcBorders>
              <w:top w:val="nil"/>
              <w:left w:val="nil"/>
              <w:bottom w:val="single" w:sz="4" w:space="0" w:color="auto"/>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　</w:t>
            </w:r>
          </w:p>
        </w:tc>
        <w:tc>
          <w:tcPr>
            <w:tcW w:w="0" w:type="auto"/>
            <w:gridSpan w:val="2"/>
            <w:tcBorders>
              <w:top w:val="nil"/>
              <w:left w:val="nil"/>
              <w:bottom w:val="single" w:sz="4" w:space="0" w:color="auto"/>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n = 1,097</w:t>
            </w:r>
          </w:p>
        </w:tc>
        <w:tc>
          <w:tcPr>
            <w:tcW w:w="0" w:type="auto"/>
            <w:gridSpan w:val="2"/>
            <w:tcBorders>
              <w:top w:val="nil"/>
              <w:left w:val="nil"/>
              <w:bottom w:val="single" w:sz="4" w:space="0" w:color="auto"/>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n = 1,097</w:t>
            </w:r>
          </w:p>
        </w:tc>
        <w:tc>
          <w:tcPr>
            <w:tcW w:w="0" w:type="auto"/>
            <w:tcBorders>
              <w:top w:val="nil"/>
              <w:left w:val="nil"/>
              <w:bottom w:val="single" w:sz="4" w:space="0" w:color="auto"/>
              <w:right w:val="nil"/>
            </w:tcBorders>
            <w:shd w:val="clear" w:color="auto" w:fill="auto"/>
            <w:noWrap/>
            <w:vAlign w:val="center"/>
            <w:hideMark/>
          </w:tcPr>
          <w:p w:rsidR="0048201C" w:rsidRPr="0048201C" w:rsidRDefault="0048201C" w:rsidP="0048201C">
            <w:pPr>
              <w:widowControl/>
              <w:rPr>
                <w:rFonts w:ascii="新細明體" w:eastAsia="新細明體" w:hAnsi="新細明體" w:cs="新細明體"/>
                <w:color w:val="000000"/>
                <w:kern w:val="0"/>
                <w:sz w:val="22"/>
              </w:rPr>
            </w:pPr>
            <w:r w:rsidRPr="0048201C">
              <w:rPr>
                <w:rFonts w:ascii="新細明體" w:eastAsia="新細明體" w:hAnsi="新細明體" w:cs="新細明體" w:hint="eastAsia"/>
                <w:color w:val="000000"/>
                <w:kern w:val="0"/>
                <w:sz w:val="22"/>
              </w:rPr>
              <w:t xml:space="preserve">　</w:t>
            </w:r>
          </w:p>
        </w:tc>
      </w:tr>
      <w:tr w:rsidR="0048201C" w:rsidRPr="0048201C" w:rsidTr="0048201C">
        <w:trPr>
          <w:trHeight w:val="281"/>
        </w:trPr>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Age at Index</w:t>
            </w:r>
          </w:p>
        </w:tc>
        <w:tc>
          <w:tcPr>
            <w:tcW w:w="0" w:type="auto"/>
            <w:gridSpan w:val="2"/>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55.5 ± 11.8</w:t>
            </w:r>
          </w:p>
        </w:tc>
        <w:tc>
          <w:tcPr>
            <w:tcW w:w="0" w:type="auto"/>
            <w:gridSpan w:val="2"/>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56.6± 13.3</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0.006 </w:t>
            </w:r>
          </w:p>
        </w:tc>
        <w:tc>
          <w:tcPr>
            <w:tcW w:w="0" w:type="auto"/>
            <w:gridSpan w:val="2"/>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55.5 ± 11.8</w:t>
            </w:r>
          </w:p>
        </w:tc>
        <w:tc>
          <w:tcPr>
            <w:tcW w:w="0" w:type="auto"/>
            <w:gridSpan w:val="2"/>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55.7 ± 12.1</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0.018 </w:t>
            </w:r>
          </w:p>
        </w:tc>
      </w:tr>
      <w:tr w:rsidR="0048201C" w:rsidRPr="0048201C" w:rsidTr="0048201C">
        <w:trPr>
          <w:trHeight w:val="306"/>
        </w:trPr>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White</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677</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61.6%</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7728</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49.4%</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&lt;0.001</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675</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61.5%</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688</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62.7%</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0.024 </w:t>
            </w:r>
          </w:p>
        </w:tc>
      </w:tr>
      <w:tr w:rsidR="0048201C" w:rsidRPr="0048201C" w:rsidTr="0048201C">
        <w:trPr>
          <w:trHeight w:val="306"/>
        </w:trPr>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Not Hispanic or Latino</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746</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67.9%</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9948</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63.5%</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0.004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745</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67.9%</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774</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70.6%</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0.057 </w:t>
            </w:r>
          </w:p>
        </w:tc>
      </w:tr>
      <w:tr w:rsidR="0048201C" w:rsidRPr="0048201C" w:rsidTr="0048201C">
        <w:trPr>
          <w:trHeight w:val="306"/>
        </w:trPr>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Male</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677</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61.6%</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10311</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65.8%</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0.004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675</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61.5%</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662</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60.3%</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0.024 </w:t>
            </w:r>
          </w:p>
        </w:tc>
      </w:tr>
      <w:tr w:rsidR="0048201C" w:rsidRPr="0048201C" w:rsidTr="0048201C">
        <w:trPr>
          <w:trHeight w:val="306"/>
        </w:trPr>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Body mass index</w:t>
            </w:r>
          </w:p>
        </w:tc>
        <w:tc>
          <w:tcPr>
            <w:tcW w:w="0" w:type="auto"/>
            <w:gridSpan w:val="2"/>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36.4 ± 9.80</w:t>
            </w:r>
          </w:p>
        </w:tc>
        <w:tc>
          <w:tcPr>
            <w:tcW w:w="0" w:type="auto"/>
            <w:gridSpan w:val="2"/>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32.7 ± 9.27</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&lt;0.001</w:t>
            </w:r>
          </w:p>
        </w:tc>
        <w:tc>
          <w:tcPr>
            <w:tcW w:w="0" w:type="auto"/>
            <w:gridSpan w:val="2"/>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36.3 ± 9.81</w:t>
            </w:r>
          </w:p>
        </w:tc>
        <w:tc>
          <w:tcPr>
            <w:tcW w:w="0" w:type="auto"/>
            <w:gridSpan w:val="2"/>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35.5 ± 9.39</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0.083 </w:t>
            </w:r>
          </w:p>
        </w:tc>
      </w:tr>
      <w:tr w:rsidR="0048201C" w:rsidRPr="0048201C" w:rsidTr="0048201C">
        <w:trPr>
          <w:trHeight w:val="306"/>
        </w:trPr>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Hypertensive diseases</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835</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76.0%</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7762</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49.6%</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&lt;0.001</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833</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75.9%</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870</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79.3%</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0.081 </w:t>
            </w:r>
          </w:p>
        </w:tc>
      </w:tr>
      <w:tr w:rsidR="0048201C" w:rsidRPr="0048201C" w:rsidTr="0048201C">
        <w:trPr>
          <w:trHeight w:val="306"/>
        </w:trPr>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Ischemic heart diseases</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234</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21.3%</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2094</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13.4%</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&lt;0.001</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232</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21.1%</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246</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22.4%</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0.031 </w:t>
            </w:r>
          </w:p>
        </w:tc>
      </w:tr>
      <w:tr w:rsidR="0048201C" w:rsidRPr="0048201C" w:rsidTr="0048201C">
        <w:trPr>
          <w:trHeight w:val="306"/>
        </w:trPr>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Heart failure</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61</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5.6%</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568</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3.6%</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0.001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61</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5.6%</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61</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5.6%</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&lt;0.001</w:t>
            </w:r>
          </w:p>
        </w:tc>
      </w:tr>
      <w:tr w:rsidR="0048201C" w:rsidRPr="0048201C" w:rsidTr="0048201C">
        <w:trPr>
          <w:trHeight w:val="306"/>
        </w:trPr>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COPD</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108</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9.8%</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1022</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6.5%</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&lt;0.001</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108</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9.8%</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108</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9.8%</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&lt;0.001</w:t>
            </w:r>
          </w:p>
        </w:tc>
      </w:tr>
      <w:tr w:rsidR="0048201C" w:rsidRPr="0048201C" w:rsidTr="0048201C">
        <w:trPr>
          <w:trHeight w:val="306"/>
        </w:trPr>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Atrial fibrillation and flutter</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77</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7.0%</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739</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4.7%</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0.001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76</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6.9%</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77</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7.0%</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0.004 </w:t>
            </w:r>
          </w:p>
        </w:tc>
      </w:tr>
      <w:tr w:rsidR="0048201C" w:rsidRPr="0048201C" w:rsidTr="0048201C">
        <w:trPr>
          <w:trHeight w:val="306"/>
        </w:trPr>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Chronic kidney disease</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217</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19.7%</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2282</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14.6%</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&lt;0.001</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216</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19.7%</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183</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16.7%</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0.078 </w:t>
            </w:r>
          </w:p>
        </w:tc>
      </w:tr>
      <w:tr w:rsidR="0048201C" w:rsidRPr="0048201C" w:rsidTr="0048201C">
        <w:trPr>
          <w:trHeight w:val="306"/>
        </w:trPr>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Diseases of liver</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203</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18.5%</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1450</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9.3%</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&lt;0.001</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202</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18.4%</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181</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16.5%</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0.050 </w:t>
            </w:r>
          </w:p>
        </w:tc>
      </w:tr>
      <w:tr w:rsidR="0048201C" w:rsidRPr="0048201C" w:rsidTr="0048201C">
        <w:trPr>
          <w:trHeight w:val="306"/>
        </w:trPr>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Tobacco use</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226</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20.6%</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1774</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11.3%</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&lt;0.001</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224</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20.4%</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223</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20.3%</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0.002 </w:t>
            </w:r>
          </w:p>
        </w:tc>
      </w:tr>
      <w:tr w:rsidR="0048201C" w:rsidRPr="0048201C" w:rsidTr="0048201C">
        <w:trPr>
          <w:trHeight w:val="306"/>
        </w:trPr>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Alcohol use</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48</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4.4%</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633</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4.0%</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0.598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48</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4.4%</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53</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4.8%</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0.022 </w:t>
            </w:r>
          </w:p>
        </w:tc>
      </w:tr>
      <w:tr w:rsidR="0048201C" w:rsidRPr="0048201C" w:rsidTr="0048201C">
        <w:trPr>
          <w:trHeight w:val="306"/>
        </w:trPr>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Cerebrovascular diseases</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120</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10.9%</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1377</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8.8%</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0.017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120</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10.9%</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122</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11.1%</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0.006 </w:t>
            </w:r>
          </w:p>
        </w:tc>
      </w:tr>
      <w:tr w:rsidR="0048201C" w:rsidRPr="0048201C" w:rsidTr="0048201C">
        <w:trPr>
          <w:trHeight w:val="306"/>
        </w:trPr>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Sepsis</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225</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20.5%</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2326</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14.9%</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&lt;0.001</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225</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20.5%</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237</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21.6%</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0.027 </w:t>
            </w:r>
          </w:p>
        </w:tc>
      </w:tr>
      <w:tr w:rsidR="0048201C" w:rsidRPr="0048201C" w:rsidTr="0048201C">
        <w:trPr>
          <w:trHeight w:val="306"/>
        </w:trPr>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Corticosteroid usage</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705</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64.1%</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6132</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39.2%</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&lt;0.001</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703</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64.1%</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727</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66.3%</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0.046 </w:t>
            </w:r>
          </w:p>
        </w:tc>
      </w:tr>
      <w:tr w:rsidR="0048201C" w:rsidRPr="0048201C" w:rsidTr="0048201C">
        <w:trPr>
          <w:trHeight w:val="306"/>
        </w:trPr>
        <w:tc>
          <w:tcPr>
            <w:tcW w:w="0" w:type="auto"/>
            <w:tcBorders>
              <w:top w:val="nil"/>
              <w:left w:val="nil"/>
              <w:bottom w:val="single" w:sz="4" w:space="0" w:color="auto"/>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Hemoglobin A1c</w:t>
            </w:r>
          </w:p>
        </w:tc>
        <w:tc>
          <w:tcPr>
            <w:tcW w:w="0" w:type="auto"/>
            <w:gridSpan w:val="2"/>
            <w:tcBorders>
              <w:top w:val="nil"/>
              <w:left w:val="nil"/>
              <w:bottom w:val="single" w:sz="4" w:space="0" w:color="auto"/>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9.03 ± 2.48</w:t>
            </w:r>
          </w:p>
        </w:tc>
        <w:tc>
          <w:tcPr>
            <w:tcW w:w="0" w:type="auto"/>
            <w:gridSpan w:val="2"/>
            <w:tcBorders>
              <w:top w:val="nil"/>
              <w:left w:val="nil"/>
              <w:bottom w:val="single" w:sz="4" w:space="0" w:color="auto"/>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9.11 ± 2.78</w:t>
            </w:r>
          </w:p>
        </w:tc>
        <w:tc>
          <w:tcPr>
            <w:tcW w:w="0" w:type="auto"/>
            <w:tcBorders>
              <w:top w:val="nil"/>
              <w:left w:val="nil"/>
              <w:bottom w:val="single" w:sz="4" w:space="0" w:color="auto"/>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0.396 </w:t>
            </w:r>
          </w:p>
        </w:tc>
        <w:tc>
          <w:tcPr>
            <w:tcW w:w="0" w:type="auto"/>
            <w:gridSpan w:val="2"/>
            <w:tcBorders>
              <w:top w:val="nil"/>
              <w:left w:val="nil"/>
              <w:bottom w:val="single" w:sz="4" w:space="0" w:color="auto"/>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9.04 ± 2.49</w:t>
            </w:r>
          </w:p>
        </w:tc>
        <w:tc>
          <w:tcPr>
            <w:tcW w:w="0" w:type="auto"/>
            <w:gridSpan w:val="2"/>
            <w:tcBorders>
              <w:top w:val="nil"/>
              <w:left w:val="nil"/>
              <w:bottom w:val="single" w:sz="4" w:space="0" w:color="auto"/>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9.06 ± 2.47</w:t>
            </w:r>
          </w:p>
        </w:tc>
        <w:tc>
          <w:tcPr>
            <w:tcW w:w="0" w:type="auto"/>
            <w:tcBorders>
              <w:top w:val="nil"/>
              <w:left w:val="nil"/>
              <w:bottom w:val="single" w:sz="4" w:space="0" w:color="auto"/>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0.011 </w:t>
            </w:r>
          </w:p>
        </w:tc>
      </w:tr>
      <w:tr w:rsidR="0048201C" w:rsidRPr="0048201C" w:rsidTr="0048201C">
        <w:trPr>
          <w:trHeight w:val="306"/>
        </w:trPr>
        <w:tc>
          <w:tcPr>
            <w:tcW w:w="0" w:type="auto"/>
            <w:gridSpan w:val="11"/>
            <w:tcBorders>
              <w:top w:val="nil"/>
              <w:left w:val="nil"/>
              <w:bottom w:val="nil"/>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lastRenderedPageBreak/>
              <w:t>Numbers are presented as mean ± standard deviation; COPD: Chronic Obstruction Pulmonary Disease; GLP1-RA: glucagon-like peptide-1 receptor agonist; SMD: standard mean difference</w:t>
            </w:r>
          </w:p>
        </w:tc>
      </w:tr>
    </w:tbl>
    <w:p w:rsidR="008E7C4A" w:rsidRPr="0048201C" w:rsidRDefault="008E7C4A" w:rsidP="008E7C4A">
      <w:pPr>
        <w:rPr>
          <w:rFonts w:ascii="Times New Roman" w:eastAsia="微軟正黑體" w:hAnsi="Times New Roman" w:cs="Times New Roman"/>
        </w:rPr>
        <w:sectPr w:rsidR="008E7C4A" w:rsidRPr="0048201C" w:rsidSect="008E7C4A">
          <w:pgSz w:w="16838" w:h="11906" w:orient="landscape"/>
          <w:pgMar w:top="1418" w:right="1418" w:bottom="1418" w:left="1418" w:header="851" w:footer="992" w:gutter="0"/>
          <w:cols w:space="425"/>
          <w:docGrid w:type="linesAndChars" w:linePitch="360"/>
        </w:sectPr>
      </w:pPr>
    </w:p>
    <w:p w:rsidR="008E7C4A" w:rsidRDefault="00C915D7" w:rsidP="008E7C4A">
      <w:pPr>
        <w:rPr>
          <w:rFonts w:ascii="Times New Roman" w:eastAsia="微軟正黑體" w:hAnsi="Times New Roman" w:cs="Times New Roman"/>
        </w:rPr>
      </w:pPr>
      <w:r>
        <w:rPr>
          <w:rFonts w:ascii="Times New Roman" w:eastAsia="微軟正黑體" w:hAnsi="Times New Roman" w:cs="Times New Roman"/>
        </w:rPr>
        <w:lastRenderedPageBreak/>
        <w:t xml:space="preserve"> </w:t>
      </w:r>
      <w:r w:rsidR="008E7C4A" w:rsidRPr="00FD4EC1">
        <w:rPr>
          <w:rFonts w:ascii="Times New Roman" w:eastAsia="微軟正黑體" w:hAnsi="Times New Roman" w:cs="Times New Roman"/>
        </w:rPr>
        <w:t xml:space="preserve">Supplementary Table </w:t>
      </w:r>
      <w:r w:rsidR="008E7C4A">
        <w:rPr>
          <w:rFonts w:ascii="Times New Roman" w:eastAsia="微軟正黑體" w:hAnsi="Times New Roman" w:cs="Times New Roman"/>
        </w:rPr>
        <w:t xml:space="preserve">4 </w:t>
      </w:r>
    </w:p>
    <w:p w:rsidR="008E7C4A" w:rsidRPr="00162756" w:rsidRDefault="008E7C4A" w:rsidP="008E7C4A">
      <w:pPr>
        <w:rPr>
          <w:rFonts w:ascii="Times New Roman" w:eastAsia="微軟正黑體" w:hAnsi="Times New Roman" w:cs="Times New Roman"/>
        </w:rPr>
      </w:pPr>
    </w:p>
    <w:tbl>
      <w:tblPr>
        <w:tblW w:w="0" w:type="auto"/>
        <w:tblCellMar>
          <w:left w:w="28" w:type="dxa"/>
          <w:right w:w="28" w:type="dxa"/>
        </w:tblCellMar>
        <w:tblLook w:val="04A0" w:firstRow="1" w:lastRow="0" w:firstColumn="1" w:lastColumn="0" w:noHBand="0" w:noVBand="1"/>
      </w:tblPr>
      <w:tblGrid>
        <w:gridCol w:w="2871"/>
        <w:gridCol w:w="2010"/>
        <w:gridCol w:w="1855"/>
        <w:gridCol w:w="697"/>
        <w:gridCol w:w="1855"/>
        <w:gridCol w:w="697"/>
        <w:gridCol w:w="2623"/>
        <w:gridCol w:w="697"/>
        <w:gridCol w:w="697"/>
      </w:tblGrid>
      <w:tr w:rsidR="0048201C" w:rsidRPr="0048201C" w:rsidTr="0048201C">
        <w:trPr>
          <w:trHeight w:val="306"/>
        </w:trPr>
        <w:tc>
          <w:tcPr>
            <w:tcW w:w="0" w:type="auto"/>
            <w:gridSpan w:val="9"/>
            <w:tcBorders>
              <w:top w:val="nil"/>
              <w:left w:val="nil"/>
              <w:bottom w:val="single" w:sz="4" w:space="0" w:color="auto"/>
              <w:right w:val="nil"/>
            </w:tcBorders>
            <w:shd w:val="clear" w:color="auto" w:fill="auto"/>
            <w:noWrap/>
            <w:vAlign w:val="bottom"/>
            <w:hideMark/>
          </w:tcPr>
          <w:p w:rsidR="0048201C" w:rsidRPr="0048201C" w:rsidRDefault="0048201C" w:rsidP="00A9114A">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Table S</w:t>
            </w:r>
            <w:r w:rsidR="00A9114A">
              <w:rPr>
                <w:rFonts w:ascii="Times New Roman" w:eastAsia="新細明體" w:hAnsi="Times New Roman" w:cs="Times New Roman"/>
                <w:color w:val="000000"/>
                <w:kern w:val="0"/>
                <w:sz w:val="22"/>
              </w:rPr>
              <w:t>4</w:t>
            </w:r>
            <w:bookmarkStart w:id="0" w:name="_GoBack"/>
            <w:bookmarkEnd w:id="0"/>
            <w:r w:rsidRPr="0048201C">
              <w:rPr>
                <w:rFonts w:ascii="Times New Roman" w:eastAsia="新細明體" w:hAnsi="Times New Roman" w:cs="Times New Roman"/>
                <w:color w:val="000000"/>
                <w:kern w:val="0"/>
                <w:sz w:val="22"/>
              </w:rPr>
              <w:t xml:space="preserve"> Odds ratios/Hazard ratios of outcomes by GLP-1RA use in necrotizing soft tissue infection (SGLT-2i users excluded)</w:t>
            </w:r>
          </w:p>
        </w:tc>
      </w:tr>
      <w:tr w:rsidR="0048201C" w:rsidRPr="0048201C" w:rsidTr="0048201C">
        <w:trPr>
          <w:trHeight w:val="306"/>
        </w:trPr>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rPr>
                <w:rFonts w:ascii="Times New Roman" w:eastAsia="新細明體" w:hAnsi="Times New Roman" w:cs="Times New Roman"/>
                <w:color w:val="000000"/>
                <w:kern w:val="0"/>
                <w:sz w:val="22"/>
              </w:rPr>
            </w:pPr>
          </w:p>
        </w:tc>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rPr>
                <w:rFonts w:ascii="Times New Roman" w:eastAsia="Times New Roman" w:hAnsi="Times New Roman" w:cs="Times New Roman"/>
                <w:kern w:val="0"/>
                <w:sz w:val="20"/>
                <w:szCs w:val="20"/>
              </w:rPr>
            </w:pPr>
          </w:p>
        </w:tc>
        <w:tc>
          <w:tcPr>
            <w:tcW w:w="0" w:type="auto"/>
            <w:gridSpan w:val="2"/>
            <w:tcBorders>
              <w:top w:val="single" w:sz="4" w:space="0" w:color="auto"/>
              <w:left w:val="nil"/>
              <w:bottom w:val="nil"/>
              <w:right w:val="nil"/>
            </w:tcBorders>
            <w:shd w:val="clear" w:color="auto" w:fill="auto"/>
            <w:noWrap/>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User</w:t>
            </w:r>
          </w:p>
        </w:tc>
        <w:tc>
          <w:tcPr>
            <w:tcW w:w="0" w:type="auto"/>
            <w:gridSpan w:val="2"/>
            <w:tcBorders>
              <w:top w:val="single" w:sz="4" w:space="0" w:color="auto"/>
              <w:left w:val="nil"/>
              <w:bottom w:val="nil"/>
              <w:right w:val="nil"/>
            </w:tcBorders>
            <w:shd w:val="clear" w:color="auto" w:fill="auto"/>
            <w:noWrap/>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Non-user</w:t>
            </w:r>
          </w:p>
        </w:tc>
        <w:tc>
          <w:tcPr>
            <w:tcW w:w="0" w:type="auto"/>
            <w:tcBorders>
              <w:top w:val="nil"/>
              <w:left w:val="nil"/>
              <w:bottom w:val="nil"/>
              <w:right w:val="nil"/>
            </w:tcBorders>
            <w:shd w:val="clear" w:color="auto" w:fill="auto"/>
            <w:noWrap/>
            <w:hideMark/>
          </w:tcPr>
          <w:p w:rsidR="0048201C" w:rsidRPr="0048201C" w:rsidRDefault="0048201C" w:rsidP="0048201C">
            <w:pPr>
              <w:widowControl/>
              <w:jc w:val="center"/>
              <w:rPr>
                <w:rFonts w:ascii="Times New Roman" w:eastAsia="新細明體" w:hAnsi="Times New Roman" w:cs="Times New Roman"/>
                <w:color w:val="000000"/>
                <w:kern w:val="0"/>
                <w:sz w:val="22"/>
              </w:rPr>
            </w:pPr>
          </w:p>
        </w:tc>
        <w:tc>
          <w:tcPr>
            <w:tcW w:w="0" w:type="auto"/>
            <w:tcBorders>
              <w:top w:val="nil"/>
              <w:left w:val="nil"/>
              <w:bottom w:val="nil"/>
              <w:right w:val="nil"/>
            </w:tcBorders>
            <w:shd w:val="clear" w:color="auto" w:fill="auto"/>
            <w:noWrap/>
            <w:hideMark/>
          </w:tcPr>
          <w:p w:rsidR="0048201C" w:rsidRPr="0048201C" w:rsidRDefault="0048201C" w:rsidP="0048201C">
            <w:pPr>
              <w:widowControl/>
              <w:rPr>
                <w:rFonts w:ascii="Times New Roman" w:eastAsia="Times New Roman" w:hAnsi="Times New Roman" w:cs="Times New Roman"/>
                <w:kern w:val="0"/>
                <w:sz w:val="20"/>
                <w:szCs w:val="20"/>
              </w:rPr>
            </w:pPr>
          </w:p>
        </w:tc>
        <w:tc>
          <w:tcPr>
            <w:tcW w:w="0" w:type="auto"/>
            <w:tcBorders>
              <w:top w:val="nil"/>
              <w:left w:val="nil"/>
              <w:bottom w:val="nil"/>
              <w:right w:val="nil"/>
            </w:tcBorders>
            <w:shd w:val="clear" w:color="auto" w:fill="auto"/>
            <w:noWrap/>
            <w:hideMark/>
          </w:tcPr>
          <w:p w:rsidR="0048201C" w:rsidRPr="0048201C" w:rsidRDefault="0048201C" w:rsidP="0048201C">
            <w:pPr>
              <w:widowControl/>
              <w:rPr>
                <w:rFonts w:ascii="Times New Roman" w:eastAsia="Times New Roman" w:hAnsi="Times New Roman" w:cs="Times New Roman"/>
                <w:kern w:val="0"/>
                <w:sz w:val="20"/>
                <w:szCs w:val="20"/>
              </w:rPr>
            </w:pPr>
          </w:p>
        </w:tc>
      </w:tr>
      <w:tr w:rsidR="0048201C" w:rsidRPr="0048201C" w:rsidTr="0048201C">
        <w:trPr>
          <w:trHeight w:val="590"/>
        </w:trPr>
        <w:tc>
          <w:tcPr>
            <w:tcW w:w="0" w:type="auto"/>
            <w:tcBorders>
              <w:top w:val="nil"/>
              <w:left w:val="nil"/>
              <w:bottom w:val="single" w:sz="4" w:space="0" w:color="auto"/>
              <w:right w:val="nil"/>
            </w:tcBorders>
            <w:shd w:val="clear" w:color="auto" w:fill="auto"/>
            <w:noWrap/>
            <w:vAlign w:val="bottom"/>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　</w:t>
            </w:r>
          </w:p>
        </w:tc>
        <w:tc>
          <w:tcPr>
            <w:tcW w:w="0" w:type="auto"/>
            <w:tcBorders>
              <w:top w:val="nil"/>
              <w:left w:val="nil"/>
              <w:bottom w:val="single" w:sz="4" w:space="0" w:color="auto"/>
              <w:right w:val="nil"/>
            </w:tcBorders>
            <w:shd w:val="clear" w:color="auto" w:fill="auto"/>
            <w:noWrap/>
            <w:vAlign w:val="bottom"/>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　</w:t>
            </w:r>
          </w:p>
        </w:tc>
        <w:tc>
          <w:tcPr>
            <w:tcW w:w="0" w:type="auto"/>
            <w:tcBorders>
              <w:top w:val="nil"/>
              <w:left w:val="nil"/>
              <w:bottom w:val="single" w:sz="4" w:space="0" w:color="auto"/>
              <w:right w:val="nil"/>
            </w:tcBorders>
            <w:shd w:val="clear" w:color="auto" w:fill="auto"/>
            <w:noWrap/>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Outcome (n)</w:t>
            </w:r>
          </w:p>
        </w:tc>
        <w:tc>
          <w:tcPr>
            <w:tcW w:w="0" w:type="auto"/>
            <w:tcBorders>
              <w:top w:val="nil"/>
              <w:left w:val="nil"/>
              <w:bottom w:val="single" w:sz="4" w:space="0" w:color="auto"/>
              <w:right w:val="nil"/>
            </w:tcBorders>
            <w:shd w:val="clear" w:color="auto" w:fill="auto"/>
            <w:noWrap/>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w:t>
            </w:r>
          </w:p>
        </w:tc>
        <w:tc>
          <w:tcPr>
            <w:tcW w:w="0" w:type="auto"/>
            <w:tcBorders>
              <w:top w:val="nil"/>
              <w:left w:val="nil"/>
              <w:bottom w:val="single" w:sz="4" w:space="0" w:color="auto"/>
              <w:right w:val="nil"/>
            </w:tcBorders>
            <w:shd w:val="clear" w:color="auto" w:fill="auto"/>
            <w:noWrap/>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Outcome (n)</w:t>
            </w:r>
          </w:p>
        </w:tc>
        <w:tc>
          <w:tcPr>
            <w:tcW w:w="0" w:type="auto"/>
            <w:tcBorders>
              <w:top w:val="nil"/>
              <w:left w:val="nil"/>
              <w:bottom w:val="single" w:sz="4" w:space="0" w:color="auto"/>
              <w:right w:val="nil"/>
            </w:tcBorders>
            <w:shd w:val="clear" w:color="auto" w:fill="auto"/>
            <w:noWrap/>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w:t>
            </w:r>
          </w:p>
        </w:tc>
        <w:tc>
          <w:tcPr>
            <w:tcW w:w="0" w:type="auto"/>
            <w:tcBorders>
              <w:top w:val="nil"/>
              <w:left w:val="nil"/>
              <w:bottom w:val="single" w:sz="4" w:space="0" w:color="auto"/>
              <w:right w:val="nil"/>
            </w:tcBorders>
            <w:shd w:val="clear" w:color="auto" w:fill="auto"/>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Odds ratio</w:t>
            </w:r>
            <w:r>
              <w:rPr>
                <w:rFonts w:ascii="Times New Roman" w:eastAsia="新細明體" w:hAnsi="Times New Roman" w:cs="Times New Roman"/>
                <w:color w:val="000000"/>
                <w:kern w:val="0"/>
                <w:sz w:val="22"/>
              </w:rPr>
              <w:t>/Hazard ratio</w:t>
            </w:r>
          </w:p>
        </w:tc>
        <w:tc>
          <w:tcPr>
            <w:tcW w:w="0" w:type="auto"/>
            <w:gridSpan w:val="2"/>
            <w:tcBorders>
              <w:top w:val="nil"/>
              <w:left w:val="nil"/>
              <w:bottom w:val="single" w:sz="4" w:space="0" w:color="auto"/>
              <w:right w:val="nil"/>
            </w:tcBorders>
            <w:shd w:val="clear" w:color="auto" w:fill="auto"/>
            <w:noWrap/>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95% CI</w:t>
            </w:r>
          </w:p>
        </w:tc>
      </w:tr>
      <w:tr w:rsidR="0048201C" w:rsidRPr="0048201C" w:rsidTr="0048201C">
        <w:trPr>
          <w:trHeight w:val="306"/>
        </w:trPr>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Mortality</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Three months</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23</w:t>
            </w:r>
          </w:p>
        </w:tc>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2.1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45</w:t>
            </w:r>
          </w:p>
        </w:tc>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4.1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0.51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0.31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0.85 </w:t>
            </w:r>
          </w:p>
        </w:tc>
      </w:tr>
      <w:tr w:rsidR="0048201C" w:rsidRPr="0048201C" w:rsidTr="0048201C">
        <w:trPr>
          <w:trHeight w:val="306"/>
        </w:trPr>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jc w:val="center"/>
              <w:rPr>
                <w:rFonts w:ascii="Times New Roman" w:eastAsia="新細明體"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Six months</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31</w:t>
            </w:r>
          </w:p>
        </w:tc>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2.8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55</w:t>
            </w:r>
          </w:p>
        </w:tc>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5.0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0.56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0.36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0.88 </w:t>
            </w:r>
          </w:p>
        </w:tc>
      </w:tr>
      <w:tr w:rsidR="0048201C" w:rsidRPr="0048201C" w:rsidTr="0048201C">
        <w:trPr>
          <w:trHeight w:val="306"/>
        </w:trPr>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Acute kidney injury</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Three months</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86</w:t>
            </w:r>
          </w:p>
        </w:tc>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7.8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91</w:t>
            </w:r>
          </w:p>
        </w:tc>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8.3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0.94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0.69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1.28 </w:t>
            </w:r>
          </w:p>
        </w:tc>
      </w:tr>
      <w:tr w:rsidR="0048201C" w:rsidRPr="0048201C" w:rsidTr="0048201C">
        <w:trPr>
          <w:trHeight w:val="306"/>
        </w:trPr>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jc w:val="center"/>
              <w:rPr>
                <w:rFonts w:ascii="Times New Roman" w:eastAsia="新細明體"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Six months</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109</w:t>
            </w:r>
          </w:p>
        </w:tc>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9.9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113</w:t>
            </w:r>
          </w:p>
        </w:tc>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10.3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0.96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0.73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1.27 </w:t>
            </w:r>
          </w:p>
        </w:tc>
      </w:tr>
      <w:tr w:rsidR="0048201C" w:rsidRPr="0048201C" w:rsidTr="0048201C">
        <w:trPr>
          <w:trHeight w:val="306"/>
        </w:trPr>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MACE</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Three months</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136</w:t>
            </w:r>
          </w:p>
        </w:tc>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12.4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179</w:t>
            </w:r>
          </w:p>
        </w:tc>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16.3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0.73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0.57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0.92 </w:t>
            </w:r>
          </w:p>
        </w:tc>
      </w:tr>
      <w:tr w:rsidR="0048201C" w:rsidRPr="0048201C" w:rsidTr="0048201C">
        <w:trPr>
          <w:trHeight w:val="306"/>
        </w:trPr>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jc w:val="center"/>
              <w:rPr>
                <w:rFonts w:ascii="Times New Roman" w:eastAsia="新細明體"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Six months</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170</w:t>
            </w:r>
          </w:p>
        </w:tc>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15.5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206</w:t>
            </w:r>
          </w:p>
        </w:tc>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18.8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0.79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0.63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0.99 </w:t>
            </w:r>
          </w:p>
        </w:tc>
      </w:tr>
      <w:tr w:rsidR="0048201C" w:rsidRPr="0048201C" w:rsidTr="0048201C">
        <w:trPr>
          <w:trHeight w:val="306"/>
        </w:trPr>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ARDS</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Three months</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18</w:t>
            </w:r>
          </w:p>
        </w:tc>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1.6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44</w:t>
            </w:r>
          </w:p>
        </w:tc>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4.0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0.40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0.23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0.70 </w:t>
            </w:r>
          </w:p>
        </w:tc>
      </w:tr>
      <w:tr w:rsidR="0048201C" w:rsidRPr="0048201C" w:rsidTr="0048201C">
        <w:trPr>
          <w:trHeight w:val="306"/>
        </w:trPr>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jc w:val="center"/>
              <w:rPr>
                <w:rFonts w:ascii="Times New Roman" w:eastAsia="新細明體"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Six months</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25</w:t>
            </w:r>
          </w:p>
        </w:tc>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2.3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54</w:t>
            </w:r>
          </w:p>
        </w:tc>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4.9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0.45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0.28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0.73 </w:t>
            </w:r>
          </w:p>
        </w:tc>
      </w:tr>
      <w:tr w:rsidR="0048201C" w:rsidRPr="0048201C" w:rsidTr="0048201C">
        <w:trPr>
          <w:trHeight w:val="306"/>
        </w:trPr>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Blood transfusion</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Three months</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27</w:t>
            </w:r>
          </w:p>
        </w:tc>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2.5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34</w:t>
            </w:r>
          </w:p>
        </w:tc>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3.1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0.79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0.47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1.32 </w:t>
            </w:r>
          </w:p>
        </w:tc>
      </w:tr>
      <w:tr w:rsidR="0048201C" w:rsidRPr="0048201C" w:rsidTr="0048201C">
        <w:trPr>
          <w:trHeight w:val="306"/>
        </w:trPr>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jc w:val="center"/>
              <w:rPr>
                <w:rFonts w:ascii="Times New Roman" w:eastAsia="新細明體"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Six months</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34</w:t>
            </w:r>
          </w:p>
        </w:tc>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3.1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36</w:t>
            </w:r>
          </w:p>
        </w:tc>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3.3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0.94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0.59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1.52 </w:t>
            </w:r>
          </w:p>
        </w:tc>
      </w:tr>
      <w:tr w:rsidR="0048201C" w:rsidRPr="0048201C" w:rsidTr="0048201C">
        <w:trPr>
          <w:trHeight w:val="306"/>
        </w:trPr>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Amputation</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Three months</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61</w:t>
            </w:r>
          </w:p>
        </w:tc>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5.6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105</w:t>
            </w:r>
          </w:p>
        </w:tc>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9.6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0.56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0.40 </w:t>
            </w:r>
          </w:p>
        </w:tc>
        <w:tc>
          <w:tcPr>
            <w:tcW w:w="0" w:type="auto"/>
            <w:tcBorders>
              <w:top w:val="nil"/>
              <w:left w:val="nil"/>
              <w:bottom w:val="nil"/>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0.77 </w:t>
            </w:r>
          </w:p>
        </w:tc>
      </w:tr>
      <w:tr w:rsidR="0048201C" w:rsidRPr="0048201C" w:rsidTr="0048201C">
        <w:trPr>
          <w:trHeight w:val="306"/>
        </w:trPr>
        <w:tc>
          <w:tcPr>
            <w:tcW w:w="0" w:type="auto"/>
            <w:tcBorders>
              <w:top w:val="nil"/>
              <w:left w:val="nil"/>
              <w:bottom w:val="single" w:sz="4" w:space="0" w:color="auto"/>
              <w:right w:val="nil"/>
            </w:tcBorders>
            <w:shd w:val="clear" w:color="auto" w:fill="auto"/>
            <w:noWrap/>
            <w:vAlign w:val="bottom"/>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　</w:t>
            </w:r>
          </w:p>
        </w:tc>
        <w:tc>
          <w:tcPr>
            <w:tcW w:w="0" w:type="auto"/>
            <w:tcBorders>
              <w:top w:val="nil"/>
              <w:left w:val="nil"/>
              <w:bottom w:val="single" w:sz="4" w:space="0" w:color="auto"/>
              <w:right w:val="nil"/>
            </w:tcBorders>
            <w:shd w:val="clear" w:color="auto" w:fill="auto"/>
            <w:noWrap/>
            <w:vAlign w:val="center"/>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Six months</w:t>
            </w:r>
          </w:p>
        </w:tc>
        <w:tc>
          <w:tcPr>
            <w:tcW w:w="0" w:type="auto"/>
            <w:tcBorders>
              <w:top w:val="nil"/>
              <w:left w:val="nil"/>
              <w:bottom w:val="single" w:sz="4" w:space="0" w:color="auto"/>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65</w:t>
            </w:r>
          </w:p>
        </w:tc>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5.9 </w:t>
            </w:r>
          </w:p>
        </w:tc>
        <w:tc>
          <w:tcPr>
            <w:tcW w:w="0" w:type="auto"/>
            <w:tcBorders>
              <w:top w:val="nil"/>
              <w:left w:val="nil"/>
              <w:bottom w:val="single" w:sz="4" w:space="0" w:color="auto"/>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120</w:t>
            </w:r>
          </w:p>
        </w:tc>
        <w:tc>
          <w:tcPr>
            <w:tcW w:w="0" w:type="auto"/>
            <w:tcBorders>
              <w:top w:val="nil"/>
              <w:left w:val="nil"/>
              <w:bottom w:val="nil"/>
              <w:right w:val="nil"/>
            </w:tcBorders>
            <w:shd w:val="clear" w:color="auto" w:fill="auto"/>
            <w:noWrap/>
            <w:vAlign w:val="bottom"/>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10.9 </w:t>
            </w:r>
          </w:p>
        </w:tc>
        <w:tc>
          <w:tcPr>
            <w:tcW w:w="0" w:type="auto"/>
            <w:tcBorders>
              <w:top w:val="nil"/>
              <w:left w:val="nil"/>
              <w:bottom w:val="single" w:sz="4" w:space="0" w:color="auto"/>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0.51 </w:t>
            </w:r>
          </w:p>
        </w:tc>
        <w:tc>
          <w:tcPr>
            <w:tcW w:w="0" w:type="auto"/>
            <w:tcBorders>
              <w:top w:val="nil"/>
              <w:left w:val="nil"/>
              <w:bottom w:val="single" w:sz="4" w:space="0" w:color="auto"/>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0.37 </w:t>
            </w:r>
          </w:p>
        </w:tc>
        <w:tc>
          <w:tcPr>
            <w:tcW w:w="0" w:type="auto"/>
            <w:tcBorders>
              <w:top w:val="nil"/>
              <w:left w:val="nil"/>
              <w:bottom w:val="single" w:sz="4" w:space="0" w:color="auto"/>
              <w:right w:val="nil"/>
            </w:tcBorders>
            <w:shd w:val="clear" w:color="auto" w:fill="auto"/>
            <w:noWrap/>
            <w:vAlign w:val="center"/>
            <w:hideMark/>
          </w:tcPr>
          <w:p w:rsidR="0048201C" w:rsidRPr="0048201C" w:rsidRDefault="0048201C" w:rsidP="0048201C">
            <w:pPr>
              <w:widowControl/>
              <w:jc w:val="center"/>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 xml:space="preserve">0.70 </w:t>
            </w:r>
          </w:p>
        </w:tc>
      </w:tr>
      <w:tr w:rsidR="0048201C" w:rsidRPr="0048201C" w:rsidTr="0048201C">
        <w:trPr>
          <w:trHeight w:val="306"/>
        </w:trPr>
        <w:tc>
          <w:tcPr>
            <w:tcW w:w="0" w:type="auto"/>
            <w:gridSpan w:val="9"/>
            <w:tcBorders>
              <w:top w:val="nil"/>
              <w:left w:val="nil"/>
              <w:bottom w:val="nil"/>
              <w:right w:val="nil"/>
            </w:tcBorders>
            <w:shd w:val="clear" w:color="auto" w:fill="auto"/>
            <w:noWrap/>
            <w:vAlign w:val="bottom"/>
            <w:hideMark/>
          </w:tcPr>
          <w:p w:rsidR="0048201C" w:rsidRPr="0048201C" w:rsidRDefault="0048201C" w:rsidP="0048201C">
            <w:pPr>
              <w:widowControl/>
              <w:rPr>
                <w:rFonts w:ascii="Times New Roman" w:eastAsia="新細明體" w:hAnsi="Times New Roman" w:cs="Times New Roman"/>
                <w:color w:val="000000"/>
                <w:kern w:val="0"/>
                <w:sz w:val="22"/>
              </w:rPr>
            </w:pPr>
            <w:r w:rsidRPr="0048201C">
              <w:rPr>
                <w:rFonts w:ascii="Times New Roman" w:eastAsia="新細明體" w:hAnsi="Times New Roman" w:cs="Times New Roman"/>
                <w:color w:val="000000"/>
                <w:kern w:val="0"/>
                <w:sz w:val="22"/>
              </w:rPr>
              <w:t>CI: confidence interval; GLP1-RA: glucagon-like peptide-1 receptor agonist; MACE: major adverse cardiac events; ARDS: acute respiratory distress syndrome</w:t>
            </w:r>
          </w:p>
        </w:tc>
      </w:tr>
    </w:tbl>
    <w:p w:rsidR="0001405B" w:rsidRPr="0048201C" w:rsidRDefault="0001405B">
      <w:pPr>
        <w:rPr>
          <w:rFonts w:ascii="Times New Roman" w:eastAsia="微軟正黑體" w:hAnsi="Times New Roman" w:cs="Times New Roman"/>
        </w:rPr>
        <w:sectPr w:rsidR="0001405B" w:rsidRPr="0048201C" w:rsidSect="0001405B">
          <w:pgSz w:w="16838" w:h="11906" w:orient="landscape"/>
          <w:pgMar w:top="1418" w:right="1418" w:bottom="1418" w:left="1418" w:header="851" w:footer="992" w:gutter="0"/>
          <w:cols w:space="425"/>
          <w:docGrid w:type="linesAndChars" w:linePitch="360"/>
        </w:sectPr>
      </w:pPr>
    </w:p>
    <w:p w:rsidR="0001405B" w:rsidRPr="00162756" w:rsidRDefault="0001405B" w:rsidP="008E7C4A">
      <w:pPr>
        <w:rPr>
          <w:rFonts w:ascii="Times New Roman" w:eastAsia="微軟正黑體" w:hAnsi="Times New Roman" w:cs="Times New Roman"/>
        </w:rPr>
      </w:pPr>
    </w:p>
    <w:sectPr w:rsidR="0001405B" w:rsidRPr="00162756" w:rsidSect="00FD4EC1">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70DF" w:rsidRDefault="00ED70DF" w:rsidP="00FD4EC1">
      <w:r>
        <w:separator/>
      </w:r>
    </w:p>
  </w:endnote>
  <w:endnote w:type="continuationSeparator" w:id="0">
    <w:p w:rsidR="00ED70DF" w:rsidRDefault="00ED70DF" w:rsidP="00FD4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70DF" w:rsidRDefault="00ED70DF" w:rsidP="00FD4EC1">
      <w:r>
        <w:separator/>
      </w:r>
    </w:p>
  </w:footnote>
  <w:footnote w:type="continuationSeparator" w:id="0">
    <w:p w:rsidR="00ED70DF" w:rsidRDefault="00ED70DF" w:rsidP="00FD4E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347"/>
    <w:rsid w:val="0001405B"/>
    <w:rsid w:val="00042852"/>
    <w:rsid w:val="000B1C0F"/>
    <w:rsid w:val="000C6BA2"/>
    <w:rsid w:val="0010084E"/>
    <w:rsid w:val="00140CD7"/>
    <w:rsid w:val="00162756"/>
    <w:rsid w:val="00175F21"/>
    <w:rsid w:val="00190085"/>
    <w:rsid w:val="00194437"/>
    <w:rsid w:val="001B303D"/>
    <w:rsid w:val="001C5957"/>
    <w:rsid w:val="001C7976"/>
    <w:rsid w:val="001D530F"/>
    <w:rsid w:val="002247E5"/>
    <w:rsid w:val="0023185E"/>
    <w:rsid w:val="00301BC1"/>
    <w:rsid w:val="003062B3"/>
    <w:rsid w:val="00320144"/>
    <w:rsid w:val="00320302"/>
    <w:rsid w:val="00344A6D"/>
    <w:rsid w:val="00360213"/>
    <w:rsid w:val="003B6D85"/>
    <w:rsid w:val="003F4ADB"/>
    <w:rsid w:val="00464373"/>
    <w:rsid w:val="004716C6"/>
    <w:rsid w:val="0048174A"/>
    <w:rsid w:val="0048201C"/>
    <w:rsid w:val="004A2071"/>
    <w:rsid w:val="004A76E1"/>
    <w:rsid w:val="004B744A"/>
    <w:rsid w:val="0051662C"/>
    <w:rsid w:val="005357B5"/>
    <w:rsid w:val="005832E5"/>
    <w:rsid w:val="00593A82"/>
    <w:rsid w:val="005B16B7"/>
    <w:rsid w:val="005E21C9"/>
    <w:rsid w:val="006075D7"/>
    <w:rsid w:val="00620347"/>
    <w:rsid w:val="006733FC"/>
    <w:rsid w:val="006769B1"/>
    <w:rsid w:val="006864F5"/>
    <w:rsid w:val="006C483E"/>
    <w:rsid w:val="006C7AC5"/>
    <w:rsid w:val="007320C5"/>
    <w:rsid w:val="00745230"/>
    <w:rsid w:val="00762855"/>
    <w:rsid w:val="007D76D5"/>
    <w:rsid w:val="007F412F"/>
    <w:rsid w:val="00832626"/>
    <w:rsid w:val="008A32A2"/>
    <w:rsid w:val="008D4AA2"/>
    <w:rsid w:val="008E7C4A"/>
    <w:rsid w:val="00974E86"/>
    <w:rsid w:val="00993E72"/>
    <w:rsid w:val="009A0B48"/>
    <w:rsid w:val="009B0E81"/>
    <w:rsid w:val="00A23FD6"/>
    <w:rsid w:val="00A9114A"/>
    <w:rsid w:val="00AC286D"/>
    <w:rsid w:val="00AE2957"/>
    <w:rsid w:val="00B0512F"/>
    <w:rsid w:val="00B569CD"/>
    <w:rsid w:val="00B62BD5"/>
    <w:rsid w:val="00B75F44"/>
    <w:rsid w:val="00C210AD"/>
    <w:rsid w:val="00C2716D"/>
    <w:rsid w:val="00C55819"/>
    <w:rsid w:val="00C915D7"/>
    <w:rsid w:val="00CE394B"/>
    <w:rsid w:val="00D02BC2"/>
    <w:rsid w:val="00D17CA1"/>
    <w:rsid w:val="00D23ED1"/>
    <w:rsid w:val="00D46D77"/>
    <w:rsid w:val="00D72725"/>
    <w:rsid w:val="00DA4896"/>
    <w:rsid w:val="00E3061F"/>
    <w:rsid w:val="00ED70DF"/>
    <w:rsid w:val="00EF2DF8"/>
    <w:rsid w:val="00FC0189"/>
    <w:rsid w:val="00FD4EC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3923552-B7FD-46E9-95BD-2F203E5CE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744A"/>
    <w:pPr>
      <w:widowControl w:val="0"/>
    </w:pPr>
  </w:style>
  <w:style w:type="paragraph" w:styleId="1">
    <w:name w:val="heading 1"/>
    <w:basedOn w:val="a"/>
    <w:next w:val="a"/>
    <w:link w:val="10"/>
    <w:uiPriority w:val="9"/>
    <w:qFormat/>
    <w:rsid w:val="00762855"/>
    <w:pPr>
      <w:keepNext/>
      <w:keepLines/>
      <w:widowControl/>
      <w:spacing w:before="240"/>
      <w:outlineLvl w:val="0"/>
    </w:pPr>
    <w:rPr>
      <w:rFonts w:asciiTheme="majorHAnsi" w:eastAsiaTheme="majorEastAsia" w:hAnsiTheme="majorHAnsi" w:cstheme="majorBidi"/>
      <w:color w:val="2E74B5" w:themeColor="accent1" w:themeShade="BF"/>
      <w:kern w:val="0"/>
      <w:sz w:val="32"/>
      <w:szCs w:val="32"/>
      <w:lang w:eastAsia="en-US"/>
    </w:rPr>
  </w:style>
  <w:style w:type="paragraph" w:styleId="2">
    <w:name w:val="heading 2"/>
    <w:basedOn w:val="a"/>
    <w:next w:val="a"/>
    <w:link w:val="20"/>
    <w:uiPriority w:val="9"/>
    <w:unhideWhenUsed/>
    <w:qFormat/>
    <w:rsid w:val="00762855"/>
    <w:pPr>
      <w:keepNext/>
      <w:keepLines/>
      <w:widowControl/>
      <w:spacing w:before="40"/>
      <w:outlineLvl w:val="1"/>
    </w:pPr>
    <w:rPr>
      <w:rFonts w:asciiTheme="majorHAnsi" w:eastAsiaTheme="majorEastAsia" w:hAnsiTheme="majorHAnsi" w:cstheme="majorBidi"/>
      <w:color w:val="2E74B5" w:themeColor="accent1" w:themeShade="BF"/>
      <w:kern w:val="0"/>
      <w:sz w:val="26"/>
      <w:szCs w:val="26"/>
      <w:lang w:eastAsia="en-US"/>
    </w:rPr>
  </w:style>
  <w:style w:type="paragraph" w:styleId="3">
    <w:name w:val="heading 3"/>
    <w:basedOn w:val="a"/>
    <w:next w:val="a"/>
    <w:link w:val="30"/>
    <w:uiPriority w:val="9"/>
    <w:unhideWhenUsed/>
    <w:qFormat/>
    <w:rsid w:val="00762855"/>
    <w:pPr>
      <w:keepNext/>
      <w:keepLines/>
      <w:widowControl/>
      <w:spacing w:before="40"/>
      <w:outlineLvl w:val="2"/>
    </w:pPr>
    <w:rPr>
      <w:rFonts w:asciiTheme="majorHAnsi" w:eastAsiaTheme="majorEastAsia" w:hAnsiTheme="majorHAnsi" w:cstheme="majorBidi"/>
      <w:color w:val="1F4D78" w:themeColor="accent1" w:themeShade="7F"/>
      <w:kern w:val="0"/>
      <w:sz w:val="21"/>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4EC1"/>
    <w:pPr>
      <w:tabs>
        <w:tab w:val="center" w:pos="4153"/>
        <w:tab w:val="right" w:pos="8306"/>
      </w:tabs>
      <w:snapToGrid w:val="0"/>
    </w:pPr>
    <w:rPr>
      <w:sz w:val="20"/>
      <w:szCs w:val="20"/>
    </w:rPr>
  </w:style>
  <w:style w:type="character" w:customStyle="1" w:styleId="a4">
    <w:name w:val="頁首 字元"/>
    <w:basedOn w:val="a0"/>
    <w:link w:val="a3"/>
    <w:uiPriority w:val="99"/>
    <w:rsid w:val="00FD4EC1"/>
    <w:rPr>
      <w:sz w:val="20"/>
      <w:szCs w:val="20"/>
    </w:rPr>
  </w:style>
  <w:style w:type="paragraph" w:styleId="a5">
    <w:name w:val="footer"/>
    <w:basedOn w:val="a"/>
    <w:link w:val="a6"/>
    <w:uiPriority w:val="99"/>
    <w:unhideWhenUsed/>
    <w:rsid w:val="00FD4EC1"/>
    <w:pPr>
      <w:tabs>
        <w:tab w:val="center" w:pos="4153"/>
        <w:tab w:val="right" w:pos="8306"/>
      </w:tabs>
      <w:snapToGrid w:val="0"/>
    </w:pPr>
    <w:rPr>
      <w:sz w:val="20"/>
      <w:szCs w:val="20"/>
    </w:rPr>
  </w:style>
  <w:style w:type="character" w:customStyle="1" w:styleId="a6">
    <w:name w:val="頁尾 字元"/>
    <w:basedOn w:val="a0"/>
    <w:link w:val="a5"/>
    <w:uiPriority w:val="99"/>
    <w:rsid w:val="00FD4EC1"/>
    <w:rPr>
      <w:sz w:val="20"/>
      <w:szCs w:val="20"/>
    </w:rPr>
  </w:style>
  <w:style w:type="table" w:styleId="2-4">
    <w:name w:val="List Table 2 Accent 4"/>
    <w:basedOn w:val="a1"/>
    <w:uiPriority w:val="47"/>
    <w:rsid w:val="00FD4EC1"/>
    <w:rPr>
      <w:kern w:val="0"/>
      <w:szCs w:val="24"/>
      <w:lang w:eastAsia="en-US"/>
    </w:rPr>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10">
    <w:name w:val="標題 1 字元"/>
    <w:basedOn w:val="a0"/>
    <w:link w:val="1"/>
    <w:uiPriority w:val="9"/>
    <w:rsid w:val="00762855"/>
    <w:rPr>
      <w:rFonts w:asciiTheme="majorHAnsi" w:eastAsiaTheme="majorEastAsia" w:hAnsiTheme="majorHAnsi" w:cstheme="majorBidi"/>
      <w:color w:val="2E74B5" w:themeColor="accent1" w:themeShade="BF"/>
      <w:kern w:val="0"/>
      <w:sz w:val="32"/>
      <w:szCs w:val="32"/>
      <w:lang w:eastAsia="en-US"/>
    </w:rPr>
  </w:style>
  <w:style w:type="character" w:customStyle="1" w:styleId="20">
    <w:name w:val="標題 2 字元"/>
    <w:basedOn w:val="a0"/>
    <w:link w:val="2"/>
    <w:uiPriority w:val="9"/>
    <w:rsid w:val="00762855"/>
    <w:rPr>
      <w:rFonts w:asciiTheme="majorHAnsi" w:eastAsiaTheme="majorEastAsia" w:hAnsiTheme="majorHAnsi" w:cstheme="majorBidi"/>
      <w:color w:val="2E74B5" w:themeColor="accent1" w:themeShade="BF"/>
      <w:kern w:val="0"/>
      <w:sz w:val="26"/>
      <w:szCs w:val="26"/>
      <w:lang w:eastAsia="en-US"/>
    </w:rPr>
  </w:style>
  <w:style w:type="character" w:customStyle="1" w:styleId="30">
    <w:name w:val="標題 3 字元"/>
    <w:basedOn w:val="a0"/>
    <w:link w:val="3"/>
    <w:uiPriority w:val="9"/>
    <w:rsid w:val="00762855"/>
    <w:rPr>
      <w:rFonts w:asciiTheme="majorHAnsi" w:eastAsiaTheme="majorEastAsia" w:hAnsiTheme="majorHAnsi" w:cstheme="majorBidi"/>
      <w:color w:val="1F4D78" w:themeColor="accent1" w:themeShade="7F"/>
      <w:kern w:val="0"/>
      <w:sz w:val="21"/>
      <w:szCs w:val="24"/>
      <w:lang w:eastAsia="en-US"/>
    </w:rPr>
  </w:style>
  <w:style w:type="character" w:customStyle="1" w:styleId="a7">
    <w:name w:val="標題 字元"/>
    <w:basedOn w:val="a0"/>
    <w:link w:val="a8"/>
    <w:uiPriority w:val="10"/>
    <w:rsid w:val="00762855"/>
    <w:rPr>
      <w:rFonts w:asciiTheme="majorHAnsi" w:eastAsiaTheme="majorEastAsia" w:hAnsiTheme="majorHAnsi" w:cstheme="majorBidi"/>
      <w:spacing w:val="-10"/>
      <w:kern w:val="28"/>
      <w:sz w:val="56"/>
      <w:szCs w:val="56"/>
      <w:lang w:eastAsia="en-US"/>
    </w:rPr>
  </w:style>
  <w:style w:type="paragraph" w:styleId="a8">
    <w:name w:val="Title"/>
    <w:basedOn w:val="a"/>
    <w:next w:val="a"/>
    <w:link w:val="a7"/>
    <w:uiPriority w:val="10"/>
    <w:qFormat/>
    <w:rsid w:val="00762855"/>
    <w:pPr>
      <w:widowControl/>
      <w:contextualSpacing/>
    </w:pPr>
    <w:rPr>
      <w:rFonts w:asciiTheme="majorHAnsi" w:eastAsiaTheme="majorEastAsia" w:hAnsiTheme="majorHAnsi" w:cstheme="majorBidi"/>
      <w:spacing w:val="-10"/>
      <w:kern w:val="28"/>
      <w:sz w:val="56"/>
      <w:szCs w:val="56"/>
      <w:lang w:eastAsia="en-US"/>
    </w:rPr>
  </w:style>
  <w:style w:type="character" w:customStyle="1" w:styleId="a9">
    <w:name w:val="副標題 字元"/>
    <w:basedOn w:val="a0"/>
    <w:link w:val="aa"/>
    <w:uiPriority w:val="11"/>
    <w:rsid w:val="00762855"/>
    <w:rPr>
      <w:color w:val="5A5A5A" w:themeColor="text1" w:themeTint="A5"/>
      <w:spacing w:val="15"/>
      <w:kern w:val="0"/>
      <w:sz w:val="22"/>
      <w:lang w:eastAsia="en-US"/>
    </w:rPr>
  </w:style>
  <w:style w:type="paragraph" w:styleId="aa">
    <w:name w:val="Subtitle"/>
    <w:basedOn w:val="a"/>
    <w:next w:val="a"/>
    <w:link w:val="a9"/>
    <w:uiPriority w:val="11"/>
    <w:qFormat/>
    <w:rsid w:val="00762855"/>
    <w:pPr>
      <w:widowControl/>
      <w:numPr>
        <w:ilvl w:val="1"/>
      </w:numPr>
      <w:spacing w:after="160"/>
    </w:pPr>
    <w:rPr>
      <w:color w:val="5A5A5A" w:themeColor="text1" w:themeTint="A5"/>
      <w:spacing w:val="15"/>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506489">
      <w:bodyDiv w:val="1"/>
      <w:marLeft w:val="0"/>
      <w:marRight w:val="0"/>
      <w:marTop w:val="0"/>
      <w:marBottom w:val="0"/>
      <w:divBdr>
        <w:top w:val="none" w:sz="0" w:space="0" w:color="auto"/>
        <w:left w:val="none" w:sz="0" w:space="0" w:color="auto"/>
        <w:bottom w:val="none" w:sz="0" w:space="0" w:color="auto"/>
        <w:right w:val="none" w:sz="0" w:space="0" w:color="auto"/>
      </w:divBdr>
    </w:div>
    <w:div w:id="499928480">
      <w:bodyDiv w:val="1"/>
      <w:marLeft w:val="0"/>
      <w:marRight w:val="0"/>
      <w:marTop w:val="0"/>
      <w:marBottom w:val="0"/>
      <w:divBdr>
        <w:top w:val="none" w:sz="0" w:space="0" w:color="auto"/>
        <w:left w:val="none" w:sz="0" w:space="0" w:color="auto"/>
        <w:bottom w:val="none" w:sz="0" w:space="0" w:color="auto"/>
        <w:right w:val="none" w:sz="0" w:space="0" w:color="auto"/>
      </w:divBdr>
    </w:div>
    <w:div w:id="547913324">
      <w:bodyDiv w:val="1"/>
      <w:marLeft w:val="0"/>
      <w:marRight w:val="0"/>
      <w:marTop w:val="0"/>
      <w:marBottom w:val="0"/>
      <w:divBdr>
        <w:top w:val="none" w:sz="0" w:space="0" w:color="auto"/>
        <w:left w:val="none" w:sz="0" w:space="0" w:color="auto"/>
        <w:bottom w:val="none" w:sz="0" w:space="0" w:color="auto"/>
        <w:right w:val="none" w:sz="0" w:space="0" w:color="auto"/>
      </w:divBdr>
    </w:div>
    <w:div w:id="563490475">
      <w:bodyDiv w:val="1"/>
      <w:marLeft w:val="0"/>
      <w:marRight w:val="0"/>
      <w:marTop w:val="0"/>
      <w:marBottom w:val="0"/>
      <w:divBdr>
        <w:top w:val="none" w:sz="0" w:space="0" w:color="auto"/>
        <w:left w:val="none" w:sz="0" w:space="0" w:color="auto"/>
        <w:bottom w:val="none" w:sz="0" w:space="0" w:color="auto"/>
        <w:right w:val="none" w:sz="0" w:space="0" w:color="auto"/>
      </w:divBdr>
    </w:div>
    <w:div w:id="678194847">
      <w:bodyDiv w:val="1"/>
      <w:marLeft w:val="0"/>
      <w:marRight w:val="0"/>
      <w:marTop w:val="0"/>
      <w:marBottom w:val="0"/>
      <w:divBdr>
        <w:top w:val="none" w:sz="0" w:space="0" w:color="auto"/>
        <w:left w:val="none" w:sz="0" w:space="0" w:color="auto"/>
        <w:bottom w:val="none" w:sz="0" w:space="0" w:color="auto"/>
        <w:right w:val="none" w:sz="0" w:space="0" w:color="auto"/>
      </w:divBdr>
    </w:div>
    <w:div w:id="848253435">
      <w:bodyDiv w:val="1"/>
      <w:marLeft w:val="0"/>
      <w:marRight w:val="0"/>
      <w:marTop w:val="0"/>
      <w:marBottom w:val="0"/>
      <w:divBdr>
        <w:top w:val="none" w:sz="0" w:space="0" w:color="auto"/>
        <w:left w:val="none" w:sz="0" w:space="0" w:color="auto"/>
        <w:bottom w:val="none" w:sz="0" w:space="0" w:color="auto"/>
        <w:right w:val="none" w:sz="0" w:space="0" w:color="auto"/>
      </w:divBdr>
    </w:div>
    <w:div w:id="999041082">
      <w:bodyDiv w:val="1"/>
      <w:marLeft w:val="0"/>
      <w:marRight w:val="0"/>
      <w:marTop w:val="0"/>
      <w:marBottom w:val="0"/>
      <w:divBdr>
        <w:top w:val="none" w:sz="0" w:space="0" w:color="auto"/>
        <w:left w:val="none" w:sz="0" w:space="0" w:color="auto"/>
        <w:bottom w:val="none" w:sz="0" w:space="0" w:color="auto"/>
        <w:right w:val="none" w:sz="0" w:space="0" w:color="auto"/>
      </w:divBdr>
    </w:div>
    <w:div w:id="1016273318">
      <w:bodyDiv w:val="1"/>
      <w:marLeft w:val="0"/>
      <w:marRight w:val="0"/>
      <w:marTop w:val="0"/>
      <w:marBottom w:val="0"/>
      <w:divBdr>
        <w:top w:val="none" w:sz="0" w:space="0" w:color="auto"/>
        <w:left w:val="none" w:sz="0" w:space="0" w:color="auto"/>
        <w:bottom w:val="none" w:sz="0" w:space="0" w:color="auto"/>
        <w:right w:val="none" w:sz="0" w:space="0" w:color="auto"/>
      </w:divBdr>
    </w:div>
    <w:div w:id="1126315898">
      <w:bodyDiv w:val="1"/>
      <w:marLeft w:val="0"/>
      <w:marRight w:val="0"/>
      <w:marTop w:val="0"/>
      <w:marBottom w:val="0"/>
      <w:divBdr>
        <w:top w:val="none" w:sz="0" w:space="0" w:color="auto"/>
        <w:left w:val="none" w:sz="0" w:space="0" w:color="auto"/>
        <w:bottom w:val="none" w:sz="0" w:space="0" w:color="auto"/>
        <w:right w:val="none" w:sz="0" w:space="0" w:color="auto"/>
      </w:divBdr>
    </w:div>
    <w:div w:id="1394888940">
      <w:bodyDiv w:val="1"/>
      <w:marLeft w:val="0"/>
      <w:marRight w:val="0"/>
      <w:marTop w:val="0"/>
      <w:marBottom w:val="0"/>
      <w:divBdr>
        <w:top w:val="none" w:sz="0" w:space="0" w:color="auto"/>
        <w:left w:val="none" w:sz="0" w:space="0" w:color="auto"/>
        <w:bottom w:val="none" w:sz="0" w:space="0" w:color="auto"/>
        <w:right w:val="none" w:sz="0" w:space="0" w:color="auto"/>
      </w:divBdr>
    </w:div>
    <w:div w:id="1756243362">
      <w:bodyDiv w:val="1"/>
      <w:marLeft w:val="0"/>
      <w:marRight w:val="0"/>
      <w:marTop w:val="0"/>
      <w:marBottom w:val="0"/>
      <w:divBdr>
        <w:top w:val="none" w:sz="0" w:space="0" w:color="auto"/>
        <w:left w:val="none" w:sz="0" w:space="0" w:color="auto"/>
        <w:bottom w:val="none" w:sz="0" w:space="0" w:color="auto"/>
        <w:right w:val="none" w:sz="0" w:space="0" w:color="auto"/>
      </w:divBdr>
    </w:div>
    <w:div w:id="1810393794">
      <w:bodyDiv w:val="1"/>
      <w:marLeft w:val="0"/>
      <w:marRight w:val="0"/>
      <w:marTop w:val="0"/>
      <w:marBottom w:val="0"/>
      <w:divBdr>
        <w:top w:val="none" w:sz="0" w:space="0" w:color="auto"/>
        <w:left w:val="none" w:sz="0" w:space="0" w:color="auto"/>
        <w:bottom w:val="none" w:sz="0" w:space="0" w:color="auto"/>
        <w:right w:val="none" w:sz="0" w:space="0" w:color="auto"/>
      </w:divBdr>
    </w:div>
    <w:div w:id="2055809126">
      <w:bodyDiv w:val="1"/>
      <w:marLeft w:val="0"/>
      <w:marRight w:val="0"/>
      <w:marTop w:val="0"/>
      <w:marBottom w:val="0"/>
      <w:divBdr>
        <w:top w:val="none" w:sz="0" w:space="0" w:color="auto"/>
        <w:left w:val="none" w:sz="0" w:space="0" w:color="auto"/>
        <w:bottom w:val="none" w:sz="0" w:space="0" w:color="auto"/>
        <w:right w:val="none" w:sz="0" w:space="0" w:color="auto"/>
      </w:divBdr>
    </w:div>
    <w:div w:id="2105299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C44318-D0BB-4B97-854C-58E24FFC9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12</Pages>
  <Words>3566</Words>
  <Characters>20327</Characters>
  <Application>Microsoft Office Word</Application>
  <DocSecurity>0</DocSecurity>
  <Lines>169</Lines>
  <Paragraphs>47</Paragraphs>
  <ScaleCrop>false</ScaleCrop>
  <Company/>
  <LinksUpToDate>false</LinksUpToDate>
  <CharactersWithSpaces>23846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scottperng</dc:creator>
  <cp:keywords/>
  <dc:description/>
  <cp:lastModifiedBy>scottperng</cp:lastModifiedBy>
  <cp:revision>72</cp:revision>
  <dcterms:created xsi:type="dcterms:W3CDTF">2025-04-05T07:38:00Z</dcterms:created>
  <dcterms:modified xsi:type="dcterms:W3CDTF">2026-07-12T02:26:00Z</dcterms:modified>
</cp:coreProperties>
</file>