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0EAC" w14:textId="77777777" w:rsidR="006E2454" w:rsidRPr="00BE48FE" w:rsidRDefault="00302AB8">
      <w:pPr>
        <w:spacing w:after="120"/>
        <w:rPr>
          <w:sz w:val="32"/>
          <w:szCs w:val="32"/>
        </w:rPr>
      </w:pPr>
      <w:r w:rsidRPr="00BE48FE">
        <w:rPr>
          <w:b/>
          <w:bCs/>
          <w:sz w:val="32"/>
          <w:szCs w:val="32"/>
        </w:rPr>
        <w:t>Supplementary material</w:t>
      </w:r>
    </w:p>
    <w:p w14:paraId="477DDB7D" w14:textId="77777777" w:rsidR="006E2454" w:rsidRDefault="00302AB8">
      <w:pPr>
        <w:spacing w:after="120" w:line="360" w:lineRule="auto"/>
        <w:rPr>
          <w:sz w:val="24"/>
          <w:szCs w:val="24"/>
        </w:rPr>
      </w:pPr>
      <w:r w:rsidRPr="00BE48FE">
        <w:rPr>
          <w:sz w:val="24"/>
          <w:szCs w:val="24"/>
        </w:rPr>
        <w:t>Triglyceride–glucose index and triglyceride/HDL-cholesterol ratio versus HbA1c and HOMA-IR for identifying microvascular complications in type 2 diabetes: a cross-sectional comparative diagnostic accuracy study from western India</w:t>
      </w:r>
    </w:p>
    <w:p w14:paraId="2083FC0D" w14:textId="1E2BF46A" w:rsidR="00BE48FE" w:rsidRPr="00BE48FE" w:rsidRDefault="00BE48FE" w:rsidP="00BE48FE">
      <w:pPr>
        <w:spacing w:before="240" w:after="120"/>
        <w:rPr>
          <w:sz w:val="32"/>
          <w:szCs w:val="32"/>
        </w:rPr>
      </w:pPr>
      <w:r w:rsidRPr="00BE48FE">
        <w:rPr>
          <w:b/>
          <w:bCs/>
          <w:sz w:val="32"/>
          <w:szCs w:val="32"/>
        </w:rPr>
        <w:t xml:space="preserve">Supplementary </w:t>
      </w:r>
      <w:r>
        <w:rPr>
          <w:b/>
          <w:bCs/>
          <w:sz w:val="32"/>
          <w:szCs w:val="32"/>
        </w:rPr>
        <w:t>figures</w:t>
      </w:r>
    </w:p>
    <w:p w14:paraId="425A1FC1" w14:textId="77777777" w:rsidR="006E2454" w:rsidRPr="00BE48FE" w:rsidRDefault="00302AB8">
      <w:pPr>
        <w:spacing w:before="240" w:after="12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>Figure S1. Participant flow diagram</w:t>
      </w:r>
    </w:p>
    <w:p w14:paraId="168104AF" w14:textId="77777777" w:rsidR="006E2454" w:rsidRPr="00BE48FE" w:rsidRDefault="00302AB8">
      <w:pPr>
        <w:spacing w:after="120" w:line="360" w:lineRule="auto"/>
        <w:rPr>
          <w:sz w:val="24"/>
          <w:szCs w:val="24"/>
        </w:rPr>
      </w:pPr>
      <w:r w:rsidRPr="00BE48FE">
        <w:rPr>
          <w:sz w:val="24"/>
          <w:szCs w:val="24"/>
        </w:rPr>
        <w:t>Of 152 patients with type 2 diabetes screened, 42 were excluded and 110 formed the analytical cohort, as follows.</w:t>
      </w:r>
    </w:p>
    <w:p w14:paraId="6E9D71AE" w14:textId="77777777" w:rsidR="006E2454" w:rsidRDefault="00302AB8">
      <w:pPr>
        <w:spacing w:before="120" w:after="60"/>
        <w:jc w:val="center"/>
        <w:rPr>
          <w:sz w:val="24"/>
          <w:szCs w:val="24"/>
        </w:rPr>
      </w:pPr>
      <w:r w:rsidRPr="00BE48FE">
        <w:rPr>
          <w:noProof/>
          <w:sz w:val="24"/>
          <w:szCs w:val="24"/>
        </w:rPr>
        <w:drawing>
          <wp:inline distT="0" distB="0" distL="0" distR="0" wp14:anchorId="228CB9FA" wp14:editId="0BC73977">
            <wp:extent cx="5486400" cy="39991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9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9C036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2D1F2CED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69D1B40B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4F923854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6FAAF664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08F79777" w14:textId="77777777" w:rsidR="00BE48FE" w:rsidRDefault="00BE48FE" w:rsidP="00BE48FE">
      <w:pPr>
        <w:spacing w:before="240" w:after="120"/>
        <w:rPr>
          <w:b/>
          <w:bCs/>
          <w:sz w:val="24"/>
          <w:szCs w:val="24"/>
        </w:rPr>
      </w:pPr>
    </w:p>
    <w:p w14:paraId="01D0B490" w14:textId="0CBB4FF8" w:rsidR="00BE48FE" w:rsidRPr="00BE48FE" w:rsidRDefault="00BE48FE" w:rsidP="00BE48FE">
      <w:pPr>
        <w:spacing w:before="240" w:after="120"/>
        <w:rPr>
          <w:b/>
          <w:bCs/>
          <w:sz w:val="28"/>
          <w:szCs w:val="28"/>
        </w:rPr>
      </w:pPr>
      <w:r w:rsidRPr="00BE48FE">
        <w:rPr>
          <w:b/>
          <w:bCs/>
          <w:sz w:val="28"/>
          <w:szCs w:val="28"/>
        </w:rPr>
        <w:t>Figure S2. Complication prevalence by marker quartile</w:t>
      </w:r>
    </w:p>
    <w:p w14:paraId="7E2CE772" w14:textId="77777777" w:rsidR="00BE48FE" w:rsidRPr="00BE48FE" w:rsidRDefault="00BE48FE" w:rsidP="00BE48FE">
      <w:pPr>
        <w:spacing w:before="240" w:after="120"/>
        <w:rPr>
          <w:sz w:val="24"/>
          <w:szCs w:val="24"/>
        </w:rPr>
      </w:pPr>
    </w:p>
    <w:p w14:paraId="3EABBC46" w14:textId="77777777" w:rsidR="00BE48FE" w:rsidRPr="00BE48FE" w:rsidRDefault="00BE48FE" w:rsidP="00BE48FE">
      <w:pPr>
        <w:spacing w:before="120" w:after="60"/>
        <w:jc w:val="center"/>
        <w:rPr>
          <w:sz w:val="24"/>
          <w:szCs w:val="24"/>
        </w:rPr>
      </w:pPr>
      <w:r w:rsidRPr="00BE48FE">
        <w:rPr>
          <w:noProof/>
          <w:sz w:val="24"/>
          <w:szCs w:val="24"/>
        </w:rPr>
        <w:drawing>
          <wp:inline distT="0" distB="0" distL="0" distR="0" wp14:anchorId="2E1DDAB7" wp14:editId="4A5C5EFE">
            <wp:extent cx="409575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2B09A" w14:textId="77777777" w:rsidR="00BE48FE" w:rsidRPr="00BE48FE" w:rsidRDefault="00BE48FE" w:rsidP="00BE48FE">
      <w:pPr>
        <w:spacing w:after="160"/>
        <w:rPr>
          <w:sz w:val="24"/>
          <w:szCs w:val="24"/>
        </w:rPr>
      </w:pPr>
      <w:r w:rsidRPr="00BE48FE">
        <w:rPr>
          <w:b/>
          <w:bCs/>
          <w:sz w:val="24"/>
          <w:szCs w:val="24"/>
        </w:rPr>
        <w:t xml:space="preserve">Figure S2. </w:t>
      </w:r>
      <w:r w:rsidRPr="00BE48FE">
        <w:rPr>
          <w:sz w:val="24"/>
          <w:szCs w:val="24"/>
        </w:rPr>
        <w:t xml:space="preserve">Composite microvascular complication prevalence across quartiles of each marker. The near-stepwise gradient for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(0% in Q1 to 100% in Q3–Q4) illustrates the quasi-complete separation that motivated Firth-penalised regression. HOMA-IR shows the shallowest gradient, consistent with its weaker discrimination.</w:t>
      </w:r>
    </w:p>
    <w:p w14:paraId="01DFCD39" w14:textId="77777777" w:rsidR="00BE48FE" w:rsidRPr="00BE48FE" w:rsidRDefault="00BE48FE">
      <w:pPr>
        <w:spacing w:before="120" w:after="60"/>
        <w:jc w:val="center"/>
        <w:rPr>
          <w:sz w:val="24"/>
          <w:szCs w:val="24"/>
        </w:rPr>
      </w:pPr>
    </w:p>
    <w:p w14:paraId="291F24B0" w14:textId="77777777" w:rsidR="006E2454" w:rsidRDefault="00302AB8">
      <w:pPr>
        <w:spacing w:before="240" w:after="120"/>
        <w:rPr>
          <w:b/>
          <w:bCs/>
          <w:sz w:val="32"/>
          <w:szCs w:val="32"/>
        </w:rPr>
      </w:pPr>
      <w:r w:rsidRPr="00BE48FE">
        <w:rPr>
          <w:b/>
          <w:bCs/>
          <w:sz w:val="32"/>
          <w:szCs w:val="32"/>
        </w:rPr>
        <w:t>Supplementary tables</w:t>
      </w:r>
    </w:p>
    <w:p w14:paraId="537041D7" w14:textId="77777777" w:rsidR="00BE48FE" w:rsidRPr="00BE48FE" w:rsidRDefault="00BE48FE">
      <w:pPr>
        <w:spacing w:before="240" w:after="120"/>
        <w:rPr>
          <w:sz w:val="32"/>
          <w:szCs w:val="32"/>
        </w:rPr>
      </w:pPr>
    </w:p>
    <w:p w14:paraId="2ACF2CCF" w14:textId="1A6013DC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>Table S3. Univariable logistic regression for the composite microvascular outcome (per 1-standard-deviation rise unless stated).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1400"/>
        <w:gridCol w:w="2600"/>
      </w:tblGrid>
      <w:tr w:rsidR="006E2454" w:rsidRPr="00BE48FE" w14:paraId="30E41B67" w14:textId="77777777" w:rsidTr="009062F3">
        <w:trPr>
          <w:tblHeader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6D5D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7893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Crude OR (95% CI)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85F4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BB4C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Note</w:t>
            </w:r>
          </w:p>
        </w:tc>
      </w:tr>
      <w:tr w:rsidR="006E2454" w:rsidRPr="00BE48FE" w14:paraId="41651BC1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C0CB8" w14:textId="77777777" w:rsidR="006E2454" w:rsidRPr="00BE48FE" w:rsidRDefault="00302AB8">
            <w:pPr>
              <w:rPr>
                <w:sz w:val="24"/>
                <w:szCs w:val="24"/>
              </w:rPr>
            </w:pPr>
            <w:proofErr w:type="spellStart"/>
            <w:r w:rsidRPr="00BE48FE">
              <w:rPr>
                <w:sz w:val="24"/>
                <w:szCs w:val="24"/>
              </w:rPr>
              <w:t>TyG</w:t>
            </w:r>
            <w:proofErr w:type="spellEnd"/>
            <w:r w:rsidRPr="00BE48FE">
              <w:rPr>
                <w:sz w:val="24"/>
                <w:szCs w:val="24"/>
              </w:rPr>
              <w:t xml:space="preserve">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0C19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see note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E9F8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B05AB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quasi-complete separation; OR unstable</w:t>
            </w:r>
          </w:p>
        </w:tc>
      </w:tr>
      <w:tr w:rsidR="006E2454" w:rsidRPr="00BE48FE" w14:paraId="08BA5BC5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6A283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TG/HDL-C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56EE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see note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C82A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D7911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near-separation; OR unstable</w:t>
            </w:r>
          </w:p>
        </w:tc>
      </w:tr>
      <w:tr w:rsidR="006E2454" w:rsidRPr="00BE48FE" w14:paraId="6FB62ECF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F38D4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HbA1c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419E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see note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344C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28286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near-separation; OR unstable</w:t>
            </w:r>
          </w:p>
        </w:tc>
      </w:tr>
      <w:tr w:rsidR="006E2454" w:rsidRPr="00BE48FE" w14:paraId="264DB8AF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EBD20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HOMA-IR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A4D4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17.8 (4.8–66.2)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2FEF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C650E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—</w:t>
            </w:r>
          </w:p>
        </w:tc>
      </w:tr>
      <w:tr w:rsidR="006E2454" w:rsidRPr="00BE48FE" w14:paraId="465E085F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2C8F3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lastRenderedPageBreak/>
              <w:t>Age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3CEAB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2.07 (1.32–3.23)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C5F6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48778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per 1 SD</w:t>
            </w:r>
          </w:p>
        </w:tc>
      </w:tr>
      <w:tr w:rsidR="006E2454" w:rsidRPr="00BE48FE" w14:paraId="6A718CE6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3EF11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DM duration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72EC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11.5 (4.5–29.2)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951D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599FE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per 1 SD</w:t>
            </w:r>
          </w:p>
        </w:tc>
      </w:tr>
      <w:tr w:rsidR="006E2454" w:rsidRPr="00BE48FE" w14:paraId="0DFE05A4" w14:textId="77777777" w:rsidTr="009062F3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7356A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HDL-C (per 1 SD)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8DF8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0.19 (0.10–0.36)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4047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C8C45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per 1 SD</w:t>
            </w:r>
          </w:p>
        </w:tc>
      </w:tr>
    </w:tbl>
    <w:p w14:paraId="652B1E7F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 xml:space="preserve">For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>, TG/HDL-C and HbA1c, ordinary maximum-likelihood odds ratios are not reported because of quasi-complete or near-complete separation, which inflates point estimates into the thousands with implausibly wide confidence intervals; penalised estimates are given in main-text Table 5. P values shown are from the score test, which remains valid under separation.</w:t>
      </w:r>
    </w:p>
    <w:p w14:paraId="6F733848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62D7C487" w14:textId="57D84FF4" w:rsidR="00BE48FE" w:rsidRPr="00BE48FE" w:rsidRDefault="00302AB8">
      <w:pPr>
        <w:spacing w:before="200" w:after="60"/>
        <w:rPr>
          <w:b/>
          <w:bCs/>
          <w:sz w:val="28"/>
          <w:szCs w:val="28"/>
        </w:rPr>
      </w:pPr>
      <w:r w:rsidRPr="00BE48FE">
        <w:rPr>
          <w:b/>
          <w:bCs/>
          <w:sz w:val="28"/>
          <w:szCs w:val="28"/>
        </w:rPr>
        <w:t>Table S4. Variance inflation factors for Model A predictors.</w:t>
      </w:r>
    </w:p>
    <w:tbl>
      <w:tblPr>
        <w:tblW w:w="6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2000"/>
      </w:tblGrid>
      <w:tr w:rsidR="006E2454" w:rsidRPr="00BE48FE" w14:paraId="21F8EDDD" w14:textId="77777777" w:rsidTr="009062F3">
        <w:trPr>
          <w:tblHeader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6587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C955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VIF</w:t>
            </w:r>
          </w:p>
        </w:tc>
      </w:tr>
      <w:tr w:rsidR="006E2454" w:rsidRPr="00BE48FE" w14:paraId="6F298FF0" w14:textId="77777777" w:rsidTr="009062F3"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9FBEB" w14:textId="77777777" w:rsidR="006E2454" w:rsidRPr="00BE48FE" w:rsidRDefault="00302AB8">
            <w:pPr>
              <w:rPr>
                <w:sz w:val="24"/>
                <w:szCs w:val="24"/>
              </w:rPr>
            </w:pPr>
            <w:proofErr w:type="spellStart"/>
            <w:r w:rsidRPr="00BE48FE">
              <w:rPr>
                <w:sz w:val="24"/>
                <w:szCs w:val="24"/>
              </w:rPr>
              <w:t>TyG</w:t>
            </w:r>
            <w:proofErr w:type="spellEnd"/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24EE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3.17</w:t>
            </w:r>
          </w:p>
        </w:tc>
      </w:tr>
      <w:tr w:rsidR="006E2454" w:rsidRPr="00BE48FE" w14:paraId="38B838FA" w14:textId="77777777" w:rsidTr="009062F3"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3E7D8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Age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2147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1.51</w:t>
            </w:r>
          </w:p>
        </w:tc>
      </w:tr>
      <w:tr w:rsidR="006E2454" w:rsidRPr="00BE48FE" w14:paraId="5CA15822" w14:textId="77777777" w:rsidTr="009062F3"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EB28E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DM duration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49BFF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2.09</w:t>
            </w:r>
          </w:p>
        </w:tc>
      </w:tr>
      <w:tr w:rsidR="006E2454" w:rsidRPr="00BE48FE" w14:paraId="5E42B51C" w14:textId="77777777" w:rsidTr="009062F3"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EE9AB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HbA1c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70C6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2.54</w:t>
            </w:r>
          </w:p>
        </w:tc>
      </w:tr>
      <w:tr w:rsidR="006E2454" w:rsidRPr="00BE48FE" w14:paraId="0998EC07" w14:textId="77777777" w:rsidTr="009062F3"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AE523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HDL-C</w:t>
            </w:r>
          </w:p>
        </w:tc>
        <w:tc>
          <w:tcPr>
            <w:tcW w:w="2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A5541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1.81</w:t>
            </w:r>
          </w:p>
        </w:tc>
      </w:tr>
    </w:tbl>
    <w:p w14:paraId="4AA375F3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>All variance inflation factors were below 5, indicating no problematic multicollinearity. The highest value (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, 3.17) reflects the expected correlation between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and HbA1c (ρ = 0.86) and motivated the prespecified Model A refit without HbA1c (Table S11).</w:t>
      </w:r>
    </w:p>
    <w:p w14:paraId="11387D6B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7BF0C7F6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 xml:space="preserve">Table S5. Sensitivity analysis: </w:t>
      </w:r>
      <w:proofErr w:type="spellStart"/>
      <w:r w:rsidRPr="00BE48FE">
        <w:rPr>
          <w:b/>
          <w:bCs/>
          <w:sz w:val="28"/>
          <w:szCs w:val="28"/>
        </w:rPr>
        <w:t>TyG</w:t>
      </w:r>
      <w:proofErr w:type="spellEnd"/>
      <w:r w:rsidRPr="00BE48FE">
        <w:rPr>
          <w:b/>
          <w:bCs/>
          <w:sz w:val="28"/>
          <w:szCs w:val="28"/>
        </w:rPr>
        <w:t xml:space="preserve"> diagnostic accuracy restricted to participants on oral-agent monotherapy.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900"/>
        <w:gridCol w:w="1100"/>
        <w:gridCol w:w="2700"/>
        <w:gridCol w:w="1400"/>
      </w:tblGrid>
      <w:tr w:rsidR="006E2454" w:rsidRPr="00BE48FE" w14:paraId="58B601D3" w14:textId="77777777" w:rsidTr="009062F3">
        <w:trPr>
          <w:tblHeader/>
        </w:trPr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41CA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Subgroup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C2F4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E6CE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4465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proofErr w:type="spellStart"/>
            <w:r w:rsidRPr="00BE48FE">
              <w:rPr>
                <w:b/>
                <w:bCs/>
                <w:sz w:val="24"/>
                <w:szCs w:val="24"/>
              </w:rPr>
              <w:t>TyG</w:t>
            </w:r>
            <w:proofErr w:type="spellEnd"/>
            <w:r w:rsidRPr="00BE48FE">
              <w:rPr>
                <w:b/>
                <w:bCs/>
                <w:sz w:val="24"/>
                <w:szCs w:val="24"/>
              </w:rPr>
              <w:t xml:space="preserve"> AUC (95% CI)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C27F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Cut-off</w:t>
            </w:r>
          </w:p>
        </w:tc>
      </w:tr>
      <w:tr w:rsidR="006E2454" w:rsidRPr="00BE48FE" w14:paraId="431EF09B" w14:textId="77777777" w:rsidTr="009062F3"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0E659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Oral monotherapy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1D75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58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F443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28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854B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0.991 (0.976–1.000)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5969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≥9.21</w:t>
            </w:r>
          </w:p>
        </w:tc>
      </w:tr>
      <w:tr w:rsidR="006E2454" w:rsidRPr="00BE48FE" w14:paraId="69A39366" w14:textId="77777777" w:rsidTr="009062F3"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12FCF" w14:textId="77777777" w:rsidR="006E2454" w:rsidRPr="00BE48FE" w:rsidRDefault="00C13BB1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 xml:space="preserve">Overall </w:t>
            </w:r>
            <w:r w:rsidR="00302AB8" w:rsidRPr="00BE48FE">
              <w:rPr>
                <w:sz w:val="24"/>
                <w:szCs w:val="24"/>
              </w:rPr>
              <w:t>cohort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3CA8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110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E5F7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64</w:t>
            </w:r>
          </w:p>
        </w:tc>
        <w:tc>
          <w:tcPr>
            <w:tcW w:w="2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0FC5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0.993 (0.984–1.000)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DAAF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≥9.23</w:t>
            </w:r>
          </w:p>
        </w:tc>
      </w:tr>
    </w:tbl>
    <w:p w14:paraId="435AA491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 xml:space="preserve">Restricting to oral-agent monotherapy left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discrimination essentially unchanged, suggesting that the observed discrimination was not materially altered by treatment subgroup restriction.</w:t>
      </w:r>
    </w:p>
    <w:p w14:paraId="38C18EB7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076839D4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 xml:space="preserve">Table S6. Sensitivity analysis: sex-stratified </w:t>
      </w:r>
      <w:proofErr w:type="spellStart"/>
      <w:r w:rsidRPr="00BE48FE">
        <w:rPr>
          <w:b/>
          <w:bCs/>
          <w:sz w:val="28"/>
          <w:szCs w:val="28"/>
        </w:rPr>
        <w:t>TyG</w:t>
      </w:r>
      <w:proofErr w:type="spellEnd"/>
      <w:r w:rsidRPr="00BE48FE">
        <w:rPr>
          <w:b/>
          <w:bCs/>
          <w:sz w:val="28"/>
          <w:szCs w:val="28"/>
        </w:rPr>
        <w:t xml:space="preserve"> diagnostic accuracy.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300"/>
        <w:gridCol w:w="3000"/>
      </w:tblGrid>
      <w:tr w:rsidR="006E2454" w:rsidRPr="00BE48FE" w14:paraId="424CD4B4" w14:textId="77777777" w:rsidTr="009062F3">
        <w:trPr>
          <w:tblHeader/>
        </w:trPr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7F23C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Stratum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B5D42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5850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proofErr w:type="spellStart"/>
            <w:r w:rsidRPr="00BE48FE">
              <w:rPr>
                <w:b/>
                <w:bCs/>
                <w:sz w:val="24"/>
                <w:szCs w:val="24"/>
              </w:rPr>
              <w:t>TyG</w:t>
            </w:r>
            <w:proofErr w:type="spellEnd"/>
            <w:r w:rsidRPr="00BE48FE">
              <w:rPr>
                <w:b/>
                <w:bCs/>
                <w:sz w:val="24"/>
                <w:szCs w:val="24"/>
              </w:rPr>
              <w:t xml:space="preserve"> AUC (95% CI)</w:t>
            </w:r>
          </w:p>
        </w:tc>
      </w:tr>
      <w:tr w:rsidR="006E2454" w:rsidRPr="00BE48FE" w14:paraId="0672FABE" w14:textId="77777777" w:rsidTr="009062F3"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8C699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Male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7A0D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67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1457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0.998 (0.992–1.000)</w:t>
            </w:r>
          </w:p>
        </w:tc>
      </w:tr>
      <w:tr w:rsidR="006E2454" w:rsidRPr="00BE48FE" w14:paraId="107D1552" w14:textId="77777777" w:rsidTr="009062F3">
        <w:tc>
          <w:tcPr>
            <w:tcW w:w="3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9FEF4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Female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6856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43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B85AB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0.983 (0.952–1.000)</w:t>
            </w:r>
          </w:p>
        </w:tc>
      </w:tr>
    </w:tbl>
    <w:p w14:paraId="29A7A16A" w14:textId="77777777" w:rsidR="006E2454" w:rsidRDefault="00302AB8">
      <w:pPr>
        <w:spacing w:before="40" w:after="160"/>
        <w:rPr>
          <w:sz w:val="24"/>
          <w:szCs w:val="24"/>
        </w:rPr>
      </w:pP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discrimination was high and consistent in both sexes.</w:t>
      </w:r>
    </w:p>
    <w:p w14:paraId="5A20F0A4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1EE822F2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lastRenderedPageBreak/>
        <w:t xml:space="preserve">Table S7. Sensitivity analysis: </w:t>
      </w:r>
      <w:proofErr w:type="spellStart"/>
      <w:r w:rsidRPr="00BE48FE">
        <w:rPr>
          <w:b/>
          <w:bCs/>
          <w:sz w:val="28"/>
          <w:szCs w:val="28"/>
        </w:rPr>
        <w:t>TyG</w:t>
      </w:r>
      <w:proofErr w:type="spellEnd"/>
      <w:r w:rsidRPr="00BE48FE">
        <w:rPr>
          <w:b/>
          <w:bCs/>
          <w:sz w:val="28"/>
          <w:szCs w:val="28"/>
        </w:rPr>
        <w:t xml:space="preserve"> diagnostic accuracy stratified by diabetes duration.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100"/>
        <w:gridCol w:w="1100"/>
        <w:gridCol w:w="2900"/>
      </w:tblGrid>
      <w:tr w:rsidR="006E2454" w:rsidRPr="00BE48FE" w14:paraId="08844361" w14:textId="77777777" w:rsidTr="009062F3">
        <w:trPr>
          <w:tblHeader/>
        </w:trPr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163A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Stratum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99B72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D35B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2640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proofErr w:type="spellStart"/>
            <w:r w:rsidRPr="00BE48FE">
              <w:rPr>
                <w:b/>
                <w:bCs/>
                <w:sz w:val="24"/>
                <w:szCs w:val="24"/>
              </w:rPr>
              <w:t>TyG</w:t>
            </w:r>
            <w:proofErr w:type="spellEnd"/>
            <w:r w:rsidRPr="00BE48FE">
              <w:rPr>
                <w:b/>
                <w:bCs/>
                <w:sz w:val="24"/>
                <w:szCs w:val="24"/>
              </w:rPr>
              <w:t xml:space="preserve"> AUC (95% CI)</w:t>
            </w:r>
          </w:p>
        </w:tc>
      </w:tr>
      <w:tr w:rsidR="006E2454" w:rsidRPr="00BE48FE" w14:paraId="5B315681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983C1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Duration &lt;5 years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060B3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41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EA87D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2</w:t>
            </w:r>
          </w:p>
        </w:tc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A5AF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0.936 (0.840–1.000)</w:t>
            </w:r>
          </w:p>
        </w:tc>
      </w:tr>
      <w:tr w:rsidR="006E2454" w:rsidRPr="00BE48FE" w14:paraId="768EDBB6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06E5B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Duration ≥5 years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6443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69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3E3CB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62</w:t>
            </w:r>
          </w:p>
        </w:tc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6DFA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0.998 (0.993–1.000)</w:t>
            </w:r>
          </w:p>
        </w:tc>
      </w:tr>
    </w:tbl>
    <w:p w14:paraId="618FD159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>Discrimination was preserved in the short-duration subgroup despite few events (n = 2), though the confidence interval is correspondingly wide; the result should be interpreted with caution given sparse events in this stratum.</w:t>
      </w:r>
    </w:p>
    <w:p w14:paraId="2E7C3AAD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655F2377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 xml:space="preserve">Table S8. Sensitivity analysis: </w:t>
      </w:r>
      <w:proofErr w:type="spellStart"/>
      <w:r w:rsidRPr="00BE48FE">
        <w:rPr>
          <w:b/>
          <w:bCs/>
          <w:sz w:val="28"/>
          <w:szCs w:val="28"/>
        </w:rPr>
        <w:t>TyG</w:t>
      </w:r>
      <w:proofErr w:type="spellEnd"/>
      <w:r w:rsidRPr="00BE48FE">
        <w:rPr>
          <w:b/>
          <w:bCs/>
          <w:sz w:val="28"/>
          <w:szCs w:val="28"/>
        </w:rPr>
        <w:t xml:space="preserve"> diagnostic accuracy after exclusion of biochemistry outliers (&gt;3 SD on triglycerides or fasting glucose).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300"/>
        <w:gridCol w:w="1300"/>
        <w:gridCol w:w="2600"/>
      </w:tblGrid>
      <w:tr w:rsidR="006E2454" w:rsidRPr="00BE48FE" w14:paraId="514C3AE1" w14:textId="77777777" w:rsidTr="009062F3">
        <w:trPr>
          <w:tblHeader/>
        </w:trPr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067C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Analysis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AAF3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 excluded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17E7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n analysed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E7E9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proofErr w:type="spellStart"/>
            <w:r w:rsidRPr="00BE48FE">
              <w:rPr>
                <w:b/>
                <w:bCs/>
                <w:sz w:val="24"/>
                <w:szCs w:val="24"/>
              </w:rPr>
              <w:t>TyG</w:t>
            </w:r>
            <w:proofErr w:type="spellEnd"/>
            <w:r w:rsidRPr="00BE48FE">
              <w:rPr>
                <w:b/>
                <w:bCs/>
                <w:sz w:val="24"/>
                <w:szCs w:val="24"/>
              </w:rPr>
              <w:t xml:space="preserve"> AUC (95% CI)</w:t>
            </w:r>
          </w:p>
        </w:tc>
      </w:tr>
      <w:tr w:rsidR="006E2454" w:rsidRPr="00BE48FE" w14:paraId="5C503A66" w14:textId="77777777" w:rsidTr="009062F3"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BAE84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Outliers excluded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2E38E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0A41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107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4CB1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0.992 (0.982–1.000)</w:t>
            </w:r>
          </w:p>
        </w:tc>
      </w:tr>
      <w:tr w:rsidR="006E2454" w:rsidRPr="00BE48FE" w14:paraId="1553B15B" w14:textId="77777777" w:rsidTr="009062F3"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D3D5D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Full cohort (reference)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7D84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FE35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110</w:t>
            </w:r>
          </w:p>
        </w:tc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092F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0.993 (0.984–1.000)</w:t>
            </w:r>
          </w:p>
        </w:tc>
      </w:tr>
    </w:tbl>
    <w:p w14:paraId="46C7A170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 xml:space="preserve">Excluding three participants with extreme triglyceride or fasting-glucose values did not materially change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discrimination, indicating the result is not driven by outliers.</w:t>
      </w:r>
    </w:p>
    <w:p w14:paraId="363BE6C4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7389140F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 xml:space="preserve">Table S9. Incremental value of adding </w:t>
      </w:r>
      <w:proofErr w:type="spellStart"/>
      <w:r w:rsidRPr="00BE48FE">
        <w:rPr>
          <w:b/>
          <w:bCs/>
          <w:sz w:val="28"/>
          <w:szCs w:val="28"/>
        </w:rPr>
        <w:t>TyG</w:t>
      </w:r>
      <w:proofErr w:type="spellEnd"/>
      <w:r w:rsidRPr="00BE48FE">
        <w:rPr>
          <w:b/>
          <w:bCs/>
          <w:sz w:val="28"/>
          <w:szCs w:val="28"/>
        </w:rPr>
        <w:t xml:space="preserve"> to a base model of HbA1c and HOMA-IR.</w:t>
      </w:r>
    </w:p>
    <w:tbl>
      <w:tblPr>
        <w:tblW w:w="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1900"/>
        <w:gridCol w:w="1700"/>
      </w:tblGrid>
      <w:tr w:rsidR="006E2454" w:rsidRPr="00BE48FE" w14:paraId="737EEF37" w14:textId="77777777" w:rsidTr="009062F3">
        <w:trPr>
          <w:tblHeader/>
        </w:trPr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D3838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8AFA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8422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P value</w:t>
            </w:r>
          </w:p>
        </w:tc>
      </w:tr>
      <w:tr w:rsidR="006E2454" w:rsidRPr="00BE48FE" w14:paraId="3B0C9636" w14:textId="77777777" w:rsidTr="009062F3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C0664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Base model AUC (HbA1c + HOMA-IR)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E1C72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0.974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60D63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—</w:t>
            </w:r>
          </w:p>
        </w:tc>
      </w:tr>
      <w:tr w:rsidR="006E2454" w:rsidRPr="00BE48FE" w14:paraId="586AE2B1" w14:textId="77777777" w:rsidTr="009062F3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B6A35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 xml:space="preserve">Full model AUC (+ </w:t>
            </w:r>
            <w:proofErr w:type="spellStart"/>
            <w:r w:rsidRPr="00BE48FE">
              <w:rPr>
                <w:sz w:val="24"/>
                <w:szCs w:val="24"/>
              </w:rPr>
              <w:t>TyG</w:t>
            </w:r>
            <w:proofErr w:type="spellEnd"/>
            <w:r w:rsidRPr="00BE48FE">
              <w:rPr>
                <w:sz w:val="24"/>
                <w:szCs w:val="24"/>
              </w:rPr>
              <w:t>)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6763B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0.996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27C63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—</w:t>
            </w:r>
          </w:p>
        </w:tc>
      </w:tr>
      <w:tr w:rsidR="006E2454" w:rsidRPr="00BE48FE" w14:paraId="6874C4CA" w14:textId="77777777" w:rsidTr="009062F3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77C8A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ΔAUC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1849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+0.022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943A3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0.048</w:t>
            </w:r>
          </w:p>
        </w:tc>
      </w:tr>
      <w:tr w:rsidR="006E2454" w:rsidRPr="00BE48FE" w14:paraId="4EB3EBE6" w14:textId="77777777" w:rsidTr="009062F3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E6DE5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Integrated discrimination improvement (IDI)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AD556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0.219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73AB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</w:tr>
      <w:tr w:rsidR="006E2454" w:rsidRPr="00BE48FE" w14:paraId="5D3810C8" w14:textId="77777777" w:rsidTr="009062F3">
        <w:tc>
          <w:tcPr>
            <w:tcW w:w="4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DAE98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Categorical NRI (50% threshold)</w:t>
            </w:r>
          </w:p>
        </w:tc>
        <w:tc>
          <w:tcPr>
            <w:tcW w:w="1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FE77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0.181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FAFC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0.014</w:t>
            </w:r>
          </w:p>
        </w:tc>
      </w:tr>
    </w:tbl>
    <w:p w14:paraId="4AE8A32B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 xml:space="preserve">IDI, integrated discrimination improvement; NRI, net reclassification improvement. IDI and NRI are exploratory measures of incremental value within this cohort and should be interpreted cautiously given the strong correlation of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with HbA1c and fasting glucose and the absence of external validation.</w:t>
      </w:r>
    </w:p>
    <w:p w14:paraId="2388DB80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59C892A5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>Table S10. Per-component diagnostic accuracy (AUC with 95% CI) for each marker.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00"/>
        <w:gridCol w:w="2400"/>
        <w:gridCol w:w="2400"/>
      </w:tblGrid>
      <w:tr w:rsidR="006E2454" w:rsidRPr="00BE48FE" w14:paraId="628E41ED" w14:textId="77777777" w:rsidTr="009062F3">
        <w:trPr>
          <w:tblHeader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E9E9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Marker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71E9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Diabetic retinopathy (n=50)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9A3C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Diabetic kidney disease (n=44)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CE29B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Diabetic peripheral neuropathy (n=55)</w:t>
            </w:r>
          </w:p>
        </w:tc>
      </w:tr>
      <w:tr w:rsidR="006E2454" w:rsidRPr="00BE48FE" w14:paraId="3229957C" w14:textId="77777777" w:rsidTr="009062F3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41757" w14:textId="77777777" w:rsidR="006E2454" w:rsidRPr="00BE48FE" w:rsidRDefault="00302AB8">
            <w:pPr>
              <w:rPr>
                <w:sz w:val="24"/>
                <w:szCs w:val="24"/>
              </w:rPr>
            </w:pPr>
            <w:proofErr w:type="spellStart"/>
            <w:r w:rsidRPr="00BE48FE">
              <w:rPr>
                <w:sz w:val="24"/>
                <w:szCs w:val="24"/>
              </w:rPr>
              <w:t>TyG</w:t>
            </w:r>
            <w:proofErr w:type="spellEnd"/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009D9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0.953 (0.913–0.993)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0687E0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0.932 (0.882–0.981)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75F24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0.936 (0.891–0.981)</w:t>
            </w:r>
          </w:p>
        </w:tc>
      </w:tr>
      <w:tr w:rsidR="006E2454" w:rsidRPr="00BE48FE" w14:paraId="3E6DFB37" w14:textId="77777777" w:rsidTr="009062F3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5892BD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lastRenderedPageBreak/>
              <w:t>TG/HDL-C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2043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0.920 (0.864–0.976)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8D4F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0.914 (0.853–0.975)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E5920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0.921 (0.868–0.975)</w:t>
            </w:r>
          </w:p>
        </w:tc>
      </w:tr>
      <w:tr w:rsidR="006E2454" w:rsidRPr="00BE48FE" w14:paraId="34FCD63D" w14:textId="77777777" w:rsidTr="009062F3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B379D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HbA1c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1323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0.906 (0.846–0.966)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039F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0.881 (0.811–0.952)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C148A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0.908 (0.851–0.966)</w:t>
            </w:r>
          </w:p>
        </w:tc>
      </w:tr>
      <w:tr w:rsidR="006E2454" w:rsidRPr="00BE48FE" w14:paraId="2C2774B5" w14:textId="77777777" w:rsidTr="009062F3"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3AF69" w14:textId="77777777" w:rsidR="006E2454" w:rsidRPr="00BE48FE" w:rsidRDefault="00302AB8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HOMA-IR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D3367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0.867 (0.796–0.938)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9AB3D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0.853 (0.775–0.931)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B458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0.767 (0.679–0.856)</w:t>
            </w:r>
          </w:p>
        </w:tc>
      </w:tr>
    </w:tbl>
    <w:p w14:paraId="00B518CD" w14:textId="77777777" w:rsidR="006E2454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>The component-specific AUCs showed the same overall pattern across the three complications, with HOMA-IR weakest for peripheral neuropathy.</w:t>
      </w:r>
    </w:p>
    <w:p w14:paraId="09D68FE3" w14:textId="77777777" w:rsidR="00BE48FE" w:rsidRPr="00BE48FE" w:rsidRDefault="00BE48FE">
      <w:pPr>
        <w:spacing w:before="40" w:after="160"/>
        <w:rPr>
          <w:sz w:val="24"/>
          <w:szCs w:val="24"/>
        </w:rPr>
      </w:pPr>
    </w:p>
    <w:p w14:paraId="3E852A2B" w14:textId="77777777" w:rsidR="006E2454" w:rsidRPr="00BE48FE" w:rsidRDefault="00302AB8">
      <w:pPr>
        <w:spacing w:before="200" w:after="60"/>
        <w:rPr>
          <w:sz w:val="28"/>
          <w:szCs w:val="28"/>
        </w:rPr>
      </w:pPr>
      <w:r w:rsidRPr="00BE48FE">
        <w:rPr>
          <w:b/>
          <w:bCs/>
          <w:sz w:val="28"/>
          <w:szCs w:val="28"/>
        </w:rPr>
        <w:t>Table S11. Prespecified refit of Model A without HbA1c (Firth-penalised).</w:t>
      </w:r>
    </w:p>
    <w:tbl>
      <w:tblPr>
        <w:tblW w:w="8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000"/>
        <w:gridCol w:w="1600"/>
      </w:tblGrid>
      <w:tr w:rsidR="006E2454" w:rsidRPr="00BE48FE" w14:paraId="0A9889FC" w14:textId="77777777" w:rsidTr="009062F3">
        <w:trPr>
          <w:tblHeader/>
        </w:trPr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F883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98E0F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Firth OR (95% CI)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B946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b/>
                <w:bCs/>
                <w:sz w:val="24"/>
                <w:szCs w:val="24"/>
              </w:rPr>
              <w:t>P value</w:t>
            </w:r>
          </w:p>
        </w:tc>
      </w:tr>
      <w:tr w:rsidR="006E2454" w:rsidRPr="00BE48FE" w14:paraId="781BC119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2513B" w14:textId="77777777" w:rsidR="006E2454" w:rsidRPr="00BE48FE" w:rsidRDefault="00302AB8">
            <w:pPr>
              <w:rPr>
                <w:sz w:val="24"/>
                <w:szCs w:val="24"/>
              </w:rPr>
            </w:pPr>
            <w:proofErr w:type="spellStart"/>
            <w:r w:rsidRPr="00BE48FE">
              <w:rPr>
                <w:sz w:val="24"/>
                <w:szCs w:val="24"/>
              </w:rPr>
              <w:t>TyG</w:t>
            </w:r>
            <w:proofErr w:type="spellEnd"/>
            <w:r w:rsidRPr="00BE48FE">
              <w:rPr>
                <w:sz w:val="24"/>
                <w:szCs w:val="24"/>
              </w:rPr>
              <w:t xml:space="preserve"> (per 1 SD)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2FF41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— (separation)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72AA5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&lt;0.001</w:t>
            </w:r>
          </w:p>
        </w:tc>
      </w:tr>
      <w:tr w:rsidR="006E2454" w:rsidRPr="00BE48FE" w14:paraId="7635F0EA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BCF05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Age (per 1 SD)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1E53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0.96 (0.83–1.11)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3F048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0.574</w:t>
            </w:r>
          </w:p>
        </w:tc>
      </w:tr>
      <w:tr w:rsidR="006E2454" w:rsidRPr="00BE48FE" w14:paraId="22097169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83D78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DM duration (per 1 SD)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ACCD4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1.86 (1.11–3.11)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0CF9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0.018</w:t>
            </w:r>
          </w:p>
        </w:tc>
      </w:tr>
      <w:tr w:rsidR="006E2454" w:rsidRPr="00BE48FE" w14:paraId="47A22AD6" w14:textId="77777777" w:rsidTr="009062F3">
        <w:tc>
          <w:tcPr>
            <w:tcW w:w="3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08589" w14:textId="77777777" w:rsidR="001A7782" w:rsidRPr="00BE48FE" w:rsidRDefault="00D34AF9">
            <w:pPr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HDL-C (per 1 SD)</w:t>
            </w:r>
          </w:p>
        </w:tc>
        <w:tc>
          <w:tcPr>
            <w:tcW w:w="3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FC20C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0.82 (0.63–1.07)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401B3" w14:textId="77777777" w:rsidR="006E2454" w:rsidRPr="00BE48FE" w:rsidRDefault="00302AB8">
            <w:pPr>
              <w:jc w:val="center"/>
              <w:rPr>
                <w:sz w:val="24"/>
                <w:szCs w:val="24"/>
              </w:rPr>
            </w:pPr>
            <w:r w:rsidRPr="00BE48FE">
              <w:rPr>
                <w:sz w:val="24"/>
                <w:szCs w:val="24"/>
              </w:rPr>
              <w:t>0.142</w:t>
            </w:r>
          </w:p>
        </w:tc>
      </w:tr>
    </w:tbl>
    <w:p w14:paraId="3352227E" w14:textId="77777777" w:rsidR="006E2454" w:rsidRPr="00BE48FE" w:rsidRDefault="00302AB8">
      <w:pPr>
        <w:spacing w:before="40" w:after="160"/>
        <w:rPr>
          <w:sz w:val="24"/>
          <w:szCs w:val="24"/>
        </w:rPr>
      </w:pPr>
      <w:r w:rsidRPr="00BE48FE">
        <w:rPr>
          <w:sz w:val="24"/>
          <w:szCs w:val="24"/>
        </w:rPr>
        <w:t xml:space="preserve">Removing HbA1c (correlated with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, ρ = 0.86) left the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signal and the diabetes-duration association intact, supporting persistence of the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association after exclusion of HbA1c. The penalised odds ratio for </w:t>
      </w:r>
      <w:proofErr w:type="spellStart"/>
      <w:r w:rsidRPr="00BE48FE">
        <w:rPr>
          <w:sz w:val="24"/>
          <w:szCs w:val="24"/>
        </w:rPr>
        <w:t>TyG</w:t>
      </w:r>
      <w:proofErr w:type="spellEnd"/>
      <w:r w:rsidRPr="00BE48FE">
        <w:rPr>
          <w:sz w:val="24"/>
          <w:szCs w:val="24"/>
        </w:rPr>
        <w:t xml:space="preserve"> is not reported because of separation; the penalised likelihood-ratio P value is shown.</w:t>
      </w:r>
    </w:p>
    <w:sectPr w:rsidR="006E2454" w:rsidRPr="00BE48FE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9B204" w14:textId="77777777" w:rsidR="00D34AF9" w:rsidRDefault="00D34AF9">
      <w:r>
        <w:separator/>
      </w:r>
    </w:p>
  </w:endnote>
  <w:endnote w:type="continuationSeparator" w:id="0">
    <w:p w14:paraId="370D1FE2" w14:textId="77777777" w:rsidR="00D34AF9" w:rsidRDefault="00D3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47AE3" w14:textId="77777777" w:rsidR="006E2454" w:rsidRDefault="00302AB8">
    <w:pPr>
      <w:jc w:val="center"/>
    </w:pPr>
    <w:r>
      <w:rPr>
        <w:sz w:val="18"/>
        <w:szCs w:val="18"/>
      </w:rPr>
      <w:t>S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41CF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40C7F" w14:textId="77777777" w:rsidR="00D34AF9" w:rsidRDefault="00D34AF9">
      <w:r>
        <w:separator/>
      </w:r>
    </w:p>
  </w:footnote>
  <w:footnote w:type="continuationSeparator" w:id="0">
    <w:p w14:paraId="1AE2B9F9" w14:textId="77777777" w:rsidR="00D34AF9" w:rsidRDefault="00D34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6BB1"/>
    <w:multiLevelType w:val="hybridMultilevel"/>
    <w:tmpl w:val="586EE4F6"/>
    <w:lvl w:ilvl="0" w:tplc="745EDCC2">
      <w:start w:val="1"/>
      <w:numFmt w:val="bullet"/>
      <w:lvlText w:val="●"/>
      <w:lvlJc w:val="left"/>
      <w:pPr>
        <w:ind w:left="720" w:hanging="360"/>
      </w:pPr>
    </w:lvl>
    <w:lvl w:ilvl="1" w:tplc="B8A06B72">
      <w:start w:val="1"/>
      <w:numFmt w:val="bullet"/>
      <w:lvlText w:val="○"/>
      <w:lvlJc w:val="left"/>
      <w:pPr>
        <w:ind w:left="1440" w:hanging="360"/>
      </w:pPr>
    </w:lvl>
    <w:lvl w:ilvl="2" w:tplc="8926ED9C">
      <w:start w:val="1"/>
      <w:numFmt w:val="bullet"/>
      <w:lvlText w:val="■"/>
      <w:lvlJc w:val="left"/>
      <w:pPr>
        <w:ind w:left="2160" w:hanging="360"/>
      </w:pPr>
    </w:lvl>
    <w:lvl w:ilvl="3" w:tplc="139491C8">
      <w:start w:val="1"/>
      <w:numFmt w:val="bullet"/>
      <w:lvlText w:val="●"/>
      <w:lvlJc w:val="left"/>
      <w:pPr>
        <w:ind w:left="2880" w:hanging="360"/>
      </w:pPr>
    </w:lvl>
    <w:lvl w:ilvl="4" w:tplc="3FAC0662">
      <w:start w:val="1"/>
      <w:numFmt w:val="bullet"/>
      <w:lvlText w:val="○"/>
      <w:lvlJc w:val="left"/>
      <w:pPr>
        <w:ind w:left="3600" w:hanging="360"/>
      </w:pPr>
    </w:lvl>
    <w:lvl w:ilvl="5" w:tplc="42925F10">
      <w:start w:val="1"/>
      <w:numFmt w:val="bullet"/>
      <w:lvlText w:val="■"/>
      <w:lvlJc w:val="left"/>
      <w:pPr>
        <w:ind w:left="4320" w:hanging="360"/>
      </w:pPr>
    </w:lvl>
    <w:lvl w:ilvl="6" w:tplc="6ACA1D98">
      <w:start w:val="1"/>
      <w:numFmt w:val="bullet"/>
      <w:lvlText w:val="●"/>
      <w:lvlJc w:val="left"/>
      <w:pPr>
        <w:ind w:left="5040" w:hanging="360"/>
      </w:pPr>
    </w:lvl>
    <w:lvl w:ilvl="7" w:tplc="C1B23E02">
      <w:start w:val="1"/>
      <w:numFmt w:val="bullet"/>
      <w:lvlText w:val="●"/>
      <w:lvlJc w:val="left"/>
      <w:pPr>
        <w:ind w:left="5760" w:hanging="360"/>
      </w:pPr>
    </w:lvl>
    <w:lvl w:ilvl="8" w:tplc="60EA60C4">
      <w:start w:val="1"/>
      <w:numFmt w:val="bullet"/>
      <w:lvlText w:val="●"/>
      <w:lvlJc w:val="left"/>
      <w:pPr>
        <w:ind w:left="6480" w:hanging="360"/>
      </w:pPr>
    </w:lvl>
  </w:abstractNum>
  <w:num w:numId="1" w16cid:durableId="17259868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54"/>
    <w:rsid w:val="001A7782"/>
    <w:rsid w:val="002A607B"/>
    <w:rsid w:val="00302AB8"/>
    <w:rsid w:val="004465D3"/>
    <w:rsid w:val="00484D6A"/>
    <w:rsid w:val="005E3889"/>
    <w:rsid w:val="006E2454"/>
    <w:rsid w:val="009062F3"/>
    <w:rsid w:val="00941CF7"/>
    <w:rsid w:val="00943710"/>
    <w:rsid w:val="00B5772B"/>
    <w:rsid w:val="00BE48FE"/>
    <w:rsid w:val="00C13BB1"/>
    <w:rsid w:val="00C55CAB"/>
    <w:rsid w:val="00D34AF9"/>
    <w:rsid w:val="00D751C1"/>
    <w:rsid w:val="00E86B49"/>
    <w:rsid w:val="00E9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70309"/>
  <w15:docId w15:val="{F1130E27-1EE6-45D3-B232-74D6E9BF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SAI karthik</cp:lastModifiedBy>
  <cp:revision>2</cp:revision>
  <dcterms:created xsi:type="dcterms:W3CDTF">2026-09-28T03:57:00Z</dcterms:created>
  <dcterms:modified xsi:type="dcterms:W3CDTF">2026-09-28T03:57:00Z</dcterms:modified>
</cp:coreProperties>
</file>