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/>
          <w:color w:val="000000"/>
        </w:rPr>
        <w:t>PRISMA-ScR checklist</w:t>
      </w:r>
    </w:p>
    <w:p>
      <w:r>
        <w:rPr>
          <w:rFonts w:ascii="Times New Roman" w:hAnsi="Times New Roman"/>
          <w:color w:val="000000"/>
          <w:sz w:val="22"/>
        </w:rPr>
        <w:t>Adapted item-by-item reporting map based on PRISMA-ScR (Tricco et al., 2018; doi:10.7326/M18-0850). Item descriptions are abbreviated; the official checklist is available at https://www.prisma-statement.org/scoping. Locations refer to the final manuscript and additional files. Partial reporting is identified explicitly.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20"/>
              </w:rPr>
              <w:t>Item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20"/>
              </w:rPr>
              <w:t>Topic</w:t>
            </w:r>
          </w:p>
        </w:tc>
        <w:tc>
          <w:tcPr>
            <w:tcW w:type="dxa" w:w="2376"/>
          </w:tcPr>
          <w:p>
            <w:r>
              <w:rPr>
                <w:rFonts w:ascii="Times New Roman" w:hAnsi="Times New Roman"/>
                <w:sz w:val="20"/>
              </w:rPr>
              <w:t>Location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20"/>
              </w:rPr>
              <w:t>Status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Title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1. Title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Scoping review identified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Structured summary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2–3. Abstract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structured background, objectives, eligibility, databases, charting, results and conclusions.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Rationale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3–5. Background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Evidence gap explained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Objectives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4. Background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Evidence-mapping objectives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Protocol and registration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5–6. Search Strategy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publicly available protocol at https://osf.io/7b8xu/; retrospective registration and revision-stage amendments stated.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Eligibility criteria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6–8. Study Selection Process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clinical and source-type criteria, date expansion, and English-only rationale based on author language proficiency.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Information sources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5–6. Search Strategy; Additional file 2 (supporting methods appendix)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database interfaces and search dates; saved query details and the separately retained Koh companion route in Additional file 2 (supporting methods appendix).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Search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5–6. Search Strategy; Additional file 2 (supporting methods appendix)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Exact original queries reproduced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Selection of sources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6–8. Study Selection Process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 process and limitation: AI-assisted screening and corresponding-author adjudication; independent duplicate screening of all records is not claimed.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Data charting process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8–9. Data Extraction; Additional file 2 (supporting methods appendix)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J.F. and D.M. performed independent duplicate extraction; A.Y. adjudicated unresolved questions. Iterative form revisions, no formal pre-use testing, and no investigator contact are stated.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Data items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8–9. Data Extraction; Additional file 2 (supporting methods appendix)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variables, missing and conflicting values, qualitative ventricular dysfunction and source-described temporal associations; no retrospective fixed timing threshold.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Critical appraisal methods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10–11. Statistical Analysis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Not applicable: formal critical appraisal was not undertaken; rationale stated.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Synthesis methods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10–11. Statistical Analysis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Descriptive summaries plus a 36-patient full-report-only analysis with every field restricted to examined journal reports.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Selection of sources results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11–12. Study Selection; Additional file 2 (supporting methods appendix)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PARTIAL: recoverable totals and 208 publication-level exclusion/omission reasons are supplied. Historical numbers and reasons by distinct screening/retrieval stage cannot be fully reconstructed.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Source characteristics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13–20. Results; Tables S1–S3; Sources appendix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Dated access audit of 76 publications: 39 conference abstracts, 35 examined journal reports and two journal-abstract-only sources. Separate patient groups comprise 36 with full-report evidence, 38 with conference-abstract-only evidence and four with journal-abstract-only evidence; linked-source provenance preserved.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Critical appraisal results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10–11. Not applicable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No formal appraisal performed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Individual source results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13–20. Tables S1–S3; Sources appendix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S1 retains measurements/timing; S2 continuation places source paraphrases, locations, original case labels and classifications together; report–patient linkage preserved.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Synthesis results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13–20. Results; Figures 2–6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Descriptive findings and 36-patient full-report-only sensitivity integrated; main cohort unchanged; Figures 2–6 supplied.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Summary of evidence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20–24. Discussion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descriptive findings, evidence types, reporting gaps and implications for clinicians and researchers.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Limitations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24–26. Limitations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Reported: evidence and process limitations, English-only selection, retrospective changes, access limits and missing historical selection stages.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Conclusions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26. Conclusions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Restrained interpretation</w:t>
            </w:r>
          </w:p>
        </w:tc>
      </w:tr>
      <w:tr>
        <w:trPr>
          <w:cantSplit/>
        </w:trPr>
        <w:tc>
          <w:tcPr>
            <w:tcW w:type="dxa" w:w="504"/>
          </w:tcPr>
          <w:p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type="dxa" w:w="1944"/>
          </w:tcPr>
          <w:p>
            <w:r>
              <w:rPr>
                <w:rFonts w:ascii="Times New Roman" w:hAnsi="Times New Roman"/>
                <w:sz w:val="18"/>
              </w:rPr>
              <w:t>Funding</w:t>
            </w:r>
          </w:p>
        </w:tc>
        <w:tc>
          <w:tcPr>
            <w:tcW w:type="dxa" w:w="2376"/>
          </w:tcPr>
          <w:p>
            <w:r>
              <w:rPr>
                <w:sz w:val="18"/>
              </w:rPr>
              <w:t>Manuscript pp. 28. Declarations; Additional file 2 (supporting methods appendix)</w:t>
            </w:r>
          </w:p>
        </w:tc>
        <w:tc>
          <w:tcPr>
            <w:tcW w:type="dxa" w:w="4536"/>
          </w:tcPr>
          <w:p>
            <w:r>
              <w:rPr>
                <w:rFonts w:ascii="Times New Roman" w:hAnsi="Times New Roman"/>
                <w:sz w:val="18"/>
              </w:rPr>
              <w:t>Reported with source-access limits: review funding and funder role stated; all 76 publications have a funding-status entry in Additional file 2 (supporting methods appendix). Unexamined or unstated funding is not classified as no funding. Funding was assessed from retained material separately from clinical reading; 14 clinically examined reports and two abstract-only journal reports lacked verifiable declarations.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