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416" w:type="dxa"/>
        <w:tblLook w:val="04A0" w:firstRow="1" w:lastRow="0" w:firstColumn="1" w:lastColumn="0" w:noHBand="0" w:noVBand="1"/>
      </w:tblPr>
      <w:tblGrid>
        <w:gridCol w:w="7375"/>
        <w:gridCol w:w="2700"/>
        <w:gridCol w:w="4341"/>
      </w:tblGrid>
      <w:tr w:rsidR="008D4C24" w14:paraId="5C536C2A" w14:textId="77777777" w:rsidTr="008D4C24">
        <w:trPr>
          <w:trHeight w:val="1018"/>
        </w:trPr>
        <w:tc>
          <w:tcPr>
            <w:tcW w:w="7375" w:type="dxa"/>
          </w:tcPr>
          <w:p w14:paraId="479A17BB" w14:textId="57317686" w:rsidR="008D4C24" w:rsidRDefault="008D4C24" w:rsidP="00F256CD">
            <w:pPr>
              <w:jc w:val="center"/>
            </w:pPr>
            <w:r w:rsidRPr="000B63E1">
              <w:rPr>
                <w:rFonts w:asciiTheme="majorBidi" w:hAnsiTheme="majorBidi" w:cstheme="majorBidi"/>
                <w:b/>
                <w:bCs/>
                <w:sz w:val="28"/>
                <w:szCs w:val="28"/>
              </w:rPr>
              <w:t>Study Title</w:t>
            </w:r>
          </w:p>
        </w:tc>
        <w:tc>
          <w:tcPr>
            <w:tcW w:w="2700" w:type="dxa"/>
          </w:tcPr>
          <w:p w14:paraId="7D8D2D48" w14:textId="7B46B3FE" w:rsidR="008D4C24" w:rsidRDefault="008D4C24" w:rsidP="00F256CD">
            <w:pPr>
              <w:jc w:val="center"/>
            </w:pPr>
            <w:r w:rsidRPr="000B63E1">
              <w:rPr>
                <w:rFonts w:asciiTheme="majorBidi" w:eastAsia="SimSun" w:hAnsiTheme="majorBidi" w:cstheme="majorBidi"/>
                <w:b/>
                <w:bCs/>
                <w:sz w:val="24"/>
                <w:szCs w:val="24"/>
              </w:rPr>
              <w:t>AUTHOR (YEAR)</w:t>
            </w:r>
          </w:p>
        </w:tc>
        <w:tc>
          <w:tcPr>
            <w:tcW w:w="4341" w:type="dxa"/>
          </w:tcPr>
          <w:p w14:paraId="2C0F26E2" w14:textId="409A490C" w:rsidR="008D4C24" w:rsidRDefault="008D4C24" w:rsidP="00F256CD">
            <w:pPr>
              <w:jc w:val="center"/>
            </w:pPr>
            <w:r w:rsidRPr="000B63E1">
              <w:rPr>
                <w:rFonts w:asciiTheme="majorBidi" w:eastAsia="SimSun" w:hAnsiTheme="majorBidi" w:cstheme="majorBidi"/>
                <w:b/>
                <w:bCs/>
                <w:sz w:val="24"/>
                <w:szCs w:val="24"/>
              </w:rPr>
              <w:t>REASON FOR EXCLUSION</w:t>
            </w:r>
          </w:p>
        </w:tc>
      </w:tr>
      <w:tr w:rsidR="008F13C6" w14:paraId="48B3F68B" w14:textId="77777777" w:rsidTr="008D4C24">
        <w:trPr>
          <w:trHeight w:val="1018"/>
        </w:trPr>
        <w:tc>
          <w:tcPr>
            <w:tcW w:w="7375" w:type="dxa"/>
          </w:tcPr>
          <w:p w14:paraId="203DF3EC" w14:textId="6DE1D49F" w:rsidR="008F13C6" w:rsidRPr="000B63E1" w:rsidRDefault="008F13C6" w:rsidP="0003763B">
            <w:pPr>
              <w:rPr>
                <w:rFonts w:asciiTheme="majorBidi" w:hAnsiTheme="majorBidi" w:cstheme="majorBidi"/>
                <w:b/>
                <w:bCs/>
                <w:sz w:val="28"/>
                <w:szCs w:val="28"/>
              </w:rPr>
            </w:pPr>
            <w:r w:rsidRPr="008D4C24">
              <w:rPr>
                <w:rFonts w:asciiTheme="majorBidi" w:hAnsiTheme="majorBidi" w:cstheme="majorBidi"/>
              </w:rPr>
              <w:t>Early assessment of wound healing, pain and patient's discomfort after free gingival graft surgery for widening the zone of attached gingiva and the shallow vestibule of mouth with the use of various healing biostimulative methods</w:t>
            </w:r>
          </w:p>
        </w:tc>
        <w:tc>
          <w:tcPr>
            <w:tcW w:w="2700" w:type="dxa"/>
          </w:tcPr>
          <w:p w14:paraId="03C363AE" w14:textId="1A61B45C" w:rsidR="008F13C6" w:rsidRPr="000B63E1" w:rsidRDefault="008F13C6" w:rsidP="008F13C6">
            <w:pPr>
              <w:jc w:val="center"/>
              <w:rPr>
                <w:rFonts w:asciiTheme="majorBidi" w:eastAsia="SimSun" w:hAnsiTheme="majorBidi" w:cstheme="majorBidi"/>
                <w:b/>
                <w:bCs/>
                <w:sz w:val="24"/>
                <w:szCs w:val="24"/>
              </w:rPr>
            </w:pPr>
            <w:r w:rsidRPr="008D4C24">
              <w:rPr>
                <w:rFonts w:asciiTheme="majorBidi" w:hAnsiTheme="majorBidi" w:cstheme="majorBidi"/>
              </w:rPr>
              <w:t>Wiench</w:t>
            </w:r>
            <w:r>
              <w:rPr>
                <w:rFonts w:asciiTheme="majorBidi" w:hAnsiTheme="majorBidi" w:cstheme="majorBidi"/>
              </w:rPr>
              <w:t xml:space="preserve"> </w:t>
            </w:r>
            <w:r w:rsidRPr="008D4C24">
              <w:rPr>
                <w:rFonts w:asciiTheme="majorBidi" w:hAnsiTheme="majorBidi" w:cstheme="majorBidi"/>
              </w:rPr>
              <w:t xml:space="preserve">R. et al. </w:t>
            </w:r>
            <w:r>
              <w:rPr>
                <w:rFonts w:asciiTheme="majorBidi" w:hAnsiTheme="majorBidi" w:cstheme="majorBidi"/>
              </w:rPr>
              <w:t>(</w:t>
            </w:r>
            <w:r w:rsidRPr="008D4C24">
              <w:rPr>
                <w:rFonts w:asciiTheme="majorBidi" w:hAnsiTheme="majorBidi" w:cstheme="majorBidi"/>
              </w:rPr>
              <w:t>2016</w:t>
            </w:r>
            <w:r>
              <w:rPr>
                <w:rFonts w:asciiTheme="majorBidi" w:hAnsiTheme="majorBidi" w:cstheme="majorBidi"/>
              </w:rPr>
              <w:t>)</w:t>
            </w:r>
          </w:p>
        </w:tc>
        <w:tc>
          <w:tcPr>
            <w:tcW w:w="4341" w:type="dxa"/>
          </w:tcPr>
          <w:p w14:paraId="79D3AD80" w14:textId="2342137C" w:rsidR="008F13C6" w:rsidRPr="000B63E1" w:rsidRDefault="008F13C6" w:rsidP="0003763B">
            <w:pPr>
              <w:rPr>
                <w:rFonts w:asciiTheme="majorBidi" w:eastAsia="SimSun" w:hAnsiTheme="majorBidi" w:cstheme="majorBidi"/>
                <w:b/>
                <w:bCs/>
                <w:sz w:val="24"/>
                <w:szCs w:val="24"/>
              </w:rPr>
            </w:pPr>
            <w:r>
              <w:rPr>
                <w:rFonts w:asciiTheme="majorBidi" w:hAnsiTheme="majorBidi" w:cstheme="majorBidi"/>
              </w:rPr>
              <w:t>no secondary intention wound healing evaluation (e</w:t>
            </w:r>
            <w:r w:rsidRPr="008D4C24">
              <w:rPr>
                <w:rFonts w:asciiTheme="majorBidi" w:hAnsiTheme="majorBidi" w:cstheme="majorBidi"/>
              </w:rPr>
              <w:t>xamining the recipient site</w:t>
            </w:r>
            <w:r>
              <w:rPr>
                <w:rFonts w:asciiTheme="majorBidi" w:hAnsiTheme="majorBidi" w:cstheme="majorBidi"/>
              </w:rPr>
              <w:t>)</w:t>
            </w:r>
          </w:p>
        </w:tc>
      </w:tr>
      <w:tr w:rsidR="0003763B" w14:paraId="52528851" w14:textId="77777777" w:rsidTr="008D4C24">
        <w:trPr>
          <w:trHeight w:val="1018"/>
        </w:trPr>
        <w:tc>
          <w:tcPr>
            <w:tcW w:w="7375" w:type="dxa"/>
          </w:tcPr>
          <w:p w14:paraId="23208DD4" w14:textId="4C39E3D5" w:rsidR="0003763B" w:rsidRPr="000B63E1" w:rsidRDefault="0003763B" w:rsidP="0003763B">
            <w:pPr>
              <w:rPr>
                <w:rFonts w:asciiTheme="majorBidi" w:hAnsiTheme="majorBidi" w:cstheme="majorBidi"/>
                <w:b/>
                <w:bCs/>
                <w:sz w:val="28"/>
                <w:szCs w:val="28"/>
              </w:rPr>
            </w:pPr>
            <w:r w:rsidRPr="008D4C24">
              <w:rPr>
                <w:rFonts w:asciiTheme="majorBidi" w:hAnsiTheme="majorBidi" w:cstheme="majorBidi"/>
              </w:rPr>
              <w:t>Effect of GaAIAs low-level laser therapy on the healing of human palate mucosa after connective tissue graft harvesting: randomized clinical trial</w:t>
            </w:r>
          </w:p>
        </w:tc>
        <w:tc>
          <w:tcPr>
            <w:tcW w:w="2700" w:type="dxa"/>
          </w:tcPr>
          <w:p w14:paraId="32EDCBDE" w14:textId="63E6358C" w:rsidR="0003763B" w:rsidRPr="000B63E1" w:rsidRDefault="0003763B" w:rsidP="0003763B">
            <w:pPr>
              <w:jc w:val="center"/>
              <w:rPr>
                <w:rFonts w:asciiTheme="majorBidi" w:eastAsia="SimSun" w:hAnsiTheme="majorBidi" w:cstheme="majorBidi"/>
                <w:b/>
                <w:bCs/>
                <w:sz w:val="24"/>
                <w:szCs w:val="24"/>
              </w:rPr>
            </w:pPr>
            <w:r w:rsidRPr="008D4C24">
              <w:rPr>
                <w:rFonts w:asciiTheme="majorBidi" w:hAnsiTheme="majorBidi" w:cstheme="majorBidi"/>
              </w:rPr>
              <w:t>Dias S. B. et al. (2015)</w:t>
            </w:r>
          </w:p>
        </w:tc>
        <w:tc>
          <w:tcPr>
            <w:tcW w:w="4341" w:type="dxa"/>
          </w:tcPr>
          <w:p w14:paraId="67B2D2EC" w14:textId="0C7A864B" w:rsidR="0003763B" w:rsidRPr="000B63E1" w:rsidRDefault="0003763B" w:rsidP="0003763B">
            <w:pPr>
              <w:rPr>
                <w:rFonts w:asciiTheme="majorBidi" w:eastAsia="SimSun" w:hAnsiTheme="majorBidi" w:cstheme="majorBidi"/>
                <w:b/>
                <w:bCs/>
                <w:sz w:val="24"/>
                <w:szCs w:val="24"/>
              </w:rPr>
            </w:pPr>
            <w:r>
              <w:rPr>
                <w:rFonts w:asciiTheme="majorBidi" w:hAnsiTheme="majorBidi" w:cstheme="majorBidi"/>
              </w:rPr>
              <w:t xml:space="preserve">no secondary intention wound healing evaluation </w:t>
            </w:r>
            <w:r>
              <w:rPr>
                <w:rFonts w:asciiTheme="majorBidi" w:hAnsiTheme="majorBidi" w:cstheme="majorBidi"/>
              </w:rPr>
              <w:t>(p</w:t>
            </w:r>
            <w:r w:rsidRPr="008D4C24">
              <w:rPr>
                <w:rFonts w:asciiTheme="majorBidi" w:hAnsiTheme="majorBidi" w:cstheme="majorBidi"/>
              </w:rPr>
              <w:t>alatal donor sites were sutured</w:t>
            </w:r>
            <w:r>
              <w:rPr>
                <w:rFonts w:asciiTheme="majorBidi" w:hAnsiTheme="majorBidi" w:cstheme="majorBidi"/>
              </w:rPr>
              <w:t>)</w:t>
            </w:r>
          </w:p>
        </w:tc>
      </w:tr>
      <w:tr w:rsidR="0003763B" w14:paraId="20012FC8" w14:textId="77777777" w:rsidTr="008D4C24">
        <w:trPr>
          <w:trHeight w:val="1018"/>
        </w:trPr>
        <w:tc>
          <w:tcPr>
            <w:tcW w:w="7375" w:type="dxa"/>
          </w:tcPr>
          <w:p w14:paraId="3BAED610" w14:textId="6F5C5C92" w:rsidR="0003763B" w:rsidRPr="000B63E1" w:rsidRDefault="0003763B" w:rsidP="0003763B">
            <w:pPr>
              <w:rPr>
                <w:rFonts w:asciiTheme="majorBidi" w:hAnsiTheme="majorBidi" w:cstheme="majorBidi"/>
                <w:b/>
                <w:bCs/>
                <w:sz w:val="28"/>
                <w:szCs w:val="28"/>
              </w:rPr>
            </w:pPr>
            <w:r w:rsidRPr="008D4C24">
              <w:rPr>
                <w:rFonts w:asciiTheme="majorBidi" w:hAnsiTheme="majorBidi" w:cstheme="majorBidi"/>
              </w:rPr>
              <w:t>Comparison of two power densities on the healing of palatal wounds after connective tissue graft removal: randomized clinical trial</w:t>
            </w:r>
          </w:p>
        </w:tc>
        <w:tc>
          <w:tcPr>
            <w:tcW w:w="2700" w:type="dxa"/>
          </w:tcPr>
          <w:p w14:paraId="3D56E680" w14:textId="455846A6" w:rsidR="0003763B" w:rsidRPr="000B63E1" w:rsidRDefault="0003763B" w:rsidP="0003763B">
            <w:pPr>
              <w:jc w:val="center"/>
              <w:rPr>
                <w:rFonts w:asciiTheme="majorBidi" w:eastAsia="SimSun" w:hAnsiTheme="majorBidi" w:cstheme="majorBidi"/>
                <w:b/>
                <w:bCs/>
                <w:sz w:val="24"/>
                <w:szCs w:val="24"/>
              </w:rPr>
            </w:pPr>
            <w:r w:rsidRPr="008D4C24">
              <w:rPr>
                <w:rFonts w:asciiTheme="majorBidi" w:hAnsiTheme="majorBidi" w:cstheme="majorBidi"/>
              </w:rPr>
              <w:t>da Silva Neves F. L. et al. (2016)</w:t>
            </w:r>
          </w:p>
        </w:tc>
        <w:tc>
          <w:tcPr>
            <w:tcW w:w="4341" w:type="dxa"/>
          </w:tcPr>
          <w:p w14:paraId="49D5894D" w14:textId="76B3D25B" w:rsidR="0003763B" w:rsidRPr="000B63E1" w:rsidRDefault="0003763B" w:rsidP="0003763B">
            <w:pPr>
              <w:rPr>
                <w:rFonts w:asciiTheme="majorBidi" w:eastAsia="SimSun" w:hAnsiTheme="majorBidi" w:cstheme="majorBidi"/>
                <w:b/>
                <w:bCs/>
                <w:sz w:val="24"/>
                <w:szCs w:val="24"/>
              </w:rPr>
            </w:pPr>
            <w:r>
              <w:rPr>
                <w:rFonts w:asciiTheme="majorBidi" w:hAnsiTheme="majorBidi" w:cstheme="majorBidi"/>
              </w:rPr>
              <w:t xml:space="preserve">no secondary intention wound healing evaluation </w:t>
            </w:r>
            <w:r>
              <w:rPr>
                <w:rFonts w:asciiTheme="majorBidi" w:hAnsiTheme="majorBidi" w:cstheme="majorBidi"/>
              </w:rPr>
              <w:t>(p</w:t>
            </w:r>
            <w:r w:rsidRPr="008D4C24">
              <w:rPr>
                <w:rFonts w:asciiTheme="majorBidi" w:hAnsiTheme="majorBidi" w:cstheme="majorBidi"/>
              </w:rPr>
              <w:t>alatal donor sites were sutured</w:t>
            </w:r>
            <w:r>
              <w:rPr>
                <w:rFonts w:asciiTheme="majorBidi" w:hAnsiTheme="majorBidi" w:cstheme="majorBidi"/>
              </w:rPr>
              <w:t>)</w:t>
            </w:r>
          </w:p>
        </w:tc>
      </w:tr>
      <w:tr w:rsidR="0003763B" w14:paraId="56021E33" w14:textId="77777777" w:rsidTr="008D4C24">
        <w:trPr>
          <w:trHeight w:val="1018"/>
        </w:trPr>
        <w:tc>
          <w:tcPr>
            <w:tcW w:w="7375" w:type="dxa"/>
          </w:tcPr>
          <w:p w14:paraId="0694BD7C" w14:textId="794C1692" w:rsidR="0003763B" w:rsidRPr="008D4C24" w:rsidRDefault="0003763B" w:rsidP="0003763B">
            <w:pPr>
              <w:rPr>
                <w:rFonts w:asciiTheme="majorBidi" w:hAnsiTheme="majorBidi" w:cstheme="majorBidi"/>
              </w:rPr>
            </w:pPr>
            <w:r w:rsidRPr="008D4C24">
              <w:rPr>
                <w:rFonts w:asciiTheme="majorBidi" w:hAnsiTheme="majorBidi" w:cstheme="majorBidi"/>
              </w:rPr>
              <w:t>The effects of low level laser irradiation on gingival inflammation</w:t>
            </w:r>
          </w:p>
        </w:tc>
        <w:tc>
          <w:tcPr>
            <w:tcW w:w="2700" w:type="dxa"/>
          </w:tcPr>
          <w:p w14:paraId="1335FFD6" w14:textId="4C9A3BA8" w:rsidR="0003763B" w:rsidRPr="008D4C24" w:rsidRDefault="0003763B" w:rsidP="0003763B">
            <w:pPr>
              <w:jc w:val="center"/>
              <w:rPr>
                <w:rFonts w:asciiTheme="majorBidi" w:hAnsiTheme="majorBidi" w:cstheme="majorBidi"/>
              </w:rPr>
            </w:pPr>
            <w:r w:rsidRPr="008D4C24">
              <w:rPr>
                <w:rFonts w:asciiTheme="majorBidi" w:hAnsiTheme="majorBidi" w:cstheme="majorBidi"/>
              </w:rPr>
              <w:t xml:space="preserve">Pejcic A. et al. </w:t>
            </w:r>
            <w:r>
              <w:rPr>
                <w:rFonts w:asciiTheme="majorBidi" w:hAnsiTheme="majorBidi" w:cstheme="majorBidi"/>
              </w:rPr>
              <w:t>(</w:t>
            </w:r>
            <w:r w:rsidRPr="008D4C24">
              <w:rPr>
                <w:rFonts w:asciiTheme="majorBidi" w:hAnsiTheme="majorBidi" w:cstheme="majorBidi"/>
              </w:rPr>
              <w:t>2010</w:t>
            </w:r>
            <w:r>
              <w:rPr>
                <w:rFonts w:asciiTheme="majorBidi" w:hAnsiTheme="majorBidi" w:cstheme="majorBidi"/>
              </w:rPr>
              <w:t>)</w:t>
            </w:r>
          </w:p>
        </w:tc>
        <w:tc>
          <w:tcPr>
            <w:tcW w:w="4341" w:type="dxa"/>
          </w:tcPr>
          <w:p w14:paraId="19A47AA7" w14:textId="4AADBF65" w:rsidR="0003763B" w:rsidRDefault="0003763B" w:rsidP="0003763B">
            <w:pPr>
              <w:rPr>
                <w:rFonts w:asciiTheme="majorBidi" w:hAnsiTheme="majorBidi" w:cstheme="majorBidi"/>
              </w:rPr>
            </w:pPr>
            <w:r>
              <w:rPr>
                <w:rFonts w:asciiTheme="majorBidi" w:hAnsiTheme="majorBidi" w:cstheme="majorBidi"/>
              </w:rPr>
              <w:t xml:space="preserve">no secondary intention wound healing evaluation </w:t>
            </w:r>
            <w:r>
              <w:rPr>
                <w:rFonts w:asciiTheme="majorBidi" w:hAnsiTheme="majorBidi" w:cstheme="majorBidi"/>
              </w:rPr>
              <w:t>(</w:t>
            </w:r>
            <w:r w:rsidRPr="0003763B">
              <w:rPr>
                <w:rFonts w:asciiTheme="majorBidi" w:hAnsiTheme="majorBidi" w:cstheme="majorBidi"/>
              </w:rPr>
              <w:t>periodontal therapy</w:t>
            </w:r>
            <w:r>
              <w:rPr>
                <w:rFonts w:asciiTheme="majorBidi" w:hAnsiTheme="majorBidi" w:cstheme="majorBidi"/>
              </w:rPr>
              <w:t>, not assessing a wound)</w:t>
            </w:r>
          </w:p>
        </w:tc>
      </w:tr>
      <w:tr w:rsidR="0003763B" w14:paraId="1FB2C282" w14:textId="77777777" w:rsidTr="008D4C24">
        <w:trPr>
          <w:trHeight w:val="1018"/>
        </w:trPr>
        <w:tc>
          <w:tcPr>
            <w:tcW w:w="7375" w:type="dxa"/>
          </w:tcPr>
          <w:p w14:paraId="75AB3DC6" w14:textId="49CDC359" w:rsidR="0003763B" w:rsidRPr="008D4C24" w:rsidRDefault="0003763B" w:rsidP="0003763B">
            <w:pPr>
              <w:rPr>
                <w:rFonts w:asciiTheme="majorBidi" w:hAnsiTheme="majorBidi" w:cstheme="majorBidi"/>
              </w:rPr>
            </w:pPr>
            <w:r w:rsidRPr="008D4C24">
              <w:rPr>
                <w:rFonts w:asciiTheme="majorBidi" w:hAnsiTheme="majorBidi" w:cstheme="majorBidi"/>
              </w:rPr>
              <w:t>Effect of Laser Bio-Stimulation on Postoperative Pain and Tissue Response</w:t>
            </w:r>
          </w:p>
        </w:tc>
        <w:tc>
          <w:tcPr>
            <w:tcW w:w="2700" w:type="dxa"/>
          </w:tcPr>
          <w:p w14:paraId="456DD7D4" w14:textId="02B0794B" w:rsidR="0003763B" w:rsidRPr="008D4C24" w:rsidRDefault="0003763B" w:rsidP="0003763B">
            <w:pPr>
              <w:jc w:val="center"/>
              <w:rPr>
                <w:rFonts w:asciiTheme="majorBidi" w:hAnsiTheme="majorBidi" w:cstheme="majorBidi"/>
              </w:rPr>
            </w:pPr>
            <w:r w:rsidRPr="008D4C24">
              <w:rPr>
                <w:rFonts w:asciiTheme="majorBidi" w:hAnsiTheme="majorBidi" w:cstheme="majorBidi"/>
              </w:rPr>
              <w:t>Khanna D. B. D. S. M. D. S. et al. (2017)</w:t>
            </w:r>
          </w:p>
        </w:tc>
        <w:tc>
          <w:tcPr>
            <w:tcW w:w="4341" w:type="dxa"/>
          </w:tcPr>
          <w:p w14:paraId="21FDC672" w14:textId="092D5A51" w:rsidR="0003763B" w:rsidRDefault="0003763B" w:rsidP="0003763B">
            <w:pPr>
              <w:rPr>
                <w:rFonts w:asciiTheme="majorBidi" w:hAnsiTheme="majorBidi" w:cstheme="majorBidi"/>
              </w:rPr>
            </w:pPr>
            <w:r>
              <w:rPr>
                <w:rFonts w:asciiTheme="majorBidi" w:hAnsiTheme="majorBidi" w:cstheme="majorBidi"/>
              </w:rPr>
              <w:t xml:space="preserve">no secondary intention wound healing evaluation </w:t>
            </w:r>
            <w:r>
              <w:rPr>
                <w:rFonts w:asciiTheme="majorBidi" w:hAnsiTheme="majorBidi" w:cstheme="majorBidi"/>
              </w:rPr>
              <w:t>(f</w:t>
            </w:r>
            <w:r w:rsidRPr="0003763B">
              <w:rPr>
                <w:rFonts w:asciiTheme="majorBidi" w:hAnsiTheme="majorBidi" w:cstheme="majorBidi"/>
              </w:rPr>
              <w:t>lap surgery</w:t>
            </w:r>
            <w:r>
              <w:rPr>
                <w:rFonts w:asciiTheme="majorBidi" w:hAnsiTheme="majorBidi" w:cstheme="majorBidi"/>
              </w:rPr>
              <w:t>)</w:t>
            </w:r>
          </w:p>
        </w:tc>
      </w:tr>
      <w:tr w:rsidR="0003763B" w14:paraId="3E143B67" w14:textId="77777777" w:rsidTr="008D4C24">
        <w:trPr>
          <w:trHeight w:val="1018"/>
        </w:trPr>
        <w:tc>
          <w:tcPr>
            <w:tcW w:w="7375" w:type="dxa"/>
          </w:tcPr>
          <w:p w14:paraId="4EC36DE8" w14:textId="77777777" w:rsidR="0003763B" w:rsidRPr="008D4C24" w:rsidRDefault="0003763B" w:rsidP="0003763B">
            <w:pPr>
              <w:rPr>
                <w:rFonts w:asciiTheme="majorBidi" w:hAnsiTheme="majorBidi" w:cstheme="majorBidi"/>
              </w:rPr>
            </w:pPr>
            <w:r w:rsidRPr="008D4C24">
              <w:rPr>
                <w:rFonts w:asciiTheme="majorBidi" w:hAnsiTheme="majorBidi" w:cstheme="majorBidi"/>
              </w:rPr>
              <w:t>Comparison of laser periodontal treatments with conventional periodontal treatments in patients with advanced periodontitis</w:t>
            </w:r>
          </w:p>
          <w:p w14:paraId="76080790" w14:textId="77777777" w:rsidR="0003763B" w:rsidRPr="008D4C24" w:rsidRDefault="0003763B" w:rsidP="0003763B">
            <w:pPr>
              <w:rPr>
                <w:rFonts w:asciiTheme="majorBidi" w:hAnsiTheme="majorBidi" w:cstheme="majorBidi"/>
              </w:rPr>
            </w:pPr>
          </w:p>
        </w:tc>
        <w:tc>
          <w:tcPr>
            <w:tcW w:w="2700" w:type="dxa"/>
          </w:tcPr>
          <w:p w14:paraId="2D170418" w14:textId="3A5C2B6F" w:rsidR="0003763B" w:rsidRPr="008D4C24" w:rsidRDefault="0003763B" w:rsidP="0003763B">
            <w:pPr>
              <w:jc w:val="center"/>
              <w:rPr>
                <w:rFonts w:asciiTheme="majorBidi" w:hAnsiTheme="majorBidi" w:cstheme="majorBidi"/>
              </w:rPr>
            </w:pPr>
            <w:r w:rsidRPr="008D4C24">
              <w:rPr>
                <w:rFonts w:asciiTheme="majorBidi" w:hAnsiTheme="majorBidi" w:cstheme="majorBidi"/>
              </w:rPr>
              <w:t>Gaspirc B. et al. (2012)</w:t>
            </w:r>
          </w:p>
        </w:tc>
        <w:tc>
          <w:tcPr>
            <w:tcW w:w="4341" w:type="dxa"/>
          </w:tcPr>
          <w:p w14:paraId="6704CC08" w14:textId="7CFB061B" w:rsidR="0003763B" w:rsidRDefault="0003763B" w:rsidP="0003763B">
            <w:pPr>
              <w:rPr>
                <w:rFonts w:asciiTheme="majorBidi" w:hAnsiTheme="majorBidi" w:cstheme="majorBidi"/>
              </w:rPr>
            </w:pPr>
            <w:r w:rsidRPr="008D4C24">
              <w:rPr>
                <w:rFonts w:asciiTheme="majorBidi" w:hAnsiTheme="majorBidi" w:cstheme="majorBidi"/>
              </w:rPr>
              <w:t>Not PBM</w:t>
            </w:r>
          </w:p>
        </w:tc>
      </w:tr>
      <w:tr w:rsidR="0003763B" w:rsidRPr="008D4C24" w14:paraId="01E73885" w14:textId="77777777" w:rsidTr="008D4C24">
        <w:trPr>
          <w:trHeight w:val="962"/>
        </w:trPr>
        <w:tc>
          <w:tcPr>
            <w:tcW w:w="7375" w:type="dxa"/>
          </w:tcPr>
          <w:p w14:paraId="07696CB7" w14:textId="285D4940" w:rsidR="0003763B" w:rsidRPr="008D4C24" w:rsidRDefault="0003763B" w:rsidP="0003763B">
            <w:pPr>
              <w:rPr>
                <w:rFonts w:asciiTheme="majorBidi" w:hAnsiTheme="majorBidi" w:cstheme="majorBidi"/>
              </w:rPr>
            </w:pPr>
            <w:r w:rsidRPr="008D4C24">
              <w:rPr>
                <w:rFonts w:asciiTheme="majorBidi" w:hAnsiTheme="majorBidi" w:cstheme="majorBidi"/>
              </w:rPr>
              <w:t>Efficacy of Low-level Laser Therapy, Hyaluronic Acid Gel, and Herbal Gel as Adjunctive Tools in Gingivectomy Wound Healing: A Randomized Comparative Clinical and Histological Study</w:t>
            </w:r>
          </w:p>
        </w:tc>
        <w:tc>
          <w:tcPr>
            <w:tcW w:w="2700" w:type="dxa"/>
          </w:tcPr>
          <w:p w14:paraId="727C59B5" w14:textId="6CED0E37" w:rsidR="0003763B" w:rsidRPr="008D4C24" w:rsidRDefault="0003763B" w:rsidP="0003763B">
            <w:pPr>
              <w:rPr>
                <w:rFonts w:asciiTheme="majorBidi" w:hAnsiTheme="majorBidi" w:cstheme="majorBidi"/>
              </w:rPr>
            </w:pPr>
            <w:r w:rsidRPr="008D4C24">
              <w:rPr>
                <w:rFonts w:asciiTheme="majorBidi" w:hAnsiTheme="majorBidi" w:cstheme="majorBidi"/>
              </w:rPr>
              <w:t>Reddy S.P. et al. (2019)</w:t>
            </w:r>
          </w:p>
        </w:tc>
        <w:tc>
          <w:tcPr>
            <w:tcW w:w="4341" w:type="dxa"/>
          </w:tcPr>
          <w:p w14:paraId="278A5B8F" w14:textId="48650899" w:rsidR="0003763B" w:rsidRPr="008D4C24" w:rsidRDefault="0003763B" w:rsidP="0003763B">
            <w:pPr>
              <w:rPr>
                <w:rFonts w:asciiTheme="majorBidi" w:hAnsiTheme="majorBidi" w:cstheme="majorBidi"/>
              </w:rPr>
            </w:pPr>
            <w:r w:rsidRPr="008D4C24">
              <w:rPr>
                <w:rFonts w:asciiTheme="majorBidi" w:hAnsiTheme="majorBidi" w:cstheme="majorBidi"/>
              </w:rPr>
              <w:t>No control group (quasi-experimental study)</w:t>
            </w:r>
          </w:p>
        </w:tc>
      </w:tr>
      <w:tr w:rsidR="0003763B" w:rsidRPr="008D4C24" w14:paraId="7DFC06D5" w14:textId="77777777" w:rsidTr="008D4C24">
        <w:trPr>
          <w:trHeight w:val="1018"/>
        </w:trPr>
        <w:tc>
          <w:tcPr>
            <w:tcW w:w="7375" w:type="dxa"/>
          </w:tcPr>
          <w:p w14:paraId="1E70094E" w14:textId="144CFDB4" w:rsidR="0003763B" w:rsidRPr="008D4C24" w:rsidRDefault="0003763B" w:rsidP="0003763B">
            <w:pPr>
              <w:rPr>
                <w:rFonts w:asciiTheme="majorBidi" w:hAnsiTheme="majorBidi" w:cstheme="majorBidi"/>
              </w:rPr>
            </w:pPr>
            <w:r w:rsidRPr="008D4C24">
              <w:rPr>
                <w:rFonts w:asciiTheme="majorBidi" w:hAnsiTheme="majorBidi" w:cstheme="majorBidi"/>
              </w:rPr>
              <w:t>Evaluation of the effect of 660 nm low power laser on pain and healing in palatal donor site: a randomized controlled clinical trial</w:t>
            </w:r>
          </w:p>
        </w:tc>
        <w:tc>
          <w:tcPr>
            <w:tcW w:w="2700" w:type="dxa"/>
          </w:tcPr>
          <w:p w14:paraId="4B21B7A6" w14:textId="3B33C3DA" w:rsidR="0003763B" w:rsidRPr="008D4C24" w:rsidRDefault="0003763B" w:rsidP="0003763B">
            <w:pPr>
              <w:rPr>
                <w:rFonts w:asciiTheme="majorBidi" w:hAnsiTheme="majorBidi" w:cstheme="majorBidi"/>
              </w:rPr>
            </w:pPr>
            <w:r w:rsidRPr="008D4C24">
              <w:rPr>
                <w:rFonts w:asciiTheme="majorBidi" w:hAnsiTheme="majorBidi" w:cstheme="majorBidi"/>
              </w:rPr>
              <w:t>Moslemi N. et al. (2014)</w:t>
            </w:r>
          </w:p>
        </w:tc>
        <w:tc>
          <w:tcPr>
            <w:tcW w:w="4341" w:type="dxa"/>
          </w:tcPr>
          <w:p w14:paraId="678F42A1" w14:textId="234182AA" w:rsidR="0003763B" w:rsidRPr="008D4C24" w:rsidRDefault="0003763B" w:rsidP="0003763B">
            <w:pPr>
              <w:rPr>
                <w:rFonts w:asciiTheme="majorBidi" w:hAnsiTheme="majorBidi" w:cstheme="majorBidi"/>
              </w:rPr>
            </w:pPr>
            <w:r w:rsidRPr="008D4C24">
              <w:rPr>
                <w:rFonts w:asciiTheme="majorBidi" w:hAnsiTheme="majorBidi" w:cstheme="majorBidi"/>
              </w:rPr>
              <w:t>not in English</w:t>
            </w:r>
          </w:p>
        </w:tc>
      </w:tr>
    </w:tbl>
    <w:p w14:paraId="56E37219" w14:textId="77777777" w:rsidR="009C1A68" w:rsidRPr="008D4C24" w:rsidRDefault="009C1A68" w:rsidP="008D4C24">
      <w:pPr>
        <w:rPr>
          <w:rFonts w:asciiTheme="majorBidi" w:hAnsiTheme="majorBidi" w:cstheme="majorBidi"/>
        </w:rPr>
      </w:pPr>
    </w:p>
    <w:sectPr w:rsidR="009C1A68" w:rsidRPr="008D4C24" w:rsidSect="008D4C24">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A68"/>
    <w:rsid w:val="0003763B"/>
    <w:rsid w:val="008D4C24"/>
    <w:rsid w:val="008F13C6"/>
    <w:rsid w:val="009C1A68"/>
    <w:rsid w:val="00F256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B1A9B"/>
  <w15:chartTrackingRefBased/>
  <w15:docId w15:val="{7457B894-5E2E-4F95-A929-3EFCE3DA6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4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C24"/>
    <w:rPr>
      <w:color w:val="0000FF"/>
      <w:u w:val="single"/>
    </w:rPr>
  </w:style>
  <w:style w:type="character" w:styleId="FollowedHyperlink">
    <w:name w:val="FollowedHyperlink"/>
    <w:basedOn w:val="DefaultParagraphFont"/>
    <w:uiPriority w:val="99"/>
    <w:semiHidden/>
    <w:unhideWhenUsed/>
    <w:rsid w:val="008D4C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41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Mahdi</dc:creator>
  <cp:keywords/>
  <dc:description/>
  <cp:lastModifiedBy>Mahdi</cp:lastModifiedBy>
  <cp:revision>4</cp:revision>
  <dcterms:created xsi:type="dcterms:W3CDTF">2021-04-12T18:21:00Z</dcterms:created>
  <dcterms:modified xsi:type="dcterms:W3CDTF">2021-04-13T17:59:00Z</dcterms:modified>
</cp:coreProperties>
</file>