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pPr w:leftFromText="141" w:rightFromText="141" w:vertAnchor="text" w:horzAnchor="page" w:tblpX="454" w:tblpY="837"/>
        <w:tblW w:w="11194" w:type="dxa"/>
        <w:tblLayout w:type="fixed"/>
        <w:tblLook w:val="04A0" w:firstRow="1" w:lastRow="0" w:firstColumn="1" w:lastColumn="0" w:noHBand="0" w:noVBand="1"/>
      </w:tblPr>
      <w:tblGrid>
        <w:gridCol w:w="959"/>
        <w:gridCol w:w="884"/>
        <w:gridCol w:w="851"/>
        <w:gridCol w:w="845"/>
        <w:gridCol w:w="856"/>
        <w:gridCol w:w="850"/>
        <w:gridCol w:w="1276"/>
        <w:gridCol w:w="1418"/>
        <w:gridCol w:w="1417"/>
        <w:gridCol w:w="1838"/>
      </w:tblGrid>
      <w:tr w:rsidR="007626E5" w:rsidRPr="00635FC7" w14:paraId="0840F316" w14:textId="77777777" w:rsidTr="007626E5">
        <w:tc>
          <w:tcPr>
            <w:tcW w:w="959" w:type="dxa"/>
            <w:shd w:val="clear" w:color="auto" w:fill="B8CCE4" w:themeFill="accent1" w:themeFillTint="66"/>
            <w:vAlign w:val="center"/>
          </w:tcPr>
          <w:p w14:paraId="2B8C56C2" w14:textId="7777777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Radiographic bone level</w:t>
            </w:r>
          </w:p>
        </w:tc>
        <w:tc>
          <w:tcPr>
            <w:tcW w:w="884" w:type="dxa"/>
            <w:shd w:val="clear" w:color="auto" w:fill="B8CCE4" w:themeFill="accent1" w:themeFillTint="66"/>
            <w:vAlign w:val="center"/>
          </w:tcPr>
          <w:p w14:paraId="41E926A5" w14:textId="7777777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PD reduction (mm)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287C5D70" w14:textId="7777777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proofErr w:type="spellStart"/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BoP</w:t>
            </w:r>
            <w:proofErr w:type="spellEnd"/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/</w:t>
            </w:r>
            <w:proofErr w:type="spellStart"/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SoP</w:t>
            </w:r>
            <w:proofErr w:type="spellEnd"/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positive</w:t>
            </w:r>
          </w:p>
        </w:tc>
        <w:tc>
          <w:tcPr>
            <w:tcW w:w="845" w:type="dxa"/>
            <w:shd w:val="clear" w:color="auto" w:fill="B8CCE4" w:themeFill="accent1" w:themeFillTint="66"/>
            <w:vAlign w:val="center"/>
          </w:tcPr>
          <w:p w14:paraId="46194ED4" w14:textId="7777777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QoL, pain</w:t>
            </w:r>
          </w:p>
        </w:tc>
        <w:tc>
          <w:tcPr>
            <w:tcW w:w="856" w:type="dxa"/>
            <w:shd w:val="clear" w:color="auto" w:fill="B8CCE4" w:themeFill="accent1" w:themeFillTint="66"/>
            <w:vAlign w:val="center"/>
          </w:tcPr>
          <w:p w14:paraId="53F1FD3F" w14:textId="7777777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Radiographic or re-entry bone level/bone fill</w:t>
            </w: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058D38C0" w14:textId="7777777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Implant loss</w:t>
            </w: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5C6CF95" w14:textId="7777777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Microbial composition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14:paraId="07163297" w14:textId="7777777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Successful treatment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799F8BD1" w14:textId="7777777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Drop- out</w:t>
            </w:r>
          </w:p>
        </w:tc>
        <w:tc>
          <w:tcPr>
            <w:tcW w:w="1838" w:type="dxa"/>
            <w:shd w:val="clear" w:color="auto" w:fill="B8CCE4" w:themeFill="accent1" w:themeFillTint="66"/>
            <w:vAlign w:val="center"/>
          </w:tcPr>
          <w:p w14:paraId="78C3BD45" w14:textId="785BF047" w:rsidR="007626E5" w:rsidRPr="00635FC7" w:rsidRDefault="007626E5" w:rsidP="00CE447E">
            <w:pPr>
              <w:pStyle w:val="Caption"/>
              <w:keepNext/>
              <w:jc w:val="center"/>
              <w:rPr>
                <w:rFonts w:asciiTheme="majorHAnsi" w:hAnsiTheme="majorHAnsi" w:cstheme="majorHAnsi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Conclusion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s</w:t>
            </w:r>
          </w:p>
        </w:tc>
      </w:tr>
      <w:tr w:rsidR="007626E5" w:rsidRPr="00635FC7" w14:paraId="70BCFD5C" w14:textId="77777777" w:rsidTr="007626E5">
        <w:tc>
          <w:tcPr>
            <w:tcW w:w="959" w:type="dxa"/>
          </w:tcPr>
          <w:p w14:paraId="3EBA3F93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proofErr w:type="spellStart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Carcuac</w:t>
            </w:r>
            <w:proofErr w:type="spellEnd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 et al (2017)</w:t>
            </w:r>
          </w:p>
        </w:tc>
        <w:tc>
          <w:tcPr>
            <w:tcW w:w="884" w:type="dxa"/>
          </w:tcPr>
          <w:p w14:paraId="0A25C72B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PD changes t: -3.00 mm±2.24 c: -2.38±2.55</w:t>
            </w:r>
          </w:p>
        </w:tc>
        <w:tc>
          <w:tcPr>
            <w:tcW w:w="851" w:type="dxa"/>
          </w:tcPr>
          <w:p w14:paraId="66566B26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Implants total: n=73(60.3%) t: n=45(66.2%) c: n=28(52.8 %)</w:t>
            </w:r>
          </w:p>
        </w:tc>
        <w:tc>
          <w:tcPr>
            <w:tcW w:w="845" w:type="dxa"/>
          </w:tcPr>
          <w:p w14:paraId="1C59894B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Not reported</w:t>
            </w:r>
          </w:p>
        </w:tc>
        <w:tc>
          <w:tcPr>
            <w:tcW w:w="856" w:type="dxa"/>
          </w:tcPr>
          <w:p w14:paraId="31F4B8B8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Implants total: 0.04± 1.64 t: -0.32±1.35 c: 0.51±1.87</w:t>
            </w:r>
          </w:p>
        </w:tc>
        <w:tc>
          <w:tcPr>
            <w:tcW w:w="850" w:type="dxa"/>
          </w:tcPr>
          <w:p w14:paraId="145F46B5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n:20 (35.8%)</w:t>
            </w:r>
          </w:p>
        </w:tc>
        <w:tc>
          <w:tcPr>
            <w:tcW w:w="1276" w:type="dxa"/>
          </w:tcPr>
          <w:p w14:paraId="26285BC2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Not reported</w:t>
            </w:r>
          </w:p>
        </w:tc>
        <w:tc>
          <w:tcPr>
            <w:tcW w:w="1418" w:type="dxa"/>
          </w:tcPr>
          <w:p w14:paraId="7554D852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****Outcome 1: Total 84/121 (69.4 %) implants. t: 54/68 (79.4 %), c: 30/53 (56.6%) Outcome 2: Total 67/121 (55.4 %) implants. t: 40/68 (58.8 %), c: 27/53 (50.9%) Outcome 3: Total 40/121 (33,1 %) implants. t: 20/68 (29.4 %), c: 20/53 (37.0%)</w:t>
            </w:r>
          </w:p>
        </w:tc>
        <w:tc>
          <w:tcPr>
            <w:tcW w:w="1417" w:type="dxa"/>
          </w:tcPr>
          <w:p w14:paraId="52FBC07E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Patients: Total n=17 Loss of implant t (6) c (2), retreatment t (4) c (3), loss to follow up n=16. Implants***: total n=5. Loss of implants n=14, surgical retreated n=7, loss to follow-up n=30</w:t>
            </w:r>
          </w:p>
        </w:tc>
        <w:tc>
          <w:tcPr>
            <w:tcW w:w="1838" w:type="dxa"/>
          </w:tcPr>
          <w:p w14:paraId="1F14819C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Surgical treatment of peri-implantitis is effective. Potential benefits of systemic antibiotics are not sustained over 3 years</w:t>
            </w:r>
          </w:p>
        </w:tc>
      </w:tr>
      <w:tr w:rsidR="007626E5" w:rsidRPr="00635FC7" w14:paraId="16F87309" w14:textId="77777777" w:rsidTr="007626E5">
        <w:tc>
          <w:tcPr>
            <w:tcW w:w="959" w:type="dxa"/>
          </w:tcPr>
          <w:p w14:paraId="1D509B66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Hallström et al (2017)</w:t>
            </w:r>
          </w:p>
        </w:tc>
        <w:tc>
          <w:tcPr>
            <w:tcW w:w="884" w:type="dxa"/>
          </w:tcPr>
          <w:p w14:paraId="38665DF7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Total, PD changes, </w:t>
            </w:r>
            <w:proofErr w:type="gramStart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mean:</w:t>
            </w:r>
            <w:proofErr w:type="gramEnd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 n=-2.73±2.39 t: -3.00±2.24 c: -2.38±2.12</w:t>
            </w:r>
          </w:p>
        </w:tc>
        <w:tc>
          <w:tcPr>
            <w:tcW w:w="851" w:type="dxa"/>
          </w:tcPr>
          <w:p w14:paraId="4A2F9243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845" w:type="dxa"/>
          </w:tcPr>
          <w:p w14:paraId="1E0B03C3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Not reported</w:t>
            </w:r>
          </w:p>
        </w:tc>
        <w:tc>
          <w:tcPr>
            <w:tcW w:w="856" w:type="dxa"/>
          </w:tcPr>
          <w:p w14:paraId="279C0724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t: BL: 4.6±1.6 12 months 4.0±1,6 diff.: +0.6 mm c: BL=4.9±1.7, 12 months 4.5±1.5 diff.:  +0.4 mm  </w:t>
            </w:r>
          </w:p>
        </w:tc>
        <w:tc>
          <w:tcPr>
            <w:tcW w:w="850" w:type="dxa"/>
          </w:tcPr>
          <w:p w14:paraId="27CAA581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n:0</w:t>
            </w:r>
          </w:p>
        </w:tc>
        <w:tc>
          <w:tcPr>
            <w:tcW w:w="1276" w:type="dxa"/>
          </w:tcPr>
          <w:p w14:paraId="243C0CE6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12 months: 25.8 % of the individuals presented with no detectable level of bacteria* associated with peri-implantitis. No difference between the group was detected. But increase between baseline, week 2 and 4.</w:t>
            </w:r>
          </w:p>
        </w:tc>
        <w:tc>
          <w:tcPr>
            <w:tcW w:w="1418" w:type="dxa"/>
          </w:tcPr>
          <w:p w14:paraId="2EC78E86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** Total 11/31 (35.5 %) individuals, t:7(46.7%) c: 4(25)</w:t>
            </w:r>
          </w:p>
        </w:tc>
        <w:tc>
          <w:tcPr>
            <w:tcW w:w="1417" w:type="dxa"/>
          </w:tcPr>
          <w:p w14:paraId="38B382A5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t: lost to follow up n=3, discontinued intervention n=2, </w:t>
            </w:r>
            <w:proofErr w:type="gramStart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c:</w:t>
            </w:r>
            <w:proofErr w:type="gramEnd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 lost to follow up n=1, discontinued intervention n=2. Total n=8</w:t>
            </w:r>
          </w:p>
        </w:tc>
        <w:tc>
          <w:tcPr>
            <w:tcW w:w="1838" w:type="dxa"/>
          </w:tcPr>
          <w:p w14:paraId="59A7D738" w14:textId="77777777" w:rsidR="007626E5" w:rsidRPr="00635FC7" w:rsidRDefault="007626E5" w:rsidP="00CE447E">
            <w:pPr>
              <w:pStyle w:val="Caption"/>
              <w:keepNext/>
              <w:rPr>
                <w:rFonts w:asciiTheme="majorHAnsi" w:hAnsiTheme="majorHAnsi" w:cstheme="majorHAnsi"/>
                <w:i w:val="0"/>
                <w:iCs w:val="0"/>
                <w:sz w:val="16"/>
                <w:szCs w:val="16"/>
                <w:lang w:val="en-GB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Surgical treatment of peri-implantitis with adjunctive treatment with azithromycin did not provide 1-year clinical benefits in PD changes, microbial changes or for the combined treatment outcome assessment in comparison with open flap debridement alone</w:t>
            </w:r>
          </w:p>
        </w:tc>
      </w:tr>
      <w:tr w:rsidR="007626E5" w:rsidRPr="00635FC7" w14:paraId="5AEBE31F" w14:textId="77777777" w:rsidTr="00CE447E">
        <w:trPr>
          <w:trHeight w:val="4766"/>
        </w:trPr>
        <w:tc>
          <w:tcPr>
            <w:tcW w:w="11194" w:type="dxa"/>
            <w:gridSpan w:val="10"/>
          </w:tcPr>
          <w:p w14:paraId="5461E521" w14:textId="77777777" w:rsidR="007626E5" w:rsidRPr="00635FC7" w:rsidRDefault="007626E5" w:rsidP="007626E5">
            <w:pPr>
              <w:pStyle w:val="Caption"/>
              <w:keepNext/>
              <w:spacing w:after="0" w:line="360" w:lineRule="auto"/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</w:pPr>
            <w:proofErr w:type="spellStart"/>
            <w:proofErr w:type="gramStart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BL,baseline</w:t>
            </w:r>
            <w:proofErr w:type="spellEnd"/>
            <w:proofErr w:type="gramEnd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; </w:t>
            </w:r>
            <w:proofErr w:type="spellStart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t,test</w:t>
            </w:r>
            <w:proofErr w:type="spellEnd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; </w:t>
            </w:r>
            <w:proofErr w:type="spellStart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c,control</w:t>
            </w:r>
            <w:proofErr w:type="spellEnd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; </w:t>
            </w:r>
            <w:proofErr w:type="spellStart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QoL,Quality</w:t>
            </w:r>
            <w:proofErr w:type="spellEnd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 of life; </w:t>
            </w:r>
            <w:proofErr w:type="spellStart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PD,pocket</w:t>
            </w:r>
            <w:proofErr w:type="spellEnd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 depth. </w:t>
            </w:r>
          </w:p>
          <w:p w14:paraId="4A9FFA0E" w14:textId="77777777" w:rsidR="007626E5" w:rsidRPr="00635FC7" w:rsidRDefault="007626E5" w:rsidP="007626E5">
            <w:pPr>
              <w:pStyle w:val="Caption"/>
              <w:keepNext/>
              <w:spacing w:after="0" w:line="360" w:lineRule="auto"/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*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Aggregatibacter</w:t>
            </w:r>
            <w:proofErr w:type="spellEnd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actinomycetemcomitans</w:t>
            </w:r>
            <w:proofErr w:type="spellEnd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Y4, Campylobacter 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gracilis</w:t>
            </w:r>
            <w:proofErr w:type="spellEnd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, Campylobacter rectus, Campylobacter 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showae</w:t>
            </w:r>
            <w:proofErr w:type="spellEnd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, Helicobacter p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y</w:t>
            </w:r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lori, Haemophilus influenzae, 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Porphy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r</w:t>
            </w:r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omonas</w:t>
            </w:r>
            <w:proofErr w:type="spellEnd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gingivalis</w:t>
            </w:r>
            <w:proofErr w:type="spellEnd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, Staphylococcus aureus, Staphylococcus 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anaerobius</w:t>
            </w:r>
            <w:proofErr w:type="spellEnd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, Streptococcus intermedius, Streptococcus mitis, 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Tannerella</w:t>
            </w:r>
            <w:proofErr w:type="spellEnd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forsythia, Treponema 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denticola</w:t>
            </w:r>
            <w:proofErr w:type="spellEnd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</w:t>
            </w:r>
            <w:r w:rsidRPr="002C3788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and</w:t>
            </w:r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Treponema </w:t>
            </w:r>
            <w:proofErr w:type="spellStart"/>
            <w:r w:rsidRPr="00812946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socranskii</w:t>
            </w:r>
            <w:proofErr w:type="spellEnd"/>
          </w:p>
          <w:p w14:paraId="7648C778" w14:textId="77777777" w:rsidR="007626E5" w:rsidRPr="00635FC7" w:rsidRDefault="007626E5" w:rsidP="007626E5">
            <w:pPr>
              <w:pStyle w:val="Caption"/>
              <w:keepNext/>
              <w:spacing w:after="0" w:line="360" w:lineRule="auto"/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** PPD ≤ 5 mm, no suppuration, no BOP at implant site, bone loss ≤0.5 mm between baseline and 1 year</w:t>
            </w:r>
          </w:p>
          <w:p w14:paraId="6119455F" w14:textId="77777777" w:rsidR="007626E5" w:rsidRPr="00635FC7" w:rsidRDefault="007626E5" w:rsidP="007626E5">
            <w:pPr>
              <w:pStyle w:val="Caption"/>
              <w:keepNext/>
              <w:spacing w:after="0" w:line="360" w:lineRule="auto"/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***test/control not sorted</w:t>
            </w:r>
          </w:p>
          <w:p w14:paraId="2187343E" w14:textId="77777777" w:rsidR="007626E5" w:rsidRPr="00635FC7" w:rsidRDefault="007626E5" w:rsidP="007626E5">
            <w:pPr>
              <w:pStyle w:val="Caption"/>
              <w:keepNext/>
              <w:spacing w:after="0" w:line="360" w:lineRule="auto"/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8"/>
                <w:szCs w:val="8"/>
                <w:lang w:val="en-GB" w:eastAsia="nn-NO"/>
              </w:rPr>
            </w:pP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**** Outcome 1: No bone loss &gt; 0.5 mm (from </w:t>
            </w:r>
            <w:proofErr w:type="spellStart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radigr</w:t>
            </w:r>
            <w:r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a</w:t>
            </w:r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>phic</w:t>
            </w:r>
            <w:proofErr w:type="spellEnd"/>
            <w:r w:rsidRPr="00635FC7">
              <w:rPr>
                <w:rFonts w:asciiTheme="majorHAnsi" w:eastAsia="Times New Roman" w:hAnsiTheme="majorHAnsi" w:cstheme="majorHAnsi"/>
                <w:i w:val="0"/>
                <w:iCs w:val="0"/>
                <w:color w:val="000000"/>
                <w:sz w:val="16"/>
                <w:szCs w:val="16"/>
                <w:lang w:val="en-GB" w:eastAsia="nn-NO"/>
              </w:rPr>
              <w:t xml:space="preserve"> baseline), Outcome 2: 1+PPD ≤ 5 mm, Outcome 3; 2+ no bleeding/suppuration</w:t>
            </w:r>
          </w:p>
        </w:tc>
      </w:tr>
    </w:tbl>
    <w:p w14:paraId="4AF1553B" w14:textId="77777777" w:rsidR="007626E5" w:rsidRPr="00343C8E" w:rsidRDefault="007626E5" w:rsidP="007626E5">
      <w:pPr>
        <w:pStyle w:val="Caption"/>
        <w:keepNext/>
        <w:spacing w:after="0"/>
        <w:rPr>
          <w:rFonts w:asciiTheme="majorHAnsi" w:hAnsiTheme="majorHAnsi" w:cstheme="majorHAnsi"/>
          <w:i w:val="0"/>
          <w:iCs w:val="0"/>
          <w:sz w:val="24"/>
          <w:szCs w:val="24"/>
          <w:lang w:val="en-GB"/>
        </w:rPr>
      </w:pPr>
      <w:r w:rsidRPr="00343C8E">
        <w:rPr>
          <w:rFonts w:asciiTheme="majorHAnsi" w:hAnsiTheme="majorHAnsi" w:cstheme="majorHAnsi"/>
          <w:i w:val="0"/>
          <w:iCs w:val="0"/>
          <w:sz w:val="24"/>
          <w:szCs w:val="24"/>
          <w:lang w:val="en-GB"/>
        </w:rPr>
        <w:t>Table 8</w:t>
      </w:r>
      <w:r>
        <w:rPr>
          <w:rFonts w:asciiTheme="majorHAnsi" w:hAnsiTheme="majorHAnsi" w:cstheme="majorHAnsi"/>
          <w:i w:val="0"/>
          <w:iCs w:val="0"/>
          <w:sz w:val="24"/>
          <w:szCs w:val="24"/>
          <w:lang w:val="en-GB"/>
        </w:rPr>
        <w:t>.</w:t>
      </w:r>
      <w:r w:rsidRPr="00343C8E">
        <w:rPr>
          <w:rFonts w:asciiTheme="majorHAnsi" w:hAnsiTheme="majorHAnsi" w:cstheme="majorHAnsi"/>
          <w:i w:val="0"/>
          <w:iCs w:val="0"/>
          <w:sz w:val="24"/>
          <w:szCs w:val="24"/>
          <w:lang w:val="en-GB"/>
        </w:rPr>
        <w:t xml:space="preserve"> Outcome variables in the primary studies</w:t>
      </w:r>
      <w:r w:rsidRPr="00343C8E">
        <w:rPr>
          <w:i w:val="0"/>
          <w:iCs w:val="0"/>
          <w:sz w:val="24"/>
          <w:szCs w:val="24"/>
        </w:rPr>
        <w:fldChar w:fldCharType="begin"/>
      </w:r>
      <w:r w:rsidRPr="00343C8E">
        <w:rPr>
          <w:i w:val="0"/>
          <w:iCs w:val="0"/>
          <w:sz w:val="24"/>
          <w:szCs w:val="24"/>
          <w:lang w:val="en-GB"/>
        </w:rPr>
        <w:instrText xml:space="preserve"> ADDIN </w:instrText>
      </w:r>
      <w:r w:rsidRPr="00343C8E">
        <w:rPr>
          <w:i w:val="0"/>
          <w:iCs w:val="0"/>
          <w:sz w:val="24"/>
          <w:szCs w:val="24"/>
        </w:rPr>
        <w:fldChar w:fldCharType="end"/>
      </w:r>
      <w:r w:rsidRPr="00343C8E">
        <w:rPr>
          <w:i w:val="0"/>
          <w:iCs w:val="0"/>
        </w:rPr>
        <w:fldChar w:fldCharType="begin"/>
      </w:r>
      <w:r w:rsidRPr="00343C8E">
        <w:rPr>
          <w:i w:val="0"/>
          <w:iCs w:val="0"/>
          <w:lang w:val="en-US"/>
        </w:rPr>
        <w:instrText xml:space="preserve"> ADDIN </w:instrText>
      </w:r>
      <w:r w:rsidRPr="00343C8E">
        <w:rPr>
          <w:i w:val="0"/>
          <w:iCs w:val="0"/>
        </w:rPr>
        <w:fldChar w:fldCharType="end"/>
      </w:r>
      <w:r w:rsidRPr="00343C8E">
        <w:rPr>
          <w:i w:val="0"/>
          <w:iCs w:val="0"/>
        </w:rPr>
        <w:fldChar w:fldCharType="begin"/>
      </w:r>
      <w:r w:rsidRPr="00343C8E">
        <w:rPr>
          <w:i w:val="0"/>
          <w:iCs w:val="0"/>
          <w:lang w:val="en-US"/>
        </w:rPr>
        <w:instrText xml:space="preserve"> ADDIN </w:instrText>
      </w:r>
      <w:r w:rsidRPr="00343C8E">
        <w:rPr>
          <w:i w:val="0"/>
          <w:iCs w:val="0"/>
        </w:rPr>
        <w:fldChar w:fldCharType="end"/>
      </w:r>
    </w:p>
    <w:sectPr w:rsidR="007626E5" w:rsidRPr="00343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E5"/>
    <w:rsid w:val="007626E5"/>
    <w:rsid w:val="00EE72B4"/>
    <w:rsid w:val="00FD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1B203"/>
  <w15:chartTrackingRefBased/>
  <w15:docId w15:val="{E35121F7-FBA4-4618-88A5-B183458E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6E5"/>
    <w:pPr>
      <w:spacing w:after="160" w:line="259" w:lineRule="auto"/>
    </w:pPr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626E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styleId="TableGridLight">
    <w:name w:val="Grid Table Light"/>
    <w:basedOn w:val="TableNormal"/>
    <w:uiPriority w:val="40"/>
    <w:rsid w:val="007626E5"/>
    <w:pPr>
      <w:spacing w:after="0" w:line="240" w:lineRule="auto"/>
    </w:pPr>
    <w:rPr>
      <w:lang w:val="nb-N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409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Norvald Leknes</dc:creator>
  <cp:keywords/>
  <dc:description/>
  <cp:lastModifiedBy>Knut Norvald Leknes</cp:lastModifiedBy>
  <cp:revision>1</cp:revision>
  <dcterms:created xsi:type="dcterms:W3CDTF">2021-10-27T07:41:00Z</dcterms:created>
  <dcterms:modified xsi:type="dcterms:W3CDTF">2021-10-27T07:46:00Z</dcterms:modified>
</cp:coreProperties>
</file>