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ED93" w14:textId="77777777" w:rsidR="00713F43" w:rsidRPr="00314572" w:rsidRDefault="00713F43" w:rsidP="00713F43">
      <w:pPr>
        <w:pStyle w:val="Default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572">
        <w:rPr>
          <w:rFonts w:ascii="Times New Roman" w:hAnsi="Times New Roman" w:cs="Times New Roman"/>
          <w:b/>
          <w:bCs/>
          <w:sz w:val="24"/>
          <w:szCs w:val="24"/>
        </w:rPr>
        <w:t>Adjunct effect of topical alendronate therapy for the non-surgical treatment of periodontal defects:  systematic review, meta-</w:t>
      </w:r>
      <w:proofErr w:type="gramStart"/>
      <w:r w:rsidRPr="00314572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gramEnd"/>
      <w:r w:rsidRPr="00314572">
        <w:rPr>
          <w:rFonts w:ascii="Times New Roman" w:hAnsi="Times New Roman" w:cs="Times New Roman"/>
          <w:b/>
          <w:bCs/>
          <w:sz w:val="24"/>
          <w:szCs w:val="24"/>
        </w:rPr>
        <w:t xml:space="preserve"> and trial sequential analysis</w:t>
      </w:r>
    </w:p>
    <w:p w14:paraId="5F50C1BE" w14:textId="77777777" w:rsidR="00713F43" w:rsidRPr="00314572" w:rsidRDefault="00713F43" w:rsidP="00713F43">
      <w:pPr>
        <w:pStyle w:val="Default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14572">
        <w:rPr>
          <w:rFonts w:ascii="Times New Roman" w:hAnsi="Times New Roman" w:cs="Times New Roman"/>
          <w:sz w:val="24"/>
          <w:szCs w:val="24"/>
          <w:lang w:val="it-IT"/>
        </w:rPr>
        <w:t>Claudia Arena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>, Vito Carlo Alberto Caponio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314572">
        <w:rPr>
          <w:rFonts w:ascii="Times New Roman" w:hAnsi="Times New Roman" w:cs="Times New Roman"/>
          <w:sz w:val="24"/>
          <w:szCs w:val="24"/>
          <w:lang w:val="it-IT"/>
        </w:rPr>
        <w:t>Khrystyna</w:t>
      </w:r>
      <w:proofErr w:type="spellEnd"/>
      <w:r w:rsidRPr="00314572">
        <w:rPr>
          <w:rFonts w:ascii="Times New Roman" w:hAnsi="Times New Roman" w:cs="Times New Roman"/>
          <w:sz w:val="24"/>
          <w:szCs w:val="24"/>
          <w:lang w:val="it-IT"/>
        </w:rPr>
        <w:t xml:space="preserve"> Zhurakivska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 xml:space="preserve">, Lucio Lo Russo 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>, Lorenzo Lo Muzio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>, Giuseppe Troiano</w:t>
      </w:r>
      <w:r w:rsidRPr="00314572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31457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38258FB5" w14:textId="77777777" w:rsidR="00713F43" w:rsidRPr="00314572" w:rsidRDefault="00713F43" w:rsidP="00713F43">
      <w:pPr>
        <w:pStyle w:val="Default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1406EBFF" w14:textId="77777777" w:rsidR="00713F43" w:rsidRPr="00314572" w:rsidRDefault="00713F43" w:rsidP="00713F4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4572">
        <w:rPr>
          <w:rFonts w:ascii="Times New Roman" w:hAnsi="Times New Roman" w:cs="Times New Roman"/>
          <w:sz w:val="24"/>
          <w:szCs w:val="24"/>
        </w:rPr>
        <w:t>Department of Clinical and Experimental Medicine, University of Foggia, Foggia, Italy.</w:t>
      </w:r>
    </w:p>
    <w:p w14:paraId="689855EC" w14:textId="77777777" w:rsidR="00713F43" w:rsidRPr="00314572" w:rsidRDefault="00713F43" w:rsidP="00713F43">
      <w:pPr>
        <w:pStyle w:val="Default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53918" w14:textId="77777777" w:rsidR="00713F43" w:rsidRPr="00314572" w:rsidRDefault="00713F43" w:rsidP="00713F43">
      <w:pPr>
        <w:pStyle w:val="Default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C18F3" w14:textId="77777777" w:rsidR="00713F43" w:rsidRPr="00314572" w:rsidRDefault="00713F43" w:rsidP="00713F43">
      <w:pPr>
        <w:pStyle w:val="Default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25E3D7" w14:textId="77777777" w:rsidR="00713F43" w:rsidRPr="00314572" w:rsidRDefault="00713F43" w:rsidP="00713F43">
      <w:pPr>
        <w:pStyle w:val="Default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28679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DA1DA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7167D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6A1A3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3B72A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6B501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AACAD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F1CFF" w14:textId="77777777" w:rsidR="006730D0" w:rsidRP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84CAA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1CA0F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1730C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765C8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87C01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9FDBF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83185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0B0CE" w14:textId="77777777" w:rsidR="006730D0" w:rsidRDefault="006730D0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BB87C" w14:textId="77777777" w:rsidR="00713F43" w:rsidRPr="00314572" w:rsidRDefault="00713F43" w:rsidP="00713F43">
      <w:pPr>
        <w:pStyle w:val="Default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proofErr w:type="spellStart"/>
      <w:r w:rsidRPr="00314572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Corresponding</w:t>
      </w:r>
      <w:proofErr w:type="spellEnd"/>
      <w:r w:rsidRPr="0031457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314572">
        <w:rPr>
          <w:rFonts w:ascii="Times New Roman" w:hAnsi="Times New Roman" w:cs="Times New Roman"/>
          <w:b/>
          <w:bCs/>
          <w:sz w:val="24"/>
          <w:szCs w:val="24"/>
          <w:lang w:val="it-IT"/>
        </w:rPr>
        <w:t>author</w:t>
      </w:r>
      <w:proofErr w:type="spellEnd"/>
      <w:r w:rsidRPr="00314572">
        <w:rPr>
          <w:rFonts w:ascii="Times New Roman" w:hAnsi="Times New Roman" w:cs="Times New Roman"/>
          <w:b/>
          <w:bCs/>
          <w:sz w:val="24"/>
          <w:szCs w:val="24"/>
          <w:lang w:val="it-IT"/>
        </w:rPr>
        <w:t>:</w:t>
      </w:r>
    </w:p>
    <w:p w14:paraId="31014B3C" w14:textId="77777777" w:rsidR="00713F43" w:rsidRPr="00314572" w:rsidRDefault="00713F43" w:rsidP="00713F43">
      <w:pPr>
        <w:pStyle w:val="Default"/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314572">
        <w:rPr>
          <w:rFonts w:ascii="Times New Roman" w:hAnsi="Times New Roman" w:cs="Times New Roman"/>
          <w:sz w:val="24"/>
          <w:szCs w:val="24"/>
          <w:lang w:val="it-IT"/>
        </w:rPr>
        <w:t xml:space="preserve">Giuseppe Troiano, DDS, </w:t>
      </w:r>
      <w:proofErr w:type="spellStart"/>
      <w:r w:rsidRPr="00314572">
        <w:rPr>
          <w:rFonts w:ascii="Times New Roman" w:hAnsi="Times New Roman" w:cs="Times New Roman"/>
          <w:sz w:val="24"/>
          <w:szCs w:val="24"/>
          <w:lang w:val="it-IT"/>
        </w:rPr>
        <w:t>PhD</w:t>
      </w:r>
      <w:proofErr w:type="spellEnd"/>
    </w:p>
    <w:p w14:paraId="19AFFCA3" w14:textId="77777777" w:rsidR="00713F43" w:rsidRPr="00314572" w:rsidRDefault="00713F43" w:rsidP="00713F43">
      <w:pPr>
        <w:pStyle w:val="Defaul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4572">
        <w:rPr>
          <w:rFonts w:ascii="Times New Roman" w:hAnsi="Times New Roman" w:cs="Times New Roman"/>
          <w:sz w:val="24"/>
          <w:szCs w:val="24"/>
        </w:rPr>
        <w:t xml:space="preserve">Department of Clinical and Experimental Medicine, </w:t>
      </w:r>
    </w:p>
    <w:p w14:paraId="0F7BC9C4" w14:textId="77777777" w:rsidR="00713F43" w:rsidRPr="00314572" w:rsidRDefault="00713F43" w:rsidP="00713F43">
      <w:pPr>
        <w:pStyle w:val="Defaul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4572">
        <w:rPr>
          <w:rFonts w:ascii="Times New Roman" w:hAnsi="Times New Roman" w:cs="Times New Roman"/>
          <w:sz w:val="24"/>
          <w:szCs w:val="24"/>
        </w:rPr>
        <w:t xml:space="preserve">University of Foggia, Foggia 71122, </w:t>
      </w:r>
      <w:proofErr w:type="gramStart"/>
      <w:r w:rsidRPr="00314572">
        <w:rPr>
          <w:rFonts w:ascii="Times New Roman" w:hAnsi="Times New Roman" w:cs="Times New Roman"/>
          <w:sz w:val="24"/>
          <w:szCs w:val="24"/>
        </w:rPr>
        <w:t>Italy ,</w:t>
      </w:r>
      <w:proofErr w:type="gramEnd"/>
      <w:r w:rsidRPr="00314572">
        <w:rPr>
          <w:rFonts w:ascii="Times New Roman" w:hAnsi="Times New Roman" w:cs="Times New Roman"/>
          <w:sz w:val="24"/>
          <w:szCs w:val="24"/>
        </w:rPr>
        <w:t xml:space="preserve"> Ph: +390881588082</w:t>
      </w:r>
    </w:p>
    <w:p w14:paraId="1AF821CC" w14:textId="77777777" w:rsidR="00713F43" w:rsidRPr="00314572" w:rsidRDefault="00713F43" w:rsidP="00713F43">
      <w:pPr>
        <w:pStyle w:val="Default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4572">
        <w:rPr>
          <w:rFonts w:ascii="Times New Roman" w:hAnsi="Times New Roman" w:cs="Times New Roman"/>
          <w:sz w:val="24"/>
          <w:szCs w:val="24"/>
        </w:rPr>
        <w:t>email: giuseppe.troiano@unifg.it</w:t>
      </w:r>
    </w:p>
    <w:p w14:paraId="3C354E6D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40E71BB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92DED60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1F83892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A9EF175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EA20D17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9DD014C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E87A78F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53408D2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8431B09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170EB55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400E529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1642219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97CE882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7F08B61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220055F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17ACE06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F3EA515" w14:textId="77777777" w:rsidR="00713F43" w:rsidRDefault="00713F4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14FD57E" w14:textId="77777777" w:rsidR="003650E9" w:rsidRPr="00766CC9" w:rsidRDefault="00766CC9">
      <w:pPr>
        <w:rPr>
          <w:rFonts w:ascii="Times New Roman" w:hAnsi="Times New Roman"/>
          <w:b/>
          <w:bCs/>
          <w:sz w:val="28"/>
          <w:szCs w:val="28"/>
          <w:lang w:val="en-US"/>
        </w:rPr>
      </w:pPr>
      <w:r w:rsidRPr="00766CC9">
        <w:rPr>
          <w:rFonts w:ascii="Times New Roman" w:hAnsi="Times New Roman"/>
          <w:b/>
          <w:bCs/>
          <w:sz w:val="28"/>
          <w:szCs w:val="28"/>
          <w:lang w:val="en-US"/>
        </w:rPr>
        <w:t>Supplementa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ry</w:t>
      </w:r>
      <w:r w:rsidRPr="00766CC9">
        <w:rPr>
          <w:rFonts w:ascii="Times New Roman" w:hAnsi="Times New Roman"/>
          <w:b/>
          <w:bCs/>
          <w:sz w:val="28"/>
          <w:szCs w:val="28"/>
          <w:lang w:val="en-US"/>
        </w:rPr>
        <w:t xml:space="preserve"> material legend</w:t>
      </w:r>
    </w:p>
    <w:p w14:paraId="1EBE2BD3" w14:textId="77777777" w:rsidR="00766CC9" w:rsidRPr="00713F43" w:rsidRDefault="00766CC9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0A40A9C" w14:textId="77777777" w:rsidR="00766CC9" w:rsidRPr="00314572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 w:rsidRPr="00314572">
        <w:rPr>
          <w:rFonts w:ascii="Times New Roman" w:hAnsi="Times New Roman"/>
          <w:b/>
          <w:bCs/>
          <w:color w:val="000000"/>
          <w:lang w:val="en-US"/>
        </w:rPr>
        <w:t>Appendix 1</w:t>
      </w:r>
      <w:r w:rsidRPr="00314572">
        <w:rPr>
          <w:rFonts w:ascii="Times New Roman" w:hAnsi="Times New Roman"/>
          <w:color w:val="000000"/>
          <w:lang w:val="en-US"/>
        </w:rPr>
        <w:t>: Meta-analysis for the effects of Alendronate therapy on PD reduction by sub-groups.</w:t>
      </w:r>
    </w:p>
    <w:p w14:paraId="3037A4B1" w14:textId="77777777" w:rsidR="00766CC9" w:rsidRPr="00314572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 w:rsidRPr="00314572">
        <w:rPr>
          <w:rFonts w:ascii="Times New Roman" w:hAnsi="Times New Roman"/>
          <w:b/>
          <w:bCs/>
          <w:color w:val="000000"/>
          <w:lang w:val="en-US"/>
        </w:rPr>
        <w:t>Appendix 2</w:t>
      </w:r>
      <w:r w:rsidRPr="00314572">
        <w:rPr>
          <w:rFonts w:ascii="Times New Roman" w:hAnsi="Times New Roman"/>
          <w:color w:val="000000"/>
          <w:lang w:val="en-US"/>
        </w:rPr>
        <w:t>: Meta-analysis for the effects of Alendronate therapy on CAL gain by sub-groups.</w:t>
      </w:r>
    </w:p>
    <w:p w14:paraId="61B5DF9C" w14:textId="3F3BEB9C" w:rsidR="00766CC9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 w:rsidRPr="00314572">
        <w:rPr>
          <w:rFonts w:ascii="Times New Roman" w:hAnsi="Times New Roman"/>
          <w:b/>
          <w:bCs/>
          <w:color w:val="000000"/>
          <w:lang w:val="en-US"/>
        </w:rPr>
        <w:t>Appendix 3</w:t>
      </w:r>
      <w:r w:rsidRPr="00314572">
        <w:rPr>
          <w:rFonts w:ascii="Times New Roman" w:hAnsi="Times New Roman"/>
          <w:color w:val="000000"/>
          <w:lang w:val="en-US"/>
        </w:rPr>
        <w:t>: Meta-analysis for the effects of Alendronate therapy on bone defect depth reduction by sub-groups.</w:t>
      </w:r>
    </w:p>
    <w:p w14:paraId="78CA8B0C" w14:textId="35E6EC45" w:rsidR="006777E7" w:rsidRPr="00AA4977" w:rsidRDefault="006777E7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 w:rsidRPr="006777E7">
        <w:rPr>
          <w:rFonts w:ascii="Times New Roman" w:hAnsi="Times New Roman"/>
          <w:b/>
          <w:bCs/>
          <w:color w:val="000000"/>
          <w:lang w:val="en-US"/>
        </w:rPr>
        <w:t>Appendix 4</w:t>
      </w:r>
      <w:r>
        <w:rPr>
          <w:rFonts w:ascii="Times New Roman" w:hAnsi="Times New Roman"/>
          <w:b/>
          <w:bCs/>
          <w:color w:val="000000"/>
          <w:lang w:val="en-US"/>
        </w:rPr>
        <w:t>:</w:t>
      </w:r>
      <w:r w:rsidR="00AA497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AA4977">
        <w:rPr>
          <w:rFonts w:ascii="Times New Roman" w:hAnsi="Times New Roman"/>
          <w:color w:val="000000"/>
          <w:lang w:val="en-US"/>
        </w:rPr>
        <w:t>Reasons for exclusion of articles read in full-text.</w:t>
      </w:r>
    </w:p>
    <w:p w14:paraId="05094E38" w14:textId="3223FA47" w:rsidR="007E2E89" w:rsidRDefault="007E2E8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b/>
          <w:bCs/>
          <w:color w:val="000000"/>
          <w:lang w:val="en-US"/>
        </w:rPr>
        <w:t xml:space="preserve">Appendix </w:t>
      </w:r>
      <w:r w:rsidR="006777E7">
        <w:rPr>
          <w:rFonts w:ascii="Times New Roman" w:hAnsi="Times New Roman"/>
          <w:b/>
          <w:bCs/>
          <w:color w:val="000000"/>
          <w:lang w:val="en-US"/>
        </w:rPr>
        <w:t>5</w:t>
      </w:r>
      <w:r>
        <w:rPr>
          <w:rFonts w:ascii="Times New Roman" w:hAnsi="Times New Roman"/>
          <w:color w:val="000000"/>
          <w:lang w:val="en-US"/>
        </w:rPr>
        <w:t>: GRADE for the effects of Alendronate therapy on PD reduction</w:t>
      </w:r>
      <w:r w:rsidR="006777E7">
        <w:rPr>
          <w:rFonts w:ascii="Times New Roman" w:hAnsi="Times New Roman"/>
          <w:color w:val="000000"/>
          <w:lang w:val="en-US"/>
        </w:rPr>
        <w:t>.</w:t>
      </w:r>
    </w:p>
    <w:p w14:paraId="04955004" w14:textId="29454FA2" w:rsidR="007E2E89" w:rsidRDefault="007E2E8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b/>
          <w:bCs/>
          <w:color w:val="000000"/>
          <w:lang w:val="en-US"/>
        </w:rPr>
        <w:t xml:space="preserve">Appendix </w:t>
      </w:r>
      <w:r w:rsidR="006777E7">
        <w:rPr>
          <w:rFonts w:ascii="Times New Roman" w:hAnsi="Times New Roman"/>
          <w:b/>
          <w:bCs/>
          <w:color w:val="000000"/>
          <w:lang w:val="en-US"/>
        </w:rPr>
        <w:t>6</w:t>
      </w:r>
      <w:r w:rsidRPr="001A5D59">
        <w:rPr>
          <w:rFonts w:ascii="Times New Roman" w:hAnsi="Times New Roman"/>
          <w:color w:val="000000"/>
          <w:lang w:val="en-US"/>
        </w:rPr>
        <w:t xml:space="preserve">: </w:t>
      </w:r>
      <w:r>
        <w:rPr>
          <w:rFonts w:ascii="Times New Roman" w:hAnsi="Times New Roman"/>
          <w:color w:val="000000"/>
          <w:lang w:val="en-US"/>
        </w:rPr>
        <w:t>GRADE for the effects of Alendronate therapy on CAL gain</w:t>
      </w:r>
      <w:r w:rsidR="006777E7">
        <w:rPr>
          <w:rFonts w:ascii="Times New Roman" w:hAnsi="Times New Roman"/>
          <w:color w:val="000000"/>
          <w:lang w:val="en-US"/>
        </w:rPr>
        <w:t>.</w:t>
      </w:r>
    </w:p>
    <w:p w14:paraId="2F41A03C" w14:textId="630CCB86" w:rsidR="001A5D59" w:rsidRPr="001A5D59" w:rsidRDefault="001A5D5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b/>
          <w:bCs/>
          <w:color w:val="000000"/>
          <w:lang w:val="en-US"/>
        </w:rPr>
        <w:t xml:space="preserve">Appendix </w:t>
      </w:r>
      <w:r w:rsidR="006777E7">
        <w:rPr>
          <w:rFonts w:ascii="Times New Roman" w:hAnsi="Times New Roman"/>
          <w:b/>
          <w:bCs/>
          <w:color w:val="000000"/>
          <w:lang w:val="en-US"/>
        </w:rPr>
        <w:t>7</w:t>
      </w:r>
      <w:r>
        <w:rPr>
          <w:rFonts w:ascii="Times New Roman" w:hAnsi="Times New Roman"/>
          <w:color w:val="000000"/>
          <w:lang w:val="en-US"/>
        </w:rPr>
        <w:t>: GRADE for the effects of Alendronate therapy on bone defect depth reduction</w:t>
      </w:r>
      <w:r w:rsidR="006777E7">
        <w:rPr>
          <w:rFonts w:ascii="Times New Roman" w:hAnsi="Times New Roman"/>
          <w:color w:val="000000"/>
          <w:lang w:val="en-US"/>
        </w:rPr>
        <w:t>.</w:t>
      </w:r>
    </w:p>
    <w:p w14:paraId="195049B0" w14:textId="77777777" w:rsidR="00766CC9" w:rsidRPr="00314572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</w:p>
    <w:p w14:paraId="3827B736" w14:textId="77777777" w:rsidR="00766CC9" w:rsidRPr="00314572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</w:p>
    <w:p w14:paraId="66AC5706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noProof/>
          <w:color w:val="000000"/>
          <w:lang w:val="en-US"/>
        </w:rPr>
      </w:pPr>
    </w:p>
    <w:p w14:paraId="7C937B29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noProof/>
          <w:color w:val="000000"/>
          <w:lang w:val="en-US"/>
        </w:rPr>
      </w:pPr>
    </w:p>
    <w:p w14:paraId="40E8C902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noProof/>
          <w:color w:val="000000"/>
          <w:lang w:val="en-US"/>
        </w:rPr>
      </w:pPr>
    </w:p>
    <w:p w14:paraId="3D7427F8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noProof/>
          <w:color w:val="000000"/>
          <w:lang w:val="en-US"/>
        </w:rPr>
      </w:pPr>
    </w:p>
    <w:p w14:paraId="2C2E318F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noProof/>
          <w:color w:val="000000"/>
          <w:lang w:val="en-US"/>
        </w:rPr>
      </w:pPr>
      <w:r w:rsidRPr="00314572">
        <w:rPr>
          <w:rFonts w:ascii="Times New Roman" w:hAnsi="Times New Roman"/>
          <w:b/>
          <w:bCs/>
          <w:noProof/>
          <w:color w:val="000000"/>
          <w:lang w:val="en-US"/>
        </w:rPr>
        <w:t>Appendix 1</w:t>
      </w:r>
    </w:p>
    <w:p w14:paraId="032FF3F9" w14:textId="77777777" w:rsidR="00766CC9" w:rsidRPr="00314572" w:rsidRDefault="007E2E8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  <w:r w:rsidRPr="00314572">
        <w:rPr>
          <w:rFonts w:ascii="Times New Roman" w:hAnsi="Times New Roman"/>
          <w:b/>
          <w:noProof/>
          <w:color w:val="000000"/>
          <w:lang w:val="en-US"/>
        </w:rPr>
        <w:drawing>
          <wp:inline distT="0" distB="0" distL="0" distR="0" wp14:anchorId="676CBB4B" wp14:editId="515A0B4B">
            <wp:extent cx="6128385" cy="3161665"/>
            <wp:effectExtent l="0" t="0" r="0" b="0"/>
            <wp:docPr id="1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89" b="30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F53B3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1E2AD55F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6C4851BC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2D748A4A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6AEA0F6C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305E9A92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385CA217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54C31808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5B7DD647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059246CD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57B2D441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02859AC8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5A8FA3FA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539285F0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37292A0B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413ECA61" w14:textId="77777777" w:rsidR="006730D0" w:rsidRDefault="006730D0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</w:p>
    <w:p w14:paraId="20E6B1AC" w14:textId="77777777" w:rsidR="00766CC9" w:rsidRPr="00314572" w:rsidRDefault="00766CC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  <w:r w:rsidRPr="00314572">
        <w:rPr>
          <w:rFonts w:ascii="Times New Roman" w:hAnsi="Times New Roman"/>
          <w:b/>
          <w:bCs/>
          <w:color w:val="000000"/>
          <w:lang w:val="en-US"/>
        </w:rPr>
        <w:t>Appendix 2</w:t>
      </w:r>
    </w:p>
    <w:p w14:paraId="4D3AE36F" w14:textId="77777777" w:rsidR="00766CC9" w:rsidRPr="00314572" w:rsidRDefault="007E2E89" w:rsidP="00766CC9">
      <w:pPr>
        <w:spacing w:line="480" w:lineRule="auto"/>
        <w:rPr>
          <w:rFonts w:ascii="Times New Roman" w:hAnsi="Times New Roman"/>
          <w:b/>
          <w:bCs/>
          <w:color w:val="000000"/>
          <w:lang w:val="en-US"/>
        </w:rPr>
      </w:pPr>
      <w:r w:rsidRPr="00314572">
        <w:rPr>
          <w:rFonts w:ascii="Times New Roman" w:hAnsi="Times New Roman"/>
          <w:b/>
          <w:noProof/>
          <w:color w:val="000000"/>
          <w:lang w:val="en-US"/>
        </w:rPr>
        <w:drawing>
          <wp:inline distT="0" distB="0" distL="0" distR="0" wp14:anchorId="067012B8" wp14:editId="148AC17D">
            <wp:extent cx="6128385" cy="3161665"/>
            <wp:effectExtent l="0" t="0" r="0" b="0"/>
            <wp:docPr id="2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0" b="30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EBE5" w14:textId="77777777" w:rsidR="00766CC9" w:rsidRPr="00314572" w:rsidRDefault="00766CC9" w:rsidP="00766CC9">
      <w:pPr>
        <w:spacing w:line="480" w:lineRule="auto"/>
        <w:rPr>
          <w:rFonts w:ascii="Times New Roman" w:hAnsi="Times New Roman"/>
          <w:color w:val="000000"/>
          <w:lang w:val="en-US"/>
        </w:rPr>
      </w:pPr>
    </w:p>
    <w:p w14:paraId="4DED9079" w14:textId="77777777" w:rsidR="00766CC9" w:rsidRDefault="00766CC9" w:rsidP="00766CC9">
      <w:pPr>
        <w:rPr>
          <w:rFonts w:ascii="Times New Roman" w:hAnsi="Times New Roman"/>
          <w:b/>
          <w:bCs/>
          <w:lang w:val="en-US"/>
        </w:rPr>
      </w:pPr>
      <w:r w:rsidRPr="00766CC9">
        <w:rPr>
          <w:rFonts w:ascii="Times New Roman" w:hAnsi="Times New Roman"/>
          <w:b/>
          <w:bCs/>
          <w:lang w:val="en-US"/>
        </w:rPr>
        <w:t>Appendix 3</w:t>
      </w:r>
    </w:p>
    <w:p w14:paraId="2DCC5B75" w14:textId="77777777" w:rsidR="00766CC9" w:rsidRDefault="00766CC9" w:rsidP="00766CC9">
      <w:pPr>
        <w:rPr>
          <w:rFonts w:ascii="Times New Roman" w:hAnsi="Times New Roman"/>
          <w:b/>
          <w:bCs/>
          <w:lang w:val="en-US"/>
        </w:rPr>
      </w:pPr>
    </w:p>
    <w:p w14:paraId="13DD67C1" w14:textId="77777777" w:rsidR="00766CC9" w:rsidRDefault="007E2E89" w:rsidP="00766CC9">
      <w:pPr>
        <w:rPr>
          <w:rFonts w:ascii="Times New Roman" w:hAnsi="Times New Roman"/>
          <w:b/>
          <w:bCs/>
          <w:lang w:val="en-US"/>
        </w:rPr>
      </w:pPr>
      <w:r w:rsidRPr="00314572">
        <w:rPr>
          <w:rFonts w:ascii="Times New Roman" w:hAnsi="Times New Roman"/>
          <w:b/>
          <w:noProof/>
          <w:lang w:val="en-US"/>
        </w:rPr>
        <w:lastRenderedPageBreak/>
        <w:drawing>
          <wp:inline distT="0" distB="0" distL="0" distR="0" wp14:anchorId="2A2D8512" wp14:editId="2F56C0E8">
            <wp:extent cx="6128385" cy="2830830"/>
            <wp:effectExtent l="0" t="0" r="0" b="0"/>
            <wp:docPr id="3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0" b="3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1F32" w14:textId="77777777" w:rsidR="00320A23" w:rsidRDefault="00320A23" w:rsidP="00766CC9">
      <w:pPr>
        <w:rPr>
          <w:rFonts w:ascii="Times New Roman" w:hAnsi="Times New Roman"/>
          <w:b/>
          <w:bCs/>
          <w:lang w:val="en-US"/>
        </w:rPr>
      </w:pPr>
    </w:p>
    <w:p w14:paraId="10D390F7" w14:textId="77777777" w:rsidR="00320A23" w:rsidRDefault="00320A23" w:rsidP="00766CC9">
      <w:pPr>
        <w:rPr>
          <w:rFonts w:ascii="Times New Roman" w:hAnsi="Times New Roman"/>
          <w:b/>
          <w:bCs/>
          <w:lang w:val="en-US"/>
        </w:rPr>
      </w:pPr>
    </w:p>
    <w:p w14:paraId="7FDA71C7" w14:textId="28251E3A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Appendix 4</w:t>
      </w:r>
    </w:p>
    <w:p w14:paraId="33055350" w14:textId="6E59FF66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0DA7D602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4945F9DA" w14:textId="32F7DC6B" w:rsidR="007E2E89" w:rsidRDefault="00230B4A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9CFD035" wp14:editId="633F1B1B">
            <wp:extent cx="6120130" cy="1619250"/>
            <wp:effectExtent l="0" t="0" r="1270" b="6350"/>
            <wp:docPr id="8" name="Immagine 8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avol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3ED6C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257FBE1C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7865681B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07D50604" w14:textId="4541D930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Appendix 5</w:t>
      </w:r>
    </w:p>
    <w:p w14:paraId="0A35F290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0EB51C63" w14:textId="550EB4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302E2368" w14:textId="78D04D0C" w:rsidR="007E2E89" w:rsidRDefault="00230B4A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A28C99B" wp14:editId="255AEB63">
            <wp:extent cx="6175717" cy="1646132"/>
            <wp:effectExtent l="0" t="0" r="0" b="5080"/>
            <wp:docPr id="9" name="Immagine 9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avol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887" cy="164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E6F7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32CB6B52" w14:textId="52A735E9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73CBFCF0" w14:textId="73B38676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493A3FB3" w14:textId="17CE78A8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Appendix 6</w:t>
      </w:r>
    </w:p>
    <w:p w14:paraId="66F78970" w14:textId="77777777" w:rsidR="001A5D59" w:rsidRDefault="001A5D59" w:rsidP="00320A23">
      <w:pPr>
        <w:pStyle w:val="EndNoteBibliography"/>
        <w:rPr>
          <w:rFonts w:ascii="Times New Roman" w:hAnsi="Times New Roman"/>
          <w:b/>
          <w:bCs/>
        </w:rPr>
      </w:pPr>
    </w:p>
    <w:p w14:paraId="21932776" w14:textId="7C549D18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551BAD02" w14:textId="1DDFEBF4" w:rsidR="001A5D59" w:rsidRDefault="00230B4A" w:rsidP="00320A23">
      <w:pPr>
        <w:pStyle w:val="EndNoteBibliography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326BB639" wp14:editId="4D1FBDA3">
            <wp:extent cx="6120130" cy="1653540"/>
            <wp:effectExtent l="0" t="0" r="1270" b="0"/>
            <wp:docPr id="7" name="Immagine 7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avol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A5D4F" w14:textId="77777777" w:rsidR="007E2E89" w:rsidRDefault="007E2E89" w:rsidP="00320A23">
      <w:pPr>
        <w:pStyle w:val="EndNoteBibliography"/>
        <w:rPr>
          <w:rFonts w:ascii="Times New Roman" w:hAnsi="Times New Roman"/>
          <w:b/>
          <w:bCs/>
        </w:rPr>
      </w:pPr>
    </w:p>
    <w:p w14:paraId="1F6D185E" w14:textId="40E0E628" w:rsidR="00320A23" w:rsidRPr="00A87AE5" w:rsidRDefault="00320A23" w:rsidP="00320A23">
      <w:pPr>
        <w:pStyle w:val="EndNoteBibliography"/>
        <w:rPr>
          <w:noProof/>
        </w:rPr>
      </w:pPr>
      <w:r>
        <w:rPr>
          <w:rFonts w:ascii="Times New Roman" w:hAnsi="Times New Roman"/>
          <w:b/>
          <w:bCs/>
        </w:rPr>
        <w:t>Sharma:</w:t>
      </w:r>
      <w:r w:rsidRPr="00320A23">
        <w:rPr>
          <w:noProof/>
        </w:rPr>
        <w:t xml:space="preserve"> </w:t>
      </w:r>
      <w:r w:rsidRPr="00A87AE5">
        <w:rPr>
          <w:noProof/>
        </w:rPr>
        <w:t>Sharma A, Raman A, Pradeep AR (2017) Role of 1% alendronate gel as adjunct to mechanical therapy in the treatment of chronic periodontitis among smokers. J Appl Oral Sci 25 (3):243-249. doi:10.1590/1678-7757-2016-0201</w:t>
      </w:r>
    </w:p>
    <w:p w14:paraId="374C9050" w14:textId="77777777" w:rsidR="00320A23" w:rsidRPr="00A87AE5" w:rsidRDefault="00320A23" w:rsidP="00320A23">
      <w:pPr>
        <w:pStyle w:val="EndNoteBibliography"/>
        <w:rPr>
          <w:noProof/>
        </w:rPr>
      </w:pPr>
      <w:r>
        <w:rPr>
          <w:rFonts w:ascii="Times New Roman" w:hAnsi="Times New Roman"/>
          <w:b/>
          <w:bCs/>
        </w:rPr>
        <w:t>Sharma’:</w:t>
      </w:r>
      <w:r w:rsidRPr="00320A23">
        <w:rPr>
          <w:noProof/>
        </w:rPr>
        <w:t xml:space="preserve"> </w:t>
      </w:r>
      <w:r w:rsidRPr="00A87AE5">
        <w:rPr>
          <w:noProof/>
        </w:rPr>
        <w:t>Clinical efficacy of 1% alendronate gel as a local drug delivery system in the treatment of chronic periodontitis: a randomized, controlled clinical trial. J Periodontol 83 (1):11-18. doi:10.1902/jop.2011.110091</w:t>
      </w:r>
    </w:p>
    <w:p w14:paraId="0F490F74" w14:textId="77777777" w:rsidR="00320A23" w:rsidRPr="00A87AE5" w:rsidRDefault="00320A23" w:rsidP="00320A23">
      <w:pPr>
        <w:pStyle w:val="EndNoteBibliography"/>
        <w:rPr>
          <w:noProof/>
        </w:rPr>
      </w:pPr>
      <w:r>
        <w:rPr>
          <w:rFonts w:ascii="Times New Roman" w:hAnsi="Times New Roman"/>
          <w:b/>
          <w:bCs/>
        </w:rPr>
        <w:t>Sharma’’:</w:t>
      </w:r>
      <w:r w:rsidRPr="00320A23">
        <w:rPr>
          <w:noProof/>
        </w:rPr>
        <w:t xml:space="preserve"> </w:t>
      </w:r>
      <w:r w:rsidRPr="00A87AE5">
        <w:rPr>
          <w:noProof/>
        </w:rPr>
        <w:t>Sharma A, Pradeep AR (2012) Clinical efficacy of 1% alendronate gel in adjunct to mechanotherapy in the treatment of aggressive periodontitis: a randomized controlled clinical trial. J Periodontol 83 (1):19-26. doi:10.1902/jop.2011.110206</w:t>
      </w:r>
    </w:p>
    <w:p w14:paraId="00E28613" w14:textId="77777777" w:rsidR="00320A23" w:rsidRPr="00A87AE5" w:rsidRDefault="00320A23" w:rsidP="00320A23">
      <w:pPr>
        <w:pStyle w:val="EndNoteBibliography"/>
        <w:rPr>
          <w:noProof/>
        </w:rPr>
      </w:pPr>
      <w:r>
        <w:rPr>
          <w:rFonts w:ascii="Times New Roman" w:hAnsi="Times New Roman"/>
          <w:b/>
          <w:bCs/>
        </w:rPr>
        <w:t>Pradeep:</w:t>
      </w:r>
      <w:r w:rsidRPr="00320A23">
        <w:rPr>
          <w:noProof/>
        </w:rPr>
        <w:t xml:space="preserve"> </w:t>
      </w:r>
      <w:r w:rsidRPr="00A87AE5">
        <w:rPr>
          <w:noProof/>
        </w:rPr>
        <w:t>Pradeep AR, Kanoriya D, Singhal S, Garg V, Manohar B, Chatterjee A (2017) Comparative evaluation of subgingivally delivered 1% alendronate versus 1.2% atorvastatin gel in treatment of chronic periodontitis: a randomized placebo-controlled clinical trial. J Investig Clin Dent 8 (3). doi:10.1111/jicd.12215</w:t>
      </w:r>
    </w:p>
    <w:p w14:paraId="0D3E2B79" w14:textId="77777777" w:rsidR="00320A23" w:rsidRPr="00A87AE5" w:rsidRDefault="00320A23" w:rsidP="00320A23">
      <w:pPr>
        <w:pStyle w:val="EndNoteBibliography"/>
        <w:rPr>
          <w:noProof/>
        </w:rPr>
      </w:pPr>
      <w:r>
        <w:rPr>
          <w:rFonts w:ascii="Times New Roman" w:hAnsi="Times New Roman"/>
          <w:b/>
          <w:bCs/>
        </w:rPr>
        <w:t>Pradeep’:</w:t>
      </w:r>
      <w:r w:rsidRPr="00320A23">
        <w:rPr>
          <w:noProof/>
        </w:rPr>
        <w:t xml:space="preserve"> </w:t>
      </w:r>
      <w:r w:rsidRPr="00A87AE5">
        <w:rPr>
          <w:noProof/>
        </w:rPr>
        <w:t>Pradeep AR, Kumari M, Rao NS, Naik SB (2013) 1% alendronate gel as local drug delivery in the treatment of Class II furcation defects: a randomized controlled clinical trial. J Periodontol 84 (3):307-315. doi:10.1902/jop.2012.110729</w:t>
      </w:r>
    </w:p>
    <w:p w14:paraId="251666A6" w14:textId="77777777" w:rsidR="00320A23" w:rsidRPr="00766CC9" w:rsidRDefault="00320A23" w:rsidP="00766CC9">
      <w:pPr>
        <w:rPr>
          <w:rFonts w:ascii="Times New Roman" w:hAnsi="Times New Roman"/>
          <w:b/>
          <w:bCs/>
          <w:lang w:val="en-US"/>
        </w:rPr>
      </w:pPr>
    </w:p>
    <w:sectPr w:rsidR="00320A23" w:rsidRPr="00766C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04FB3"/>
    <w:multiLevelType w:val="hybridMultilevel"/>
    <w:tmpl w:val="C4D01184"/>
    <w:numStyleLink w:val="Numbered"/>
  </w:abstractNum>
  <w:abstractNum w:abstractNumId="1" w15:restartNumberingAfterBreak="0">
    <w:nsid w:val="68A43001"/>
    <w:multiLevelType w:val="hybridMultilevel"/>
    <w:tmpl w:val="C4D01184"/>
    <w:styleLink w:val="Numbered"/>
    <w:lvl w:ilvl="0" w:tplc="3610631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8CFDF4">
      <w:start w:val="1"/>
      <w:numFmt w:val="decimal"/>
      <w:suff w:val="nothing"/>
      <w:lvlText w:val="%2."/>
      <w:lvlJc w:val="left"/>
      <w:pPr>
        <w:ind w:left="5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A5D46">
      <w:start w:val="1"/>
      <w:numFmt w:val="decimal"/>
      <w:suff w:val="nothing"/>
      <w:lvlText w:val="%3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AA96A4">
      <w:start w:val="1"/>
      <w:numFmt w:val="decimal"/>
      <w:suff w:val="nothing"/>
      <w:lvlText w:val="%4."/>
      <w:lvlJc w:val="left"/>
      <w:pPr>
        <w:ind w:left="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E43AD6">
      <w:start w:val="1"/>
      <w:numFmt w:val="decimal"/>
      <w:suff w:val="nothing"/>
      <w:lvlText w:val="%5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66C56">
      <w:start w:val="1"/>
      <w:numFmt w:val="decimal"/>
      <w:suff w:val="nothing"/>
      <w:lvlText w:val="%6.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9E696C">
      <w:start w:val="1"/>
      <w:numFmt w:val="decimal"/>
      <w:suff w:val="nothing"/>
      <w:lvlText w:val="%7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F0A14E">
      <w:start w:val="1"/>
      <w:numFmt w:val="decimal"/>
      <w:suff w:val="nothing"/>
      <w:lvlText w:val="%8."/>
      <w:lvlJc w:val="left"/>
      <w:pPr>
        <w:ind w:left="16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FE7922">
      <w:start w:val="1"/>
      <w:numFmt w:val="decimal"/>
      <w:suff w:val="nothing"/>
      <w:lvlText w:val="%9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sadx5prd2zdtiev9z2x5ppjxa2vwwse9v2t&quot;&gt;alendronate text library&lt;record-ids&gt;&lt;item&gt;17&lt;/item&gt;&lt;/record-ids&gt;&lt;/item&gt;&lt;/Libraries&gt;"/>
  </w:docVars>
  <w:rsids>
    <w:rsidRoot w:val="00766CC9"/>
    <w:rsid w:val="00050D78"/>
    <w:rsid w:val="000934E0"/>
    <w:rsid w:val="001A5D59"/>
    <w:rsid w:val="0022313E"/>
    <w:rsid w:val="00230B4A"/>
    <w:rsid w:val="002A176A"/>
    <w:rsid w:val="002C74E1"/>
    <w:rsid w:val="00314572"/>
    <w:rsid w:val="00320A23"/>
    <w:rsid w:val="003650E9"/>
    <w:rsid w:val="0039522F"/>
    <w:rsid w:val="0049725A"/>
    <w:rsid w:val="005E67F4"/>
    <w:rsid w:val="00657469"/>
    <w:rsid w:val="006730D0"/>
    <w:rsid w:val="006733EE"/>
    <w:rsid w:val="006777E7"/>
    <w:rsid w:val="00713F43"/>
    <w:rsid w:val="00766CC9"/>
    <w:rsid w:val="007E2E89"/>
    <w:rsid w:val="008629E2"/>
    <w:rsid w:val="00926E17"/>
    <w:rsid w:val="009B0F12"/>
    <w:rsid w:val="00A26AFE"/>
    <w:rsid w:val="00AA4977"/>
    <w:rsid w:val="00B06DFD"/>
    <w:rsid w:val="00B07F41"/>
    <w:rsid w:val="00B501AE"/>
    <w:rsid w:val="00E00C72"/>
    <w:rsid w:val="00EB707C"/>
    <w:rsid w:val="00E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CC96"/>
  <w15:chartTrackingRefBased/>
  <w15:docId w15:val="{944DC569-F56A-574F-B1B4-2B74F39C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6CC9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66CC9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713F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US"/>
    </w:rPr>
  </w:style>
  <w:style w:type="numbering" w:customStyle="1" w:styleId="Numbered">
    <w:name w:val="Numbered"/>
    <w:rsid w:val="00713F43"/>
    <w:pPr>
      <w:numPr>
        <w:numId w:val="1"/>
      </w:numPr>
    </w:pPr>
  </w:style>
  <w:style w:type="paragraph" w:customStyle="1" w:styleId="EndNoteBibliography">
    <w:name w:val="EndNote Bibliography"/>
    <w:basedOn w:val="Normale"/>
    <w:link w:val="EndNoteBibliographyCarattere"/>
    <w:rsid w:val="00320A23"/>
    <w:rPr>
      <w:rFonts w:cs="Calibri"/>
      <w:lang w:val="en-US"/>
    </w:rPr>
  </w:style>
  <w:style w:type="character" w:customStyle="1" w:styleId="EndNoteBibliographyCarattere">
    <w:name w:val="EndNote Bibliography Carattere"/>
    <w:link w:val="EndNoteBibliography"/>
    <w:rsid w:val="00320A23"/>
    <w:rPr>
      <w:rFonts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arena</dc:creator>
  <cp:keywords/>
  <dc:description/>
  <cp:lastModifiedBy>Giuseppe Troiano</cp:lastModifiedBy>
  <cp:revision>4</cp:revision>
  <dcterms:created xsi:type="dcterms:W3CDTF">2021-10-14T14:45:00Z</dcterms:created>
  <dcterms:modified xsi:type="dcterms:W3CDTF">2021-10-29T12:10:00Z</dcterms:modified>
</cp:coreProperties>
</file>