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1"/>
        <w:tblpPr w:leftFromText="180" w:rightFromText="180" w:horzAnchor="margin" w:tblpXSpec="center" w:tblpY="905"/>
        <w:tblW w:w="53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042"/>
        <w:gridCol w:w="1637"/>
        <w:gridCol w:w="1990"/>
        <w:gridCol w:w="1281"/>
      </w:tblGrid>
      <w:tr w:rsidR="003B3BA0" w:rsidRPr="00293E57" w14:paraId="2115029D" w14:textId="77777777" w:rsidTr="003B3BA0">
        <w:trPr>
          <w:trHeight w:val="260"/>
        </w:trPr>
        <w:tc>
          <w:tcPr>
            <w:tcW w:w="1549" w:type="pct"/>
            <w:tcBorders>
              <w:top w:val="single" w:sz="4" w:space="0" w:color="auto"/>
            </w:tcBorders>
          </w:tcPr>
          <w:p w14:paraId="715F78EA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rPr>
                <w:rFonts w:asciiTheme="majorBidi" w:hAnsiTheme="majorBidi" w:cstheme="majorBidi"/>
              </w:rPr>
            </w:pPr>
          </w:p>
        </w:tc>
        <w:tc>
          <w:tcPr>
            <w:tcW w:w="3451" w:type="pct"/>
            <w:gridSpan w:val="4"/>
            <w:tcBorders>
              <w:top w:val="single" w:sz="4" w:space="0" w:color="auto"/>
            </w:tcBorders>
          </w:tcPr>
          <w:p w14:paraId="76AE8AF0" w14:textId="249710C5" w:rsidR="003B3BA0" w:rsidRPr="00293E57" w:rsidRDefault="003B3BA0" w:rsidP="003B3BA0">
            <w:pPr>
              <w:autoSpaceDE w:val="0"/>
              <w:autoSpaceDN w:val="0"/>
              <w:adjustRightInd w:val="0"/>
              <w:ind w:left="100" w:firstLine="10"/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Teletriage</w:t>
            </w:r>
            <w:proofErr w:type="spellEnd"/>
            <w:r>
              <w:rPr>
                <w:rFonts w:asciiTheme="majorBidi" w:hAnsiTheme="majorBidi" w:cstheme="majorBidi"/>
              </w:rPr>
              <w:t xml:space="preserve"> decision</w:t>
            </w:r>
            <w:r w:rsidRPr="00293E57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  <w:vertAlign w:val="superscript"/>
              </w:rPr>
              <w:t xml:space="preserve">a </w:t>
            </w:r>
            <w:r w:rsidRPr="00293E57">
              <w:rPr>
                <w:rFonts w:asciiTheme="majorBidi" w:hAnsiTheme="majorBidi" w:cstheme="majorBidi"/>
              </w:rPr>
              <w:t>(N=532)</w:t>
            </w:r>
          </w:p>
        </w:tc>
      </w:tr>
      <w:tr w:rsidR="003B3BA0" w:rsidRPr="00293E57" w14:paraId="0291D55F" w14:textId="77777777" w:rsidTr="003B3BA0">
        <w:trPr>
          <w:trHeight w:val="170"/>
        </w:trPr>
        <w:tc>
          <w:tcPr>
            <w:tcW w:w="1549" w:type="pct"/>
          </w:tcPr>
          <w:p w14:paraId="3E120A64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rPr>
                <w:rFonts w:asciiTheme="majorBidi" w:hAnsiTheme="majorBidi" w:cstheme="majorBidi"/>
              </w:rPr>
            </w:pPr>
          </w:p>
        </w:tc>
        <w:tc>
          <w:tcPr>
            <w:tcW w:w="1827" w:type="pct"/>
            <w:gridSpan w:val="2"/>
            <w:tcBorders>
              <w:top w:val="single" w:sz="4" w:space="0" w:color="auto"/>
            </w:tcBorders>
          </w:tcPr>
          <w:p w14:paraId="5525717F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100" w:firstLine="1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Adjusting for dental discipline required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</w:tcBorders>
          </w:tcPr>
          <w:p w14:paraId="188006CE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100" w:firstLine="1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Not Adjusting for dental discipline required</w:t>
            </w:r>
          </w:p>
        </w:tc>
      </w:tr>
      <w:tr w:rsidR="003B3BA0" w:rsidRPr="00293E57" w14:paraId="102AE9B7" w14:textId="77777777" w:rsidTr="003B46D1">
        <w:trPr>
          <w:trHeight w:val="179"/>
        </w:trPr>
        <w:tc>
          <w:tcPr>
            <w:tcW w:w="1549" w:type="pct"/>
            <w:tcBorders>
              <w:bottom w:val="single" w:sz="4" w:space="0" w:color="auto"/>
            </w:tcBorders>
          </w:tcPr>
          <w:p w14:paraId="2FB34A65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Variable</w:t>
            </w:r>
          </w:p>
        </w:tc>
        <w:tc>
          <w:tcPr>
            <w:tcW w:w="1014" w:type="pct"/>
            <w:tcBorders>
              <w:top w:val="single" w:sz="4" w:space="0" w:color="auto"/>
              <w:bottom w:val="single" w:sz="4" w:space="0" w:color="auto"/>
            </w:tcBorders>
          </w:tcPr>
          <w:p w14:paraId="0C39D6F8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100" w:firstLine="1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OR (95% CI)</w:t>
            </w:r>
          </w:p>
        </w:tc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</w:tcPr>
          <w:p w14:paraId="21F89D25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100" w:firstLine="1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  <w:i/>
                <w:iCs/>
              </w:rPr>
              <w:t>P</w:t>
            </w:r>
            <w:r w:rsidRPr="00293E57">
              <w:rPr>
                <w:rFonts w:asciiTheme="majorBidi" w:hAnsiTheme="majorBidi" w:cstheme="majorBidi"/>
              </w:rPr>
              <w:t xml:space="preserve"> value</w:t>
            </w:r>
          </w:p>
        </w:tc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</w:tcPr>
          <w:p w14:paraId="59B15EFE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100" w:firstLine="1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OR (95% CI)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</w:tcPr>
          <w:p w14:paraId="04962C37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100" w:firstLine="1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  <w:i/>
                <w:iCs/>
              </w:rPr>
              <w:t>P</w:t>
            </w:r>
            <w:r w:rsidRPr="00293E57">
              <w:rPr>
                <w:rFonts w:asciiTheme="majorBidi" w:hAnsiTheme="majorBidi" w:cstheme="majorBidi"/>
              </w:rPr>
              <w:t xml:space="preserve"> value</w:t>
            </w:r>
          </w:p>
        </w:tc>
      </w:tr>
      <w:tr w:rsidR="003B46D1" w:rsidRPr="00293E57" w14:paraId="7E1D1D26" w14:textId="77777777" w:rsidTr="003B46D1">
        <w:trPr>
          <w:trHeight w:val="231"/>
        </w:trPr>
        <w:tc>
          <w:tcPr>
            <w:tcW w:w="1549" w:type="pct"/>
            <w:tcBorders>
              <w:top w:val="single" w:sz="4" w:space="0" w:color="auto"/>
            </w:tcBorders>
          </w:tcPr>
          <w:p w14:paraId="7871B7E4" w14:textId="77777777" w:rsidR="003B46D1" w:rsidRPr="00293E57" w:rsidRDefault="003B46D1" w:rsidP="003B3BA0">
            <w:pPr>
              <w:autoSpaceDE w:val="0"/>
              <w:autoSpaceDN w:val="0"/>
              <w:adjustRightInd w:val="0"/>
              <w:ind w:left="60" w:right="60"/>
              <w:rPr>
                <w:rFonts w:asciiTheme="majorBidi" w:hAnsiTheme="majorBidi" w:cstheme="majorBidi"/>
                <w:b/>
                <w:bCs/>
              </w:rPr>
            </w:pPr>
            <w:r w:rsidRPr="00293E57">
              <w:rPr>
                <w:rFonts w:asciiTheme="majorBidi" w:hAnsiTheme="majorBidi" w:cstheme="majorBidi"/>
                <w:b/>
                <w:bCs/>
              </w:rPr>
              <w:t xml:space="preserve">Pain Scale </w:t>
            </w:r>
            <w:r>
              <w:rPr>
                <w:rFonts w:asciiTheme="majorBidi" w:hAnsiTheme="majorBidi" w:cstheme="majorBidi"/>
                <w:b/>
                <w:bCs/>
              </w:rPr>
              <w:t>(per unit increase)</w:t>
            </w:r>
          </w:p>
        </w:tc>
        <w:tc>
          <w:tcPr>
            <w:tcW w:w="1014" w:type="pct"/>
            <w:tcBorders>
              <w:top w:val="single" w:sz="4" w:space="0" w:color="auto"/>
            </w:tcBorders>
          </w:tcPr>
          <w:p w14:paraId="3DA8A20F" w14:textId="77777777" w:rsidR="003B46D1" w:rsidRPr="00293E57" w:rsidRDefault="003B46D1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1.39 (1.26 - 1.54)</w:t>
            </w:r>
          </w:p>
        </w:tc>
        <w:tc>
          <w:tcPr>
            <w:tcW w:w="813" w:type="pct"/>
            <w:tcBorders>
              <w:top w:val="single" w:sz="4" w:space="0" w:color="auto"/>
            </w:tcBorders>
          </w:tcPr>
          <w:p w14:paraId="095DF996" w14:textId="6337D4B1" w:rsidR="003B46D1" w:rsidRPr="00293E57" w:rsidRDefault="0052661A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52661A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14:paraId="753CA4B0" w14:textId="77777777" w:rsidR="003B46D1" w:rsidRPr="00293E57" w:rsidRDefault="003B46D1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1.31 (1.19-1.44)</w:t>
            </w:r>
          </w:p>
        </w:tc>
        <w:tc>
          <w:tcPr>
            <w:tcW w:w="636" w:type="pct"/>
            <w:tcBorders>
              <w:top w:val="single" w:sz="4" w:space="0" w:color="auto"/>
            </w:tcBorders>
          </w:tcPr>
          <w:p w14:paraId="3286F2CB" w14:textId="03E52F6D" w:rsidR="003B46D1" w:rsidRPr="00293E57" w:rsidRDefault="0052661A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52661A">
              <w:rPr>
                <w:rFonts w:asciiTheme="majorBidi" w:hAnsiTheme="majorBidi" w:cstheme="majorBidi"/>
              </w:rPr>
              <w:t>&lt; 0.0001</w:t>
            </w:r>
          </w:p>
        </w:tc>
      </w:tr>
      <w:tr w:rsidR="003B3BA0" w:rsidRPr="00293E57" w14:paraId="30AEC0F3" w14:textId="77777777" w:rsidTr="003B46D1">
        <w:trPr>
          <w:trHeight w:val="231"/>
        </w:trPr>
        <w:tc>
          <w:tcPr>
            <w:tcW w:w="1549" w:type="pct"/>
          </w:tcPr>
          <w:p w14:paraId="5954B9A4" w14:textId="488B6488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rPr>
                <w:rFonts w:asciiTheme="majorBidi" w:hAnsiTheme="majorBidi" w:cstheme="majorBidi"/>
                <w:b/>
                <w:bCs/>
              </w:rPr>
            </w:pPr>
            <w:r w:rsidRPr="00293E57">
              <w:rPr>
                <w:rFonts w:asciiTheme="majorBidi" w:hAnsiTheme="majorBidi" w:cstheme="majorBidi"/>
                <w:b/>
                <w:bCs/>
              </w:rPr>
              <w:t xml:space="preserve">Age group </w:t>
            </w:r>
            <w:r>
              <w:rPr>
                <w:rFonts w:asciiTheme="majorBidi" w:hAnsiTheme="majorBidi" w:cstheme="majorBidi"/>
                <w:b/>
                <w:bCs/>
                <w:vertAlign w:val="superscript"/>
              </w:rPr>
              <w:t>b</w:t>
            </w:r>
            <w:r w:rsidRPr="00293E57">
              <w:rPr>
                <w:rFonts w:asciiTheme="majorBidi" w:hAnsiTheme="majorBidi" w:cstheme="majorBidi"/>
                <w:b/>
                <w:bCs/>
              </w:rPr>
              <w:t xml:space="preserve"> (years)</w:t>
            </w:r>
          </w:p>
        </w:tc>
        <w:tc>
          <w:tcPr>
            <w:tcW w:w="1014" w:type="pct"/>
          </w:tcPr>
          <w:p w14:paraId="2262B035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13" w:type="pct"/>
          </w:tcPr>
          <w:p w14:paraId="3F0E9CBF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8" w:type="pct"/>
          </w:tcPr>
          <w:p w14:paraId="2EA02DC5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6" w:type="pct"/>
          </w:tcPr>
          <w:p w14:paraId="5208A500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30B372DB" w14:textId="77777777" w:rsidTr="003B3BA0">
        <w:trPr>
          <w:trHeight w:val="291"/>
        </w:trPr>
        <w:tc>
          <w:tcPr>
            <w:tcW w:w="1549" w:type="pct"/>
          </w:tcPr>
          <w:p w14:paraId="3B2CFCD9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 xml:space="preserve">Adults (19-44) </w:t>
            </w:r>
          </w:p>
        </w:tc>
        <w:tc>
          <w:tcPr>
            <w:tcW w:w="1014" w:type="pct"/>
          </w:tcPr>
          <w:p w14:paraId="47ECF11D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813" w:type="pct"/>
          </w:tcPr>
          <w:p w14:paraId="67EACF08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8" w:type="pct"/>
          </w:tcPr>
          <w:p w14:paraId="36155C85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636" w:type="pct"/>
          </w:tcPr>
          <w:p w14:paraId="6C8B2265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7D56F8D1" w14:textId="77777777" w:rsidTr="003B3BA0">
        <w:trPr>
          <w:trHeight w:val="281"/>
        </w:trPr>
        <w:tc>
          <w:tcPr>
            <w:tcW w:w="1549" w:type="pct"/>
          </w:tcPr>
          <w:p w14:paraId="6F4A0044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Child/ adolescent (9-18)</w:t>
            </w:r>
          </w:p>
        </w:tc>
        <w:tc>
          <w:tcPr>
            <w:tcW w:w="1014" w:type="pct"/>
          </w:tcPr>
          <w:p w14:paraId="04F92033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2.07 (1.07- 4.02)</w:t>
            </w:r>
          </w:p>
        </w:tc>
        <w:tc>
          <w:tcPr>
            <w:tcW w:w="813" w:type="pct"/>
          </w:tcPr>
          <w:p w14:paraId="645502CA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.031</w:t>
            </w:r>
          </w:p>
        </w:tc>
        <w:tc>
          <w:tcPr>
            <w:tcW w:w="988" w:type="pct"/>
          </w:tcPr>
          <w:p w14:paraId="2C58FD6A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3.84 (2.15-6.88)</w:t>
            </w:r>
          </w:p>
        </w:tc>
        <w:tc>
          <w:tcPr>
            <w:tcW w:w="636" w:type="pct"/>
          </w:tcPr>
          <w:p w14:paraId="6CFE92E9" w14:textId="3EBE5442" w:rsidR="003B3BA0" w:rsidRPr="00293E57" w:rsidRDefault="0052661A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52661A">
              <w:rPr>
                <w:rFonts w:asciiTheme="majorBidi" w:hAnsiTheme="majorBidi" w:cstheme="majorBidi"/>
              </w:rPr>
              <w:t>&lt; 0.0001</w:t>
            </w:r>
          </w:p>
        </w:tc>
      </w:tr>
      <w:tr w:rsidR="003B3BA0" w:rsidRPr="00293E57" w14:paraId="32EAE0FE" w14:textId="77777777" w:rsidTr="003B3BA0">
        <w:trPr>
          <w:trHeight w:val="143"/>
        </w:trPr>
        <w:tc>
          <w:tcPr>
            <w:tcW w:w="1549" w:type="pct"/>
          </w:tcPr>
          <w:p w14:paraId="0C9453A7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Middle aged (45-64)</w:t>
            </w:r>
          </w:p>
        </w:tc>
        <w:tc>
          <w:tcPr>
            <w:tcW w:w="1014" w:type="pct"/>
          </w:tcPr>
          <w:p w14:paraId="3159EC89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1.73 (0.91 - 3.31)</w:t>
            </w:r>
          </w:p>
        </w:tc>
        <w:tc>
          <w:tcPr>
            <w:tcW w:w="813" w:type="pct"/>
          </w:tcPr>
          <w:p w14:paraId="61D40674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.096</w:t>
            </w:r>
          </w:p>
        </w:tc>
        <w:tc>
          <w:tcPr>
            <w:tcW w:w="988" w:type="pct"/>
          </w:tcPr>
          <w:p w14:paraId="1E08834F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1.50 (0.81-2.79)</w:t>
            </w:r>
          </w:p>
        </w:tc>
        <w:tc>
          <w:tcPr>
            <w:tcW w:w="636" w:type="pct"/>
          </w:tcPr>
          <w:p w14:paraId="47A22825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.199</w:t>
            </w:r>
          </w:p>
        </w:tc>
      </w:tr>
      <w:tr w:rsidR="003B3BA0" w:rsidRPr="00293E57" w14:paraId="55F7EB26" w14:textId="77777777" w:rsidTr="003B3BA0">
        <w:trPr>
          <w:trHeight w:val="317"/>
        </w:trPr>
        <w:tc>
          <w:tcPr>
            <w:tcW w:w="1549" w:type="pct"/>
          </w:tcPr>
          <w:p w14:paraId="77C64A09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 xml:space="preserve">Aged (65+) </w:t>
            </w:r>
          </w:p>
        </w:tc>
        <w:tc>
          <w:tcPr>
            <w:tcW w:w="1014" w:type="pct"/>
          </w:tcPr>
          <w:p w14:paraId="0D132C57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0.86 (0.36 - 2.05)</w:t>
            </w:r>
          </w:p>
        </w:tc>
        <w:tc>
          <w:tcPr>
            <w:tcW w:w="813" w:type="pct"/>
          </w:tcPr>
          <w:p w14:paraId="3398BCD4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.737</w:t>
            </w:r>
          </w:p>
        </w:tc>
        <w:tc>
          <w:tcPr>
            <w:tcW w:w="988" w:type="pct"/>
          </w:tcPr>
          <w:p w14:paraId="0590E5D7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0.77 (0.34-1.79)</w:t>
            </w:r>
          </w:p>
        </w:tc>
        <w:tc>
          <w:tcPr>
            <w:tcW w:w="636" w:type="pct"/>
          </w:tcPr>
          <w:p w14:paraId="22CE0DE6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.553</w:t>
            </w:r>
          </w:p>
        </w:tc>
      </w:tr>
      <w:tr w:rsidR="003B3BA0" w:rsidRPr="00293E57" w14:paraId="7F2A1BB2" w14:textId="77777777" w:rsidTr="003B3BA0">
        <w:trPr>
          <w:trHeight w:val="225"/>
        </w:trPr>
        <w:tc>
          <w:tcPr>
            <w:tcW w:w="1549" w:type="pct"/>
          </w:tcPr>
          <w:p w14:paraId="2304EC4B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rPr>
                <w:rFonts w:asciiTheme="majorBidi" w:hAnsiTheme="majorBidi" w:cstheme="majorBidi"/>
                <w:b/>
                <w:bCs/>
              </w:rPr>
            </w:pPr>
            <w:r w:rsidRPr="00293E57">
              <w:rPr>
                <w:rFonts w:asciiTheme="majorBidi" w:hAnsiTheme="majorBidi" w:cstheme="majorBidi"/>
                <w:b/>
                <w:bCs/>
              </w:rPr>
              <w:t>Gender</w:t>
            </w:r>
          </w:p>
        </w:tc>
        <w:tc>
          <w:tcPr>
            <w:tcW w:w="1014" w:type="pct"/>
          </w:tcPr>
          <w:p w14:paraId="0EE9CAC5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13" w:type="pct"/>
          </w:tcPr>
          <w:p w14:paraId="3A14B305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8" w:type="pct"/>
          </w:tcPr>
          <w:p w14:paraId="47249D49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6" w:type="pct"/>
          </w:tcPr>
          <w:p w14:paraId="62B2C485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60E2D454" w14:textId="77777777" w:rsidTr="003B3BA0">
        <w:trPr>
          <w:trHeight w:val="271"/>
        </w:trPr>
        <w:tc>
          <w:tcPr>
            <w:tcW w:w="1549" w:type="pct"/>
          </w:tcPr>
          <w:p w14:paraId="0D7585C3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1014" w:type="pct"/>
          </w:tcPr>
          <w:p w14:paraId="70993452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813" w:type="pct"/>
          </w:tcPr>
          <w:p w14:paraId="40792D9E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8" w:type="pct"/>
          </w:tcPr>
          <w:p w14:paraId="03D7DBBF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636" w:type="pct"/>
          </w:tcPr>
          <w:p w14:paraId="0B15DD98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12042104" w14:textId="77777777" w:rsidTr="003B3BA0">
        <w:trPr>
          <w:trHeight w:val="329"/>
        </w:trPr>
        <w:tc>
          <w:tcPr>
            <w:tcW w:w="1549" w:type="pct"/>
          </w:tcPr>
          <w:p w14:paraId="78F8789F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1014" w:type="pct"/>
          </w:tcPr>
          <w:p w14:paraId="6F38715B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1.01 (0.67 - 1.51)</w:t>
            </w:r>
          </w:p>
        </w:tc>
        <w:tc>
          <w:tcPr>
            <w:tcW w:w="813" w:type="pct"/>
          </w:tcPr>
          <w:p w14:paraId="6361AB2A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.960</w:t>
            </w:r>
          </w:p>
        </w:tc>
        <w:tc>
          <w:tcPr>
            <w:tcW w:w="988" w:type="pct"/>
          </w:tcPr>
          <w:p w14:paraId="34F054E2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0.87 (0.59-1.28)</w:t>
            </w:r>
          </w:p>
        </w:tc>
        <w:tc>
          <w:tcPr>
            <w:tcW w:w="636" w:type="pct"/>
          </w:tcPr>
          <w:p w14:paraId="02F527CA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.488</w:t>
            </w:r>
          </w:p>
        </w:tc>
      </w:tr>
      <w:tr w:rsidR="003B3BA0" w:rsidRPr="00293E57" w14:paraId="6A770924" w14:textId="77777777" w:rsidTr="003B3BA0">
        <w:trPr>
          <w:trHeight w:val="197"/>
        </w:trPr>
        <w:tc>
          <w:tcPr>
            <w:tcW w:w="1549" w:type="pct"/>
          </w:tcPr>
          <w:p w14:paraId="43734583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rPr>
                <w:rFonts w:asciiTheme="majorBidi" w:hAnsiTheme="majorBidi" w:cstheme="majorBidi"/>
                <w:b/>
                <w:bCs/>
              </w:rPr>
            </w:pPr>
            <w:r w:rsidRPr="00293E57">
              <w:rPr>
                <w:rFonts w:asciiTheme="majorBidi" w:hAnsiTheme="majorBidi" w:cstheme="majorBidi"/>
                <w:b/>
                <w:bCs/>
              </w:rPr>
              <w:t>Chronic illness</w:t>
            </w:r>
          </w:p>
        </w:tc>
        <w:tc>
          <w:tcPr>
            <w:tcW w:w="1014" w:type="pct"/>
          </w:tcPr>
          <w:p w14:paraId="383E7FC4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13" w:type="pct"/>
          </w:tcPr>
          <w:p w14:paraId="50B85F7D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8" w:type="pct"/>
          </w:tcPr>
          <w:p w14:paraId="4C341DB8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6" w:type="pct"/>
          </w:tcPr>
          <w:p w14:paraId="0664F77C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70018BEA" w14:textId="77777777" w:rsidTr="003B3BA0">
        <w:trPr>
          <w:trHeight w:val="229"/>
        </w:trPr>
        <w:tc>
          <w:tcPr>
            <w:tcW w:w="1549" w:type="pct"/>
          </w:tcPr>
          <w:p w14:paraId="73A693A6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 w:firstLine="19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014" w:type="pct"/>
          </w:tcPr>
          <w:p w14:paraId="587B44E2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813" w:type="pct"/>
          </w:tcPr>
          <w:p w14:paraId="0C0E7C6E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8" w:type="pct"/>
          </w:tcPr>
          <w:p w14:paraId="22C831C6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636" w:type="pct"/>
          </w:tcPr>
          <w:p w14:paraId="752A3A0A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39E2912F" w14:textId="77777777" w:rsidTr="003B3BA0">
        <w:trPr>
          <w:trHeight w:val="199"/>
        </w:trPr>
        <w:tc>
          <w:tcPr>
            <w:tcW w:w="1549" w:type="pct"/>
          </w:tcPr>
          <w:p w14:paraId="06617AA2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 w:firstLine="19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014" w:type="pct"/>
          </w:tcPr>
          <w:p w14:paraId="64AA5E9C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2.12 (1.28 -3.51)</w:t>
            </w:r>
          </w:p>
        </w:tc>
        <w:tc>
          <w:tcPr>
            <w:tcW w:w="813" w:type="pct"/>
          </w:tcPr>
          <w:p w14:paraId="76FC64A1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.003</w:t>
            </w:r>
          </w:p>
        </w:tc>
        <w:tc>
          <w:tcPr>
            <w:tcW w:w="988" w:type="pct"/>
          </w:tcPr>
          <w:p w14:paraId="4BAD6C26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2.16 (1.34-3.50)</w:t>
            </w:r>
          </w:p>
        </w:tc>
        <w:tc>
          <w:tcPr>
            <w:tcW w:w="636" w:type="pct"/>
          </w:tcPr>
          <w:p w14:paraId="571ACACA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002</w:t>
            </w:r>
          </w:p>
        </w:tc>
      </w:tr>
      <w:tr w:rsidR="003B3BA0" w:rsidRPr="00293E57" w14:paraId="029346E3" w14:textId="77777777" w:rsidTr="003B3BA0">
        <w:trPr>
          <w:trHeight w:val="247"/>
        </w:trPr>
        <w:tc>
          <w:tcPr>
            <w:tcW w:w="1549" w:type="pct"/>
          </w:tcPr>
          <w:p w14:paraId="30F03EB4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rPr>
                <w:rFonts w:asciiTheme="majorBidi" w:hAnsiTheme="majorBidi" w:cstheme="majorBidi"/>
                <w:b/>
                <w:bCs/>
              </w:rPr>
            </w:pPr>
            <w:r w:rsidRPr="00293E57">
              <w:rPr>
                <w:rFonts w:asciiTheme="majorBidi" w:hAnsiTheme="majorBidi" w:cstheme="majorBidi"/>
                <w:b/>
                <w:bCs/>
              </w:rPr>
              <w:t>Dental Specialty Needed</w:t>
            </w:r>
          </w:p>
        </w:tc>
        <w:tc>
          <w:tcPr>
            <w:tcW w:w="1014" w:type="pct"/>
          </w:tcPr>
          <w:p w14:paraId="0BA25437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13" w:type="pct"/>
          </w:tcPr>
          <w:p w14:paraId="6D8566C5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8" w:type="pct"/>
          </w:tcPr>
          <w:p w14:paraId="31C47486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6" w:type="pct"/>
          </w:tcPr>
          <w:p w14:paraId="58B71451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2D2821B9" w14:textId="77777777" w:rsidTr="003B3BA0">
        <w:trPr>
          <w:trHeight w:val="123"/>
        </w:trPr>
        <w:tc>
          <w:tcPr>
            <w:tcW w:w="1549" w:type="pct"/>
          </w:tcPr>
          <w:p w14:paraId="671335AC" w14:textId="5E6F9E39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  <w:vertAlign w:val="superscript"/>
              </w:rPr>
            </w:pPr>
            <w:r w:rsidRPr="00293E57">
              <w:rPr>
                <w:rFonts w:asciiTheme="majorBidi" w:hAnsiTheme="majorBidi" w:cstheme="majorBidi"/>
              </w:rPr>
              <w:t xml:space="preserve">Restorative specialties </w:t>
            </w:r>
            <w:r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014" w:type="pct"/>
          </w:tcPr>
          <w:p w14:paraId="66FF0511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813" w:type="pct"/>
          </w:tcPr>
          <w:p w14:paraId="60723823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88" w:type="pct"/>
          </w:tcPr>
          <w:p w14:paraId="18E08430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6" w:type="pct"/>
          </w:tcPr>
          <w:p w14:paraId="783BE75F" w14:textId="77777777" w:rsidR="003B3BA0" w:rsidRPr="00293E57" w:rsidRDefault="003B3BA0" w:rsidP="003B3BA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03997013" w14:textId="77777777" w:rsidTr="003B3BA0">
        <w:trPr>
          <w:trHeight w:val="155"/>
        </w:trPr>
        <w:tc>
          <w:tcPr>
            <w:tcW w:w="1549" w:type="pct"/>
          </w:tcPr>
          <w:p w14:paraId="77A27392" w14:textId="0F194240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  <w:vertAlign w:val="superscript"/>
              </w:rPr>
            </w:pPr>
            <w:r w:rsidRPr="00293E57">
              <w:rPr>
                <w:rFonts w:asciiTheme="majorBidi" w:hAnsiTheme="majorBidi" w:cstheme="majorBidi"/>
              </w:rPr>
              <w:t xml:space="preserve">Surgical specialties </w:t>
            </w:r>
            <w:r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014" w:type="pct"/>
          </w:tcPr>
          <w:p w14:paraId="2E389F2D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1.93 (1.22 - 3.04)</w:t>
            </w:r>
          </w:p>
        </w:tc>
        <w:tc>
          <w:tcPr>
            <w:tcW w:w="813" w:type="pct"/>
          </w:tcPr>
          <w:p w14:paraId="4D3F53FE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.005</w:t>
            </w:r>
          </w:p>
        </w:tc>
        <w:tc>
          <w:tcPr>
            <w:tcW w:w="988" w:type="pct"/>
          </w:tcPr>
          <w:p w14:paraId="11861E87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6" w:type="pct"/>
          </w:tcPr>
          <w:p w14:paraId="614DE00E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</w:tr>
      <w:tr w:rsidR="003B3BA0" w:rsidRPr="00293E57" w14:paraId="7F1C175C" w14:textId="77777777" w:rsidTr="003B3BA0">
        <w:trPr>
          <w:trHeight w:val="187"/>
        </w:trPr>
        <w:tc>
          <w:tcPr>
            <w:tcW w:w="1549" w:type="pct"/>
            <w:tcBorders>
              <w:bottom w:val="single" w:sz="4" w:space="0" w:color="auto"/>
            </w:tcBorders>
          </w:tcPr>
          <w:p w14:paraId="306D4D77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250" w:right="60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Orthodontics</w:t>
            </w:r>
          </w:p>
        </w:tc>
        <w:tc>
          <w:tcPr>
            <w:tcW w:w="1014" w:type="pct"/>
            <w:tcBorders>
              <w:bottom w:val="single" w:sz="4" w:space="0" w:color="auto"/>
            </w:tcBorders>
          </w:tcPr>
          <w:p w14:paraId="6C41896C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293E57">
              <w:rPr>
                <w:rFonts w:asciiTheme="majorBidi" w:hAnsiTheme="majorBidi" w:cstheme="majorBidi"/>
              </w:rPr>
              <w:t>7.02 (3.54 -13.87)</w:t>
            </w:r>
          </w:p>
        </w:tc>
        <w:tc>
          <w:tcPr>
            <w:tcW w:w="813" w:type="pct"/>
            <w:tcBorders>
              <w:bottom w:val="single" w:sz="4" w:space="0" w:color="auto"/>
            </w:tcBorders>
          </w:tcPr>
          <w:p w14:paraId="2941E11B" w14:textId="6CB87EE0" w:rsidR="003B3BA0" w:rsidRPr="00293E57" w:rsidRDefault="0052661A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  <w:r w:rsidRPr="0052661A">
              <w:rPr>
                <w:rFonts w:asciiTheme="majorBidi" w:hAnsiTheme="majorBidi" w:cstheme="majorBidi"/>
              </w:rPr>
              <w:t>&lt; 0.0001</w:t>
            </w: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14:paraId="5F659FCC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58B050E4" w14:textId="77777777" w:rsidR="003B3BA0" w:rsidRPr="00293E57" w:rsidRDefault="003B3BA0" w:rsidP="003B3BA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44D08F86" w14:textId="35AE4A99" w:rsidR="003B3BA0" w:rsidRDefault="00B87AFB" w:rsidP="003B3BA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Table S</w:t>
      </w:r>
      <w:bookmarkStart w:id="0" w:name="_GoBack"/>
      <w:bookmarkEnd w:id="0"/>
      <w:r w:rsidR="003B3BA0" w:rsidRPr="003B3BA0">
        <w:rPr>
          <w:rFonts w:asciiTheme="majorBidi" w:hAnsiTheme="majorBidi" w:cstheme="majorBidi"/>
          <w:sz w:val="24"/>
          <w:szCs w:val="24"/>
        </w:rPr>
        <w:t xml:space="preserve">1. </w:t>
      </w:r>
      <w:r w:rsidR="007407BB">
        <w:rPr>
          <w:rFonts w:asciiTheme="majorBidi" w:hAnsiTheme="majorBidi" w:cstheme="majorBidi"/>
          <w:sz w:val="24"/>
          <w:szCs w:val="24"/>
        </w:rPr>
        <w:t>R</w:t>
      </w:r>
      <w:r w:rsidR="003B3BA0" w:rsidRPr="003B3BA0">
        <w:rPr>
          <w:rFonts w:asciiTheme="majorBidi" w:hAnsiTheme="majorBidi" w:cstheme="majorBidi"/>
          <w:sz w:val="24"/>
          <w:szCs w:val="24"/>
        </w:rPr>
        <w:t xml:space="preserve">egression analysis with and without adjusting for dental discipline required. </w:t>
      </w:r>
    </w:p>
    <w:p w14:paraId="45F387BB" w14:textId="77777777" w:rsidR="003B3BA0" w:rsidRDefault="003B3BA0" w:rsidP="003B3BA0">
      <w:pPr>
        <w:rPr>
          <w:rFonts w:asciiTheme="majorBidi" w:hAnsiTheme="majorBidi" w:cstheme="majorBidi"/>
          <w:sz w:val="24"/>
          <w:szCs w:val="24"/>
        </w:rPr>
      </w:pPr>
    </w:p>
    <w:p w14:paraId="4D05AE5A" w14:textId="69AE6D00" w:rsidR="003B3BA0" w:rsidRPr="003B3BA0" w:rsidRDefault="003B3BA0" w:rsidP="003B3BA0">
      <w:pPr>
        <w:jc w:val="both"/>
        <w:rPr>
          <w:rFonts w:asciiTheme="majorBidi" w:hAnsiTheme="majorBidi" w:cstheme="majorBidi"/>
        </w:rPr>
      </w:pPr>
      <w:bookmarkStart w:id="1" w:name="_Hlk94139067"/>
      <w:proofErr w:type="spellStart"/>
      <w:proofErr w:type="gramStart"/>
      <w:r w:rsidRPr="003B3BA0">
        <w:rPr>
          <w:rFonts w:asciiTheme="majorBidi" w:hAnsiTheme="majorBidi" w:cstheme="majorBidi"/>
          <w:vertAlign w:val="superscript"/>
        </w:rPr>
        <w:t>a</w:t>
      </w:r>
      <w:proofErr w:type="spellEnd"/>
      <w:proofErr w:type="gramEnd"/>
      <w:r w:rsidRPr="003B3BA0">
        <w:rPr>
          <w:rFonts w:asciiTheme="majorBidi" w:hAnsiTheme="majorBidi" w:cstheme="majorBidi"/>
          <w:vertAlign w:val="superscript"/>
        </w:rPr>
        <w:t xml:space="preserve"> </w:t>
      </w:r>
      <w:r w:rsidRPr="003B3BA0">
        <w:rPr>
          <w:rFonts w:asciiTheme="majorBidi" w:hAnsiTheme="majorBidi" w:cstheme="majorBidi"/>
        </w:rPr>
        <w:t xml:space="preserve">outcome categorized as follow; 0=Remote management, 1= referral for face-to-face management; </w:t>
      </w:r>
      <w:r w:rsidRPr="003B3BA0">
        <w:rPr>
          <w:rFonts w:asciiTheme="majorBidi" w:hAnsiTheme="majorBidi" w:cstheme="majorBidi"/>
          <w:i/>
          <w:iCs/>
          <w:vertAlign w:val="superscript"/>
          <w:lang w:val="en-AE"/>
        </w:rPr>
        <w:t xml:space="preserve">b </w:t>
      </w:r>
      <w:r w:rsidRPr="003B3BA0">
        <w:rPr>
          <w:rFonts w:asciiTheme="majorBidi" w:hAnsiTheme="majorBidi" w:cstheme="majorBidi"/>
        </w:rPr>
        <w:t>age groups categorized as standard age ranges defined by the Medical Subject Headings (</w:t>
      </w:r>
      <w:proofErr w:type="spellStart"/>
      <w:r w:rsidRPr="003B3BA0">
        <w:rPr>
          <w:rFonts w:asciiTheme="majorBidi" w:hAnsiTheme="majorBidi" w:cstheme="majorBidi"/>
        </w:rPr>
        <w:t>MeSH</w:t>
      </w:r>
      <w:proofErr w:type="spellEnd"/>
      <w:r w:rsidRPr="003B3BA0">
        <w:rPr>
          <w:rFonts w:asciiTheme="majorBidi" w:hAnsiTheme="majorBidi" w:cstheme="majorBidi"/>
        </w:rPr>
        <w:t xml:space="preserve">); </w:t>
      </w:r>
      <w:r>
        <w:rPr>
          <w:rFonts w:asciiTheme="majorBidi" w:hAnsiTheme="majorBidi" w:cstheme="majorBidi"/>
          <w:vertAlign w:val="superscript"/>
        </w:rPr>
        <w:t>c</w:t>
      </w:r>
      <w:r w:rsidRPr="003B3BA0">
        <w:rPr>
          <w:rFonts w:asciiTheme="majorBidi" w:hAnsiTheme="majorBidi" w:cstheme="majorBidi"/>
        </w:rPr>
        <w:t xml:space="preserve"> restorative specialties = restorative, endodontics and prosthodontics; </w:t>
      </w:r>
      <w:r>
        <w:rPr>
          <w:rFonts w:asciiTheme="majorBidi" w:hAnsiTheme="majorBidi" w:cstheme="majorBidi"/>
          <w:vertAlign w:val="superscript"/>
        </w:rPr>
        <w:t>d</w:t>
      </w:r>
      <w:r w:rsidRPr="003B3BA0">
        <w:rPr>
          <w:rFonts w:asciiTheme="majorBidi" w:hAnsiTheme="majorBidi" w:cstheme="majorBidi"/>
        </w:rPr>
        <w:t xml:space="preserve"> surgical specialties = oral surgery and periodontics; OR = Adjusted odds ratios obtained for various factors using binomial regression; </w:t>
      </w:r>
      <w:r w:rsidRPr="003B3BA0">
        <w:rPr>
          <w:rFonts w:asciiTheme="majorBidi" w:hAnsiTheme="majorBidi" w:cstheme="majorBidi"/>
          <w:lang w:val="en-AE"/>
        </w:rPr>
        <w:t xml:space="preserve">CI = confidence interval; </w:t>
      </w:r>
      <w:r w:rsidRPr="003B3BA0">
        <w:rPr>
          <w:rFonts w:asciiTheme="majorBidi" w:hAnsiTheme="majorBidi" w:cstheme="majorBidi"/>
        </w:rPr>
        <w:t>Ref = reference</w:t>
      </w:r>
      <w:bookmarkEnd w:id="1"/>
      <w:r w:rsidRPr="003B3BA0">
        <w:rPr>
          <w:rFonts w:asciiTheme="majorBidi" w:hAnsiTheme="majorBidi" w:cstheme="majorBidi"/>
        </w:rPr>
        <w:t>.</w:t>
      </w:r>
    </w:p>
    <w:p w14:paraId="2B59FF17" w14:textId="77777777" w:rsidR="003B3BA0" w:rsidRPr="003B3BA0" w:rsidRDefault="003B3BA0">
      <w:pPr>
        <w:rPr>
          <w:rFonts w:asciiTheme="majorBidi" w:hAnsiTheme="majorBidi" w:cstheme="majorBidi"/>
          <w:sz w:val="24"/>
          <w:szCs w:val="24"/>
        </w:rPr>
      </w:pPr>
    </w:p>
    <w:sectPr w:rsidR="003B3BA0" w:rsidRPr="003B3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BA0"/>
    <w:rsid w:val="003B3BA0"/>
    <w:rsid w:val="003B46D1"/>
    <w:rsid w:val="0052661A"/>
    <w:rsid w:val="007407BB"/>
    <w:rsid w:val="00856876"/>
    <w:rsid w:val="00B8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573"/>
  <w15:chartTrackingRefBased/>
  <w15:docId w15:val="{99D80E7A-CCF6-4D50-A52B-9AC35243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39"/>
    <w:rsid w:val="003B3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B3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shaymaa mohammed</dc:creator>
  <cp:keywords/>
  <dc:description/>
  <cp:lastModifiedBy>Kiruthika S..</cp:lastModifiedBy>
  <cp:revision>5</cp:revision>
  <dcterms:created xsi:type="dcterms:W3CDTF">2022-02-22T22:27:00Z</dcterms:created>
  <dcterms:modified xsi:type="dcterms:W3CDTF">2022-07-20T13:18:00Z</dcterms:modified>
</cp:coreProperties>
</file>