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C50855" w14:textId="77777777" w:rsidR="00F31CFB" w:rsidRPr="00101192" w:rsidRDefault="00F31CFB" w:rsidP="00F31CFB">
      <w:pPr>
        <w:keepNext/>
        <w:spacing w:line="480" w:lineRule="auto"/>
        <w:rPr>
          <w:rFonts w:ascii="Times New Roman" w:hAnsi="Times New Roman" w:cs="Times New Roman"/>
          <w:b/>
        </w:rPr>
      </w:pPr>
      <w:bookmarkStart w:id="0" w:name="_Hlk74556720"/>
      <w:bookmarkStart w:id="1" w:name="_GoBack"/>
      <w:bookmarkEnd w:id="1"/>
      <w:r>
        <w:rPr>
          <w:rFonts w:ascii="Times New Roman" w:hAnsi="Times New Roman" w:cs="Times New Roman"/>
          <w:b/>
        </w:rPr>
        <w:t>Additional file 1</w:t>
      </w:r>
    </w:p>
    <w:p w14:paraId="4BDD7008" w14:textId="77777777" w:rsidR="00F31CFB" w:rsidRPr="00101192" w:rsidRDefault="00F31CFB" w:rsidP="00F31CFB">
      <w:pPr>
        <w:spacing w:line="480" w:lineRule="auto"/>
        <w:rPr>
          <w:rFonts w:ascii="Times New Roman" w:hAnsi="Times New Roman" w:cs="Times New Roman"/>
          <w:i/>
        </w:rPr>
      </w:pPr>
      <w:r w:rsidRPr="00F31CFB">
        <w:rPr>
          <w:rFonts w:ascii="Times New Roman" w:hAnsi="Times New Roman" w:cs="Times New Roman"/>
          <w:i/>
        </w:rPr>
        <w:t>Sample size calculation</w:t>
      </w:r>
    </w:p>
    <w:p w14:paraId="1271536C" w14:textId="4078F0F4" w:rsidR="00693862" w:rsidRDefault="0096678D" w:rsidP="00F31CFB">
      <w:pPr>
        <w:spacing w:line="480" w:lineRule="auto"/>
        <w:rPr>
          <w:rFonts w:ascii="Times New Roman" w:hAnsi="Times New Roman" w:cs="Times New Roman"/>
          <w:color w:val="000000"/>
        </w:rPr>
      </w:pPr>
      <w:r w:rsidRPr="0096678D">
        <w:rPr>
          <w:rFonts w:ascii="Times New Roman" w:hAnsi="Times New Roman" w:cs="Times New Roman"/>
        </w:rPr>
        <w:t xml:space="preserve">The sample size calculation was based on caries figures in children and adolescents with JIA. For primary dentition, the estimate was based on a study by Welbury et al. </w:t>
      </w:r>
      <w:r>
        <w:rPr>
          <w:rFonts w:ascii="Times New Roman" w:hAnsi="Times New Roman" w:cs="Times New Roman"/>
        </w:rPr>
        <w:fldChar w:fldCharType="begin">
          <w:fldData xml:space="preserve">PEVuZE5vdGU+PENpdGU+PEF1dGhvcj5XZWxidXJ5PC9BdXRob3I+PFllYXI+MjAwMzwvWWVhcj48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PEVuZE5vdGU+PENpdGU+PEF1dGhvcj5XZWxidXJ5PC9BdXRob3I+PFllYXI+MjAwMzwvWWVhcj48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w:t>
      </w:r>
      <w:r>
        <w:rPr>
          <w:rFonts w:ascii="Times New Roman" w:hAnsi="Times New Roman" w:cs="Times New Roman"/>
        </w:rPr>
        <w:fldChar w:fldCharType="end"/>
      </w:r>
      <w:r w:rsidRPr="0096678D">
        <w:rPr>
          <w:rFonts w:ascii="Times New Roman" w:hAnsi="Times New Roman" w:cs="Times New Roman"/>
        </w:rPr>
        <w:t xml:space="preserve">, reporting a mean dmft (decayed at dentin level) of 1.46 in the JIA group and 0.56 in controls with corresponding standard deviations (SD) of 2.58 and 0.96. The significance level and the statistical power were decided on 5% and 80%, respectively. The proposed sample size was 75 participants in each group, applying a two-sided student sample t-test. Sample size calculation of the permanent dentition was based on a study by Leksell et al. </w:t>
      </w:r>
      <w:r>
        <w:rPr>
          <w:rFonts w:ascii="Times New Roman" w:hAnsi="Times New Roman" w:cs="Times New Roman"/>
        </w:rPr>
        <w:fldChar w:fldCharType="begin"/>
      </w:r>
      <w:r>
        <w:rPr>
          <w:rFonts w:ascii="Times New Roman" w:hAnsi="Times New Roman" w:cs="Times New Roman"/>
        </w:rPr>
        <w:instrText xml:space="preserve"> ADDIN EN.CITE &lt;EndNote&gt;&lt;Cite&gt;&lt;Author&gt;Leksell&lt;/Author&gt;&lt;Year&gt;2008&lt;/Year&gt;&lt;RecNum&gt;15&lt;/RecNum&gt;&lt;DisplayText&gt;(2)&lt;/DisplayText&gt;&lt;record&gt;&lt;rec-number&gt;15&lt;/rec-number&gt;&lt;foreign-keys&gt;&lt;key app="EN" db-id="5etzsw9wfrtpfnexpeavw9rnp2faw9zd5xar" timestamp="1633936557" guid="aee1546c-7f77-4a8d-9ce0-4b247ec94541"&gt;15&lt;/key&gt;&lt;/foreign-keys&gt;&lt;ref-type name="Journal Article"&gt;17&lt;/ref-type&gt;&lt;contributors&gt;&lt;authors&gt;&lt;author&gt;Leksell, E.&lt;/author&gt;&lt;author&gt;Ernberg, M.&lt;/author&gt;&lt;author&gt;Magnusson, B.&lt;/author&gt;&lt;author&gt;Hedenberg-Magnusson, B.&lt;/author&gt;&lt;/authors&gt;&lt;/contributors&gt;&lt;auth-address&gt;Department of Paedodontics, Blekinge Hospital, Karlskrona, Sweden. eva.leksell@ltblekinge.se&lt;/auth-address&gt;&lt;titles&gt;&lt;title&gt;Intraoral condition in children with juvenile idiopathic arthritis compared to controls&lt;/title&gt;&lt;secondary-title&gt;Int J Paediatr Dent&lt;/secondary-title&gt;&lt;/titles&gt;&lt;periodical&gt;&lt;full-title&gt;Int J Paediatr Dent&lt;/full-title&gt;&lt;/periodical&gt;&lt;pages&gt;423-33&lt;/pages&gt;&lt;volume&gt;18&lt;/volume&gt;&lt;number&gt;6&lt;/number&gt;&lt;edition&gt;2008/07/19&lt;/edition&gt;&lt;keywords&gt;&lt;keyword&gt;Adolescent&lt;/keyword&gt;&lt;keyword&gt;Arthritis, Juvenile/*complications&lt;/keyword&gt;&lt;keyword&gt;Case-Control Studies&lt;/keyword&gt;&lt;keyword&gt;Child&lt;/keyword&gt;&lt;keyword&gt;Cross-Sectional Studies&lt;/keyword&gt;&lt;keyword&gt;Dental Calculus/complications&lt;/keyword&gt;&lt;keyword&gt;Dental Caries/complications&lt;/keyword&gt;&lt;keyword&gt;Dental Plaque/complications&lt;/keyword&gt;&lt;keyword&gt;Female&lt;/keyword&gt;&lt;keyword&gt;Humans&lt;/keyword&gt;&lt;keyword&gt;Male&lt;/keyword&gt;&lt;keyword&gt;Oral Ulcer/complications&lt;/keyword&gt;&lt;keyword&gt;Periodontal Diseases/*complications&lt;/keyword&gt;&lt;keyword&gt;Periodontal Index&lt;/keyword&gt;&lt;keyword&gt;Surveys and Questionnaires&lt;/keyword&gt;&lt;keyword&gt;Toothbrushing/statistics &amp;amp; numerical data&lt;/keyword&gt;&lt;keyword&gt;Young Adult&lt;/keyword&gt;&lt;/keywords&gt;&lt;dates&gt;&lt;year&gt;2008&lt;/year&gt;&lt;pub-dates&gt;&lt;date&gt;Nov&lt;/date&gt;&lt;/pub-dates&gt;&lt;/dates&gt;&lt;isbn&gt;1365-263X (Electronic)&amp;#xD;0960-7439 (Linking)&lt;/isbn&gt;&lt;accession-num&gt;18637044&lt;/accession-num&gt;&lt;urls&gt;&lt;related-urls&gt;&lt;url&gt;https://www.ncbi.nlm.nih.gov/pubmed/18637044&lt;/url&gt;&lt;/related-urls&gt;&lt;/urls&gt;&lt;electronic-resource-num&gt;10.1111/j.1365-263X.2008.00931.x&lt;/electronic-resource-num&gt;&lt;/record&gt;&lt;/Cite&gt;&lt;/EndNote&gt;</w:instrText>
      </w:r>
      <w:r>
        <w:rPr>
          <w:rFonts w:ascii="Times New Roman" w:hAnsi="Times New Roman" w:cs="Times New Roman"/>
        </w:rPr>
        <w:fldChar w:fldCharType="separate"/>
      </w:r>
      <w:r>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w:t>
      </w:r>
      <w:r w:rsidRPr="0096678D">
        <w:rPr>
          <w:rFonts w:ascii="Times New Roman" w:hAnsi="Times New Roman" w:cs="Times New Roman"/>
        </w:rPr>
        <w:t>reporting caries prevalence (decayed at dentin level) in the first permanent molars of 49% in the JIA group and 27% in the control group. Assumptions of alpha of 5% and power of 80% resulted in an estimated sample size of 76 for each group by applying a two-sample comparison of percentages. Altogether, for both the primary and the permanent dentition, the suggested number of participants was 182 in each group (JIA/controls) in anticipation of a dropout rate of 20% (missing/canceled appointments).</w:t>
      </w:r>
    </w:p>
    <w:p w14:paraId="00551551" w14:textId="0EFD31FA" w:rsidR="00693862" w:rsidRDefault="00693862" w:rsidP="00F31CFB">
      <w:pPr>
        <w:spacing w:line="480" w:lineRule="auto"/>
      </w:pPr>
    </w:p>
    <w:p w14:paraId="2272F760" w14:textId="77777777" w:rsidR="0096678D" w:rsidRPr="00101192" w:rsidRDefault="0096678D" w:rsidP="00F31CFB">
      <w:pPr>
        <w:spacing w:line="480" w:lineRule="auto"/>
      </w:pPr>
    </w:p>
    <w:bookmarkEnd w:id="0"/>
    <w:p w14:paraId="59B757E1" w14:textId="77777777" w:rsidR="0096678D" w:rsidRDefault="0096678D"/>
    <w:p w14:paraId="1C515DF4" w14:textId="77777777" w:rsidR="0096678D" w:rsidRDefault="0096678D"/>
    <w:p w14:paraId="0CFC6E56" w14:textId="77777777" w:rsidR="0096678D" w:rsidRPr="00962E4C" w:rsidRDefault="0096678D" w:rsidP="00962E4C">
      <w:pPr>
        <w:pStyle w:val="EndNoteBibliography"/>
        <w:spacing w:line="480" w:lineRule="auto"/>
        <w:ind w:left="284" w:hanging="284"/>
        <w:rPr>
          <w:rFonts w:ascii="Times New Roman" w:hAnsi="Times New Roman" w:cs="Times New Roman"/>
        </w:rPr>
      </w:pPr>
      <w:r w:rsidRPr="00962E4C">
        <w:rPr>
          <w:rFonts w:ascii="Times New Roman" w:hAnsi="Times New Roman" w:cs="Times New Roman"/>
        </w:rPr>
        <w:fldChar w:fldCharType="begin"/>
      </w:r>
      <w:r w:rsidRPr="00962E4C">
        <w:rPr>
          <w:rFonts w:ascii="Times New Roman" w:hAnsi="Times New Roman" w:cs="Times New Roman"/>
        </w:rPr>
        <w:instrText xml:space="preserve"> ADDIN EN.REFLIST </w:instrText>
      </w:r>
      <w:r w:rsidRPr="00962E4C">
        <w:rPr>
          <w:rFonts w:ascii="Times New Roman" w:hAnsi="Times New Roman" w:cs="Times New Roman"/>
        </w:rPr>
        <w:fldChar w:fldCharType="separate"/>
      </w:r>
      <w:r w:rsidRPr="00962E4C">
        <w:rPr>
          <w:rFonts w:ascii="Times New Roman" w:hAnsi="Times New Roman" w:cs="Times New Roman"/>
        </w:rPr>
        <w:t>1.</w:t>
      </w:r>
      <w:r w:rsidRPr="00962E4C">
        <w:rPr>
          <w:rFonts w:ascii="Times New Roman" w:hAnsi="Times New Roman" w:cs="Times New Roman"/>
        </w:rPr>
        <w:tab/>
        <w:t>Welbury RR, Thomason JM, Fitzgerald JL, Steen IN, Marshall NJ, Foster HE. Increased prevalence of dental caries and poor oral hygiene in juvenile idiopathic arthritis. Rheumatology (Oxford). 2003;42(12):1445-51.</w:t>
      </w:r>
    </w:p>
    <w:p w14:paraId="4874CEAA" w14:textId="77777777" w:rsidR="0096678D" w:rsidRPr="00962E4C" w:rsidRDefault="0096678D" w:rsidP="00962E4C">
      <w:pPr>
        <w:pStyle w:val="EndNoteBibliography"/>
        <w:spacing w:line="480" w:lineRule="auto"/>
        <w:ind w:left="284" w:hanging="284"/>
        <w:rPr>
          <w:rFonts w:ascii="Times New Roman" w:hAnsi="Times New Roman" w:cs="Times New Roman"/>
        </w:rPr>
      </w:pPr>
      <w:r w:rsidRPr="00962E4C">
        <w:rPr>
          <w:rFonts w:ascii="Times New Roman" w:hAnsi="Times New Roman" w:cs="Times New Roman"/>
        </w:rPr>
        <w:t>2.</w:t>
      </w:r>
      <w:r w:rsidRPr="00962E4C">
        <w:rPr>
          <w:rFonts w:ascii="Times New Roman" w:hAnsi="Times New Roman" w:cs="Times New Roman"/>
        </w:rPr>
        <w:tab/>
        <w:t>Leksell E, Ernberg M, Magnusson B, Hedenberg-Magnusson B. Intraoral condition in children with juvenile idiopathic arthritis compared to controls. Int J Paediatr Dent. 2008;18(6):423-33.</w:t>
      </w:r>
    </w:p>
    <w:p w14:paraId="177003C0" w14:textId="13BDD7F0" w:rsidR="000C4C1D" w:rsidRPr="00962E4C" w:rsidRDefault="0096678D" w:rsidP="00962E4C">
      <w:pPr>
        <w:spacing w:line="480" w:lineRule="auto"/>
        <w:ind w:left="284" w:hanging="284"/>
        <w:rPr>
          <w:rFonts w:ascii="Times New Roman" w:hAnsi="Times New Roman" w:cs="Times New Roman"/>
        </w:rPr>
      </w:pPr>
      <w:r w:rsidRPr="00962E4C">
        <w:rPr>
          <w:rFonts w:ascii="Times New Roman" w:hAnsi="Times New Roman" w:cs="Times New Roman"/>
        </w:rPr>
        <w:fldChar w:fldCharType="end"/>
      </w:r>
    </w:p>
    <w:sectPr w:rsidR="000C4C1D" w:rsidRPr="00962E4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28E43C" w14:textId="77777777" w:rsidR="0040175A" w:rsidRDefault="0040175A" w:rsidP="0096678D">
      <w:r>
        <w:separator/>
      </w:r>
    </w:p>
  </w:endnote>
  <w:endnote w:type="continuationSeparator" w:id="0">
    <w:p w14:paraId="4B0876DB" w14:textId="77777777" w:rsidR="0040175A" w:rsidRDefault="0040175A" w:rsidP="0096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2183D" w14:textId="77777777" w:rsidR="0040175A" w:rsidRDefault="0040175A" w:rsidP="0096678D">
      <w:r>
        <w:separator/>
      </w:r>
    </w:p>
  </w:footnote>
  <w:footnote w:type="continuationSeparator" w:id="0">
    <w:p w14:paraId="26A0C61F" w14:textId="77777777" w:rsidR="0040175A" w:rsidRDefault="0040175A" w:rsidP="0096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DB2CC3E8"/>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rPr>
        <w:b/>
        <w:bCs w:val="0"/>
      </w:rPr>
    </w:lvl>
    <w:lvl w:ilvl="3">
      <w:start w:val="1"/>
      <w:numFmt w:val="none"/>
      <w:pStyle w:val="Heading4"/>
      <w:suff w:val="nothing"/>
      <w:lvlText w:val=""/>
      <w:lvlJc w:val="left"/>
    </w:lvl>
    <w:lvl w:ilvl="4">
      <w:start w:val="1"/>
      <w:numFmt w:val="none"/>
      <w:suff w:val="nothing"/>
      <w:lvlText w:val=""/>
      <w:lvlJc w:val="left"/>
    </w:lvl>
    <w:lvl w:ilvl="5">
      <w:numFmt w:val="none"/>
      <w:lvlText w:val=""/>
      <w:lvlJc w:val="left"/>
    </w:lvl>
    <w:lvl w:ilvl="6">
      <w:start w:val="1"/>
      <w:numFmt w:val="none"/>
      <w:suff w:val="nothing"/>
      <w:lvlText w:val=""/>
      <w:lvlJc w:val="left"/>
    </w:lvl>
    <w:lvl w:ilvl="7">
      <w:numFmt w:val="none"/>
      <w:lvlText w:val=""/>
      <w:lvlJc w:val="left"/>
    </w:lvl>
    <w:lvl w:ilvl="8">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tzsw9wfrtpfnexpeavw9rnp2faw9zd5xar&quot;&gt;My EndNote Library&lt;record-ids&gt;&lt;item&gt;14&lt;/item&gt;&lt;item&gt;15&lt;/item&gt;&lt;/record-ids&gt;&lt;/item&gt;&lt;/Libraries&gt;"/>
  </w:docVars>
  <w:rsids>
    <w:rsidRoot w:val="00F31CFB"/>
    <w:rsid w:val="000C4C1D"/>
    <w:rsid w:val="00201AB0"/>
    <w:rsid w:val="003071CB"/>
    <w:rsid w:val="0040175A"/>
    <w:rsid w:val="00693862"/>
    <w:rsid w:val="00962E4C"/>
    <w:rsid w:val="0096678D"/>
    <w:rsid w:val="00AB4D10"/>
    <w:rsid w:val="00F31CF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E25BC"/>
  <w15:chartTrackingRefBased/>
  <w15:docId w15:val="{FCAB2E53-E3BD-4A32-9A69-9B8B35408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CFB"/>
    <w:pPr>
      <w:spacing w:after="0" w:line="240" w:lineRule="auto"/>
    </w:pPr>
    <w:rPr>
      <w:sz w:val="24"/>
      <w:szCs w:val="24"/>
      <w:lang w:val="en-US"/>
    </w:rPr>
  </w:style>
  <w:style w:type="paragraph" w:styleId="Heading1">
    <w:name w:val="heading 1"/>
    <w:next w:val="Normal"/>
    <w:link w:val="Heading1Char"/>
    <w:qFormat/>
    <w:rsid w:val="00693862"/>
    <w:pPr>
      <w:pageBreakBefore/>
      <w:widowControl w:val="0"/>
      <w:numPr>
        <w:numId w:val="1"/>
      </w:numPr>
      <w:spacing w:before="360" w:after="360" w:line="240" w:lineRule="auto"/>
      <w:ind w:left="624" w:hanging="624"/>
      <w:outlineLvl w:val="0"/>
    </w:pPr>
    <w:rPr>
      <w:rFonts w:ascii="Arial" w:eastAsia="Times New Roman" w:hAnsi="Arial" w:cs="Times New Roman"/>
      <w:b/>
      <w:noProof/>
      <w:kern w:val="28"/>
      <w:sz w:val="36"/>
      <w:szCs w:val="20"/>
      <w:lang w:val="en-GB"/>
    </w:rPr>
  </w:style>
  <w:style w:type="paragraph" w:styleId="Heading2">
    <w:name w:val="heading 2"/>
    <w:basedOn w:val="Heading1"/>
    <w:next w:val="Normal"/>
    <w:link w:val="Heading2Char"/>
    <w:qFormat/>
    <w:rsid w:val="00693862"/>
    <w:pPr>
      <w:keepNext/>
      <w:keepLines/>
      <w:pageBreakBefore w:val="0"/>
      <w:widowControl/>
      <w:numPr>
        <w:ilvl w:val="1"/>
      </w:numPr>
      <w:suppressAutoHyphens/>
      <w:spacing w:before="480" w:after="320"/>
      <w:outlineLvl w:val="1"/>
    </w:pPr>
    <w:rPr>
      <w:b w:val="0"/>
      <w:kern w:val="0"/>
      <w:sz w:val="34"/>
    </w:rPr>
  </w:style>
  <w:style w:type="paragraph" w:styleId="Heading3">
    <w:name w:val="heading 3"/>
    <w:basedOn w:val="Heading2"/>
    <w:next w:val="Normal"/>
    <w:link w:val="Heading3Char"/>
    <w:qFormat/>
    <w:rsid w:val="00693862"/>
    <w:pPr>
      <w:numPr>
        <w:ilvl w:val="2"/>
      </w:numPr>
      <w:spacing w:before="240" w:after="120"/>
      <w:outlineLvl w:val="2"/>
    </w:pPr>
    <w:rPr>
      <w:b/>
      <w:sz w:val="28"/>
    </w:rPr>
  </w:style>
  <w:style w:type="paragraph" w:styleId="Heading4">
    <w:name w:val="heading 4"/>
    <w:basedOn w:val="Heading2"/>
    <w:next w:val="Normal"/>
    <w:link w:val="Heading4Char"/>
    <w:qFormat/>
    <w:rsid w:val="00693862"/>
    <w:pPr>
      <w:numPr>
        <w:ilvl w:val="3"/>
      </w:numPr>
      <w:spacing w:before="240" w:after="120"/>
      <w:ind w:left="0" w:firstLine="0"/>
      <w:outlineLvl w:val="3"/>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3862"/>
    <w:rPr>
      <w:rFonts w:ascii="Arial" w:eastAsia="Times New Roman" w:hAnsi="Arial" w:cs="Times New Roman"/>
      <w:b/>
      <w:noProof/>
      <w:kern w:val="28"/>
      <w:sz w:val="36"/>
      <w:szCs w:val="20"/>
      <w:lang w:val="en-GB"/>
    </w:rPr>
  </w:style>
  <w:style w:type="character" w:customStyle="1" w:styleId="Heading2Char">
    <w:name w:val="Heading 2 Char"/>
    <w:basedOn w:val="DefaultParagraphFont"/>
    <w:link w:val="Heading2"/>
    <w:rsid w:val="00693862"/>
    <w:rPr>
      <w:rFonts w:ascii="Arial" w:eastAsia="Times New Roman" w:hAnsi="Arial" w:cs="Times New Roman"/>
      <w:noProof/>
      <w:sz w:val="34"/>
      <w:szCs w:val="20"/>
      <w:lang w:val="en-GB"/>
    </w:rPr>
  </w:style>
  <w:style w:type="character" w:customStyle="1" w:styleId="Heading3Char">
    <w:name w:val="Heading 3 Char"/>
    <w:basedOn w:val="DefaultParagraphFont"/>
    <w:link w:val="Heading3"/>
    <w:rsid w:val="00693862"/>
    <w:rPr>
      <w:rFonts w:ascii="Arial" w:eastAsia="Times New Roman" w:hAnsi="Arial" w:cs="Times New Roman"/>
      <w:b/>
      <w:noProof/>
      <w:sz w:val="28"/>
      <w:szCs w:val="20"/>
      <w:lang w:val="en-GB"/>
    </w:rPr>
  </w:style>
  <w:style w:type="character" w:customStyle="1" w:styleId="Heading4Char">
    <w:name w:val="Heading 4 Char"/>
    <w:basedOn w:val="DefaultParagraphFont"/>
    <w:link w:val="Heading4"/>
    <w:rsid w:val="00693862"/>
    <w:rPr>
      <w:rFonts w:ascii="Arial" w:eastAsia="Times New Roman" w:hAnsi="Arial" w:cs="Times New Roman"/>
      <w:i/>
      <w:noProof/>
      <w:sz w:val="28"/>
      <w:szCs w:val="20"/>
      <w:lang w:val="en-GB"/>
    </w:rPr>
  </w:style>
  <w:style w:type="character" w:styleId="Strong">
    <w:name w:val="Strong"/>
    <w:uiPriority w:val="22"/>
    <w:qFormat/>
    <w:rsid w:val="00693862"/>
    <w:rPr>
      <w:b/>
      <w:bCs/>
    </w:rPr>
  </w:style>
  <w:style w:type="paragraph" w:customStyle="1" w:styleId="EndNoteBibliographyTitle">
    <w:name w:val="EndNote Bibliography Title"/>
    <w:basedOn w:val="Normal"/>
    <w:link w:val="EndNoteBibliographyTitleChar"/>
    <w:rsid w:val="0096678D"/>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6678D"/>
    <w:rPr>
      <w:rFonts w:ascii="Calibri" w:hAnsi="Calibri" w:cs="Calibri"/>
      <w:noProof/>
      <w:sz w:val="24"/>
      <w:szCs w:val="24"/>
      <w:lang w:val="en-US"/>
    </w:rPr>
  </w:style>
  <w:style w:type="paragraph" w:customStyle="1" w:styleId="EndNoteBibliography">
    <w:name w:val="EndNote Bibliography"/>
    <w:basedOn w:val="Normal"/>
    <w:link w:val="EndNoteBibliographyChar"/>
    <w:rsid w:val="0096678D"/>
    <w:rPr>
      <w:rFonts w:ascii="Calibri" w:hAnsi="Calibri" w:cs="Calibri"/>
      <w:noProof/>
    </w:rPr>
  </w:style>
  <w:style w:type="character" w:customStyle="1" w:styleId="EndNoteBibliographyChar">
    <w:name w:val="EndNote Bibliography Char"/>
    <w:basedOn w:val="DefaultParagraphFont"/>
    <w:link w:val="EndNoteBibliography"/>
    <w:rsid w:val="0096678D"/>
    <w:rPr>
      <w:rFonts w:ascii="Calibri" w:hAnsi="Calibri" w:cs="Calibri"/>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C7402-3EE7-4D74-94E4-24DF7FB99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Grut Gil</dc:creator>
  <cp:keywords/>
  <dc:description/>
  <cp:lastModifiedBy>Gowtham Mani</cp:lastModifiedBy>
  <cp:revision>5</cp:revision>
  <dcterms:created xsi:type="dcterms:W3CDTF">2022-08-04T15:26:00Z</dcterms:created>
  <dcterms:modified xsi:type="dcterms:W3CDTF">2022-08-23T06:18:00Z</dcterms:modified>
</cp:coreProperties>
</file>