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DEB39" w14:textId="4E812E5E" w:rsidR="00887AC2" w:rsidRDefault="00887AC2" w:rsidP="00887AC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5234C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33322B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02459399" w14:textId="77777777" w:rsidR="00887AC2" w:rsidRPr="00D725EA" w:rsidRDefault="00887AC2" w:rsidP="00887AC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Table S1. </w:t>
      </w:r>
      <w:r>
        <w:rPr>
          <w:rFonts w:ascii="Times New Roman" w:hAnsi="Times New Roman" w:cs="Times New Roman"/>
          <w:sz w:val="24"/>
          <w:szCs w:val="24"/>
        </w:rPr>
        <w:t>Group affiliation</w:t>
      </w:r>
      <w:r w:rsidRPr="009D3BE5">
        <w:rPr>
          <w:rFonts w:ascii="Times New Roman" w:hAnsi="Times New Roman" w:cs="Times New Roman"/>
          <w:sz w:val="24"/>
          <w:szCs w:val="24"/>
        </w:rPr>
        <w:t xml:space="preserve">, </w:t>
      </w:r>
      <w:r w:rsidRPr="00D328A1">
        <w:rPr>
          <w:rFonts w:ascii="Times New Roman" w:hAnsi="Times New Roman" w:cs="Times New Roman"/>
          <w:sz w:val="24"/>
          <w:szCs w:val="24"/>
        </w:rPr>
        <w:t>socio-behavioral</w:t>
      </w:r>
      <w:r>
        <w:rPr>
          <w:rFonts w:ascii="Times New Roman" w:hAnsi="Times New Roman" w:cs="Times New Roman"/>
          <w:sz w:val="24"/>
          <w:szCs w:val="24"/>
        </w:rPr>
        <w:t>, and clinical</w:t>
      </w:r>
      <w:r w:rsidRPr="009D3BE5">
        <w:rPr>
          <w:rFonts w:ascii="Times New Roman" w:hAnsi="Times New Roman" w:cs="Times New Roman"/>
          <w:sz w:val="24"/>
          <w:szCs w:val="24"/>
        </w:rPr>
        <w:t xml:space="preserve"> characteristics in relation to </w:t>
      </w:r>
      <w:r>
        <w:rPr>
          <w:rFonts w:ascii="Times New Roman" w:hAnsi="Times New Roman" w:cs="Times New Roman"/>
          <w:sz w:val="24"/>
          <w:szCs w:val="24"/>
        </w:rPr>
        <w:t xml:space="preserve">the outcome variable </w:t>
      </w:r>
      <w:r w:rsidRPr="00564149">
        <w:rPr>
          <w:rFonts w:ascii="Times New Roman" w:hAnsi="Times New Roman" w:cs="Times New Roman"/>
          <w:sz w:val="24"/>
          <w:szCs w:val="24"/>
        </w:rPr>
        <w:t>Early Childhood Oral Health Impact Scale</w:t>
      </w:r>
      <w:r>
        <w:rPr>
          <w:rFonts w:ascii="Times New Roman" w:hAnsi="Times New Roman" w:cs="Times New Roman"/>
          <w:sz w:val="24"/>
          <w:szCs w:val="24"/>
        </w:rPr>
        <w:t xml:space="preserve"> (ECOHIS) total score and Child O</w:t>
      </w:r>
      <w:r w:rsidRPr="001E2032">
        <w:rPr>
          <w:rFonts w:ascii="Times New Roman" w:hAnsi="Times New Roman" w:cs="Times New Roman"/>
          <w:sz w:val="24"/>
          <w:szCs w:val="24"/>
        </w:rPr>
        <w:t xml:space="preserve">ral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E2032">
        <w:rPr>
          <w:rFonts w:ascii="Times New Roman" w:hAnsi="Times New Roman" w:cs="Times New Roman"/>
          <w:sz w:val="24"/>
          <w:szCs w:val="24"/>
        </w:rPr>
        <w:t>mpact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E2032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E2032">
        <w:rPr>
          <w:rFonts w:ascii="Times New Roman" w:hAnsi="Times New Roman" w:cs="Times New Roman"/>
          <w:sz w:val="24"/>
          <w:szCs w:val="24"/>
        </w:rPr>
        <w:t xml:space="preserve">aily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E2032">
        <w:rPr>
          <w:rFonts w:ascii="Times New Roman" w:hAnsi="Times New Roman" w:cs="Times New Roman"/>
          <w:sz w:val="24"/>
          <w:szCs w:val="24"/>
        </w:rPr>
        <w:t>erformance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B350B">
        <w:rPr>
          <w:rFonts w:ascii="Times New Roman" w:hAnsi="Times New Roman" w:cs="Times New Roman"/>
        </w:rPr>
        <w:t>Child-OIDP</w:t>
      </w:r>
      <w:r>
        <w:rPr>
          <w:rFonts w:ascii="Times New Roman" w:hAnsi="Times New Roman" w:cs="Times New Roman"/>
        </w:rPr>
        <w:t xml:space="preserve">) </w:t>
      </w:r>
      <w:r w:rsidRPr="00891CCE">
        <w:rPr>
          <w:rFonts w:ascii="Times New Roman" w:hAnsi="Times New Roman" w:cs="Times New Roman"/>
        </w:rPr>
        <w:t>simple count</w:t>
      </w:r>
      <w:r>
        <w:rPr>
          <w:rFonts w:ascii="Times New Roman" w:hAnsi="Times New Roman" w:cs="Times New Roman"/>
        </w:rPr>
        <w:t xml:space="preserve"> (SC) score</w:t>
      </w:r>
      <w:r>
        <w:rPr>
          <w:rFonts w:ascii="Times New Roman" w:hAnsi="Times New Roman" w:cs="Times New Roman"/>
          <w:sz w:val="24"/>
          <w:szCs w:val="24"/>
        </w:rPr>
        <w:t>. Unadjusted and adjusted negative binominal regressions.</w:t>
      </w:r>
    </w:p>
    <w:tbl>
      <w:tblPr>
        <w:tblStyle w:val="GridTable2"/>
        <w:tblW w:w="20271" w:type="dxa"/>
        <w:tblLayout w:type="fixed"/>
        <w:tblLook w:val="04A0" w:firstRow="1" w:lastRow="0" w:firstColumn="1" w:lastColumn="0" w:noHBand="0" w:noVBand="1"/>
      </w:tblPr>
      <w:tblGrid>
        <w:gridCol w:w="2692"/>
        <w:gridCol w:w="3259"/>
        <w:gridCol w:w="853"/>
        <w:gridCol w:w="1698"/>
        <w:gridCol w:w="996"/>
        <w:gridCol w:w="992"/>
        <w:gridCol w:w="1417"/>
        <w:gridCol w:w="1134"/>
        <w:gridCol w:w="993"/>
        <w:gridCol w:w="1559"/>
        <w:gridCol w:w="992"/>
        <w:gridCol w:w="1134"/>
        <w:gridCol w:w="1559"/>
        <w:gridCol w:w="993"/>
      </w:tblGrid>
      <w:tr w:rsidR="00887AC2" w14:paraId="20AFBEE0" w14:textId="77777777" w:rsidTr="00BA1F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tcBorders>
              <w:left w:val="nil"/>
              <w:bottom w:val="nil"/>
            </w:tcBorders>
            <w:noWrap/>
          </w:tcPr>
          <w:p w14:paraId="423BF64D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259" w:type="dxa"/>
            <w:tcBorders>
              <w:bottom w:val="nil"/>
            </w:tcBorders>
            <w:noWrap/>
          </w:tcPr>
          <w:p w14:paraId="1164CEC6" w14:textId="77777777" w:rsidR="00887AC2" w:rsidRDefault="00887AC2" w:rsidP="00BA1F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7090" w:type="dxa"/>
            <w:gridSpan w:val="6"/>
            <w:tcBorders>
              <w:bottom w:val="single" w:sz="4" w:space="0" w:color="auto"/>
            </w:tcBorders>
          </w:tcPr>
          <w:p w14:paraId="635D35DA" w14:textId="77777777" w:rsidR="00887AC2" w:rsidRPr="00C77A56" w:rsidRDefault="00887AC2" w:rsidP="00BA1F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Unadjusted regression</w:t>
            </w:r>
          </w:p>
        </w:tc>
        <w:tc>
          <w:tcPr>
            <w:tcW w:w="7230" w:type="dxa"/>
            <w:gridSpan w:val="6"/>
            <w:tcBorders>
              <w:bottom w:val="single" w:sz="4" w:space="0" w:color="auto"/>
              <w:right w:val="nil"/>
            </w:tcBorders>
          </w:tcPr>
          <w:p w14:paraId="09E7E7AE" w14:textId="77777777" w:rsidR="00887AC2" w:rsidRPr="00C77A56" w:rsidRDefault="00887AC2" w:rsidP="00BA1F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Adjusted regression</w:t>
            </w:r>
          </w:p>
        </w:tc>
      </w:tr>
      <w:tr w:rsidR="00887AC2" w14:paraId="4CA879A1" w14:textId="77777777" w:rsidTr="00BA1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13A67DA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08AECCD2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547" w:type="dxa"/>
            <w:gridSpan w:val="3"/>
            <w:tcBorders>
              <w:top w:val="single" w:sz="2" w:space="0" w:color="666666" w:themeColor="tex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457BA" w14:textId="77777777" w:rsidR="00887AC2" w:rsidRDefault="00887AC2" w:rsidP="00BA1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CD64055" w14:textId="77777777" w:rsidR="00887AC2" w:rsidRDefault="00887AC2" w:rsidP="00BA1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D5EF0">
              <w:rPr>
                <w:rFonts w:ascii="Times New Roman" w:hAnsi="Times New Roman" w:cs="Times New Roman"/>
              </w:rPr>
              <w:t>ECOHIS total score</w:t>
            </w:r>
          </w:p>
        </w:tc>
        <w:tc>
          <w:tcPr>
            <w:tcW w:w="3543" w:type="dxa"/>
            <w:gridSpan w:val="3"/>
            <w:tcBorders>
              <w:top w:val="single" w:sz="2" w:space="0" w:color="666666" w:themeColor="text1" w:themeTint="99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26EB479" w14:textId="77777777" w:rsidR="00887AC2" w:rsidRDefault="00887AC2" w:rsidP="00BA1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C0E7D9E" w14:textId="77777777" w:rsidR="00887AC2" w:rsidRDefault="00887AC2" w:rsidP="00BA1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B350B">
              <w:rPr>
                <w:rFonts w:ascii="Times New Roman" w:hAnsi="Times New Roman" w:cs="Times New Roman"/>
              </w:rPr>
              <w:t>Child-OIDP</w:t>
            </w:r>
            <w:r>
              <w:rPr>
                <w:rFonts w:ascii="Times New Roman" w:hAnsi="Times New Roman" w:cs="Times New Roman"/>
              </w:rPr>
              <w:t xml:space="preserve"> SC</w:t>
            </w:r>
            <w:r w:rsidRPr="00891CCE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5F34F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0840088" w14:textId="77777777" w:rsidR="00887AC2" w:rsidRDefault="00887AC2" w:rsidP="00BA1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D5EF0">
              <w:rPr>
                <w:rFonts w:ascii="Times New Roman" w:hAnsi="Times New Roman" w:cs="Times New Roman"/>
              </w:rPr>
              <w:t>ECOHIS total score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2" w:space="0" w:color="666666" w:themeColor="text1" w:themeTint="99"/>
              <w:bottom w:val="single" w:sz="2" w:space="0" w:color="666666" w:themeColor="text1" w:themeTint="99"/>
              <w:right w:val="single" w:sz="2" w:space="0" w:color="666666" w:themeColor="text1" w:themeTint="99"/>
            </w:tcBorders>
            <w:shd w:val="clear" w:color="auto" w:fill="FFFFFF" w:themeFill="background1"/>
          </w:tcPr>
          <w:p w14:paraId="33152B49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E2A6D1B" w14:textId="77777777" w:rsidR="00887AC2" w:rsidRPr="00A93E9C" w:rsidRDefault="00887AC2" w:rsidP="00BA1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350B">
              <w:rPr>
                <w:rFonts w:ascii="Times New Roman" w:hAnsi="Times New Roman" w:cs="Times New Roman"/>
              </w:rPr>
              <w:t>Child-OIDP</w:t>
            </w:r>
            <w:r>
              <w:rPr>
                <w:rFonts w:ascii="Times New Roman" w:hAnsi="Times New Roman" w:cs="Times New Roman"/>
              </w:rPr>
              <w:t xml:space="preserve"> SC</w:t>
            </w:r>
            <w:r w:rsidRPr="00891CCE">
              <w:rPr>
                <w:rFonts w:ascii="Times New Roman" w:hAnsi="Times New Roman" w:cs="Times New Roman"/>
              </w:rPr>
              <w:t xml:space="preserve"> score</w:t>
            </w:r>
          </w:p>
        </w:tc>
      </w:tr>
      <w:tr w:rsidR="007969C6" w14:paraId="4417B8F6" w14:textId="77777777" w:rsidTr="00BA1F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4EE0A3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  <w:lang w:eastAsia="nb-NO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CD489" w14:textId="77777777" w:rsidR="00887AC2" w:rsidRPr="005B0AA6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b-NO"/>
              </w:rPr>
            </w:pPr>
          </w:p>
        </w:tc>
        <w:tc>
          <w:tcPr>
            <w:tcW w:w="853" w:type="dxa"/>
            <w:tcBorders>
              <w:top w:val="single" w:sz="2" w:space="0" w:color="666666" w:themeColor="text1" w:themeTint="99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46426768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IRR</w:t>
            </w:r>
          </w:p>
        </w:tc>
        <w:tc>
          <w:tcPr>
            <w:tcW w:w="1698" w:type="dxa"/>
            <w:tcBorders>
              <w:top w:val="single" w:sz="2" w:space="0" w:color="666666" w:themeColor="text1" w:themeTint="99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7C85E03D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95% CI</w:t>
            </w:r>
          </w:p>
        </w:tc>
        <w:tc>
          <w:tcPr>
            <w:tcW w:w="996" w:type="dxa"/>
            <w:tcBorders>
              <w:top w:val="single" w:sz="2" w:space="0" w:color="666666" w:themeColor="text1" w:themeTint="99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6F86DBC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p-value</w:t>
            </w:r>
          </w:p>
        </w:tc>
        <w:tc>
          <w:tcPr>
            <w:tcW w:w="992" w:type="dxa"/>
            <w:tcBorders>
              <w:top w:val="single" w:sz="2" w:space="0" w:color="666666" w:themeColor="text1" w:themeTint="99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73969C96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IRR</w:t>
            </w:r>
          </w:p>
        </w:tc>
        <w:tc>
          <w:tcPr>
            <w:tcW w:w="1417" w:type="dxa"/>
            <w:tcBorders>
              <w:top w:val="single" w:sz="2" w:space="0" w:color="666666" w:themeColor="text1" w:themeTint="99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740217C8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95% CI</w:t>
            </w:r>
          </w:p>
        </w:tc>
        <w:tc>
          <w:tcPr>
            <w:tcW w:w="1134" w:type="dxa"/>
            <w:tcBorders>
              <w:top w:val="single" w:sz="2" w:space="0" w:color="666666" w:themeColor="text1" w:themeTint="99"/>
              <w:left w:val="nil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F574613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p-value</w:t>
            </w:r>
          </w:p>
        </w:tc>
        <w:tc>
          <w:tcPr>
            <w:tcW w:w="993" w:type="dxa"/>
            <w:tcBorders>
              <w:top w:val="single" w:sz="2" w:space="0" w:color="666666" w:themeColor="text1" w:themeTint="99"/>
              <w:left w:val="single" w:sz="12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22280877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IRR</w:t>
            </w:r>
          </w:p>
        </w:tc>
        <w:tc>
          <w:tcPr>
            <w:tcW w:w="1559" w:type="dxa"/>
            <w:tcBorders>
              <w:top w:val="single" w:sz="2" w:space="0" w:color="666666" w:themeColor="text1" w:themeTint="99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74D99498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95% CI</w:t>
            </w:r>
          </w:p>
        </w:tc>
        <w:tc>
          <w:tcPr>
            <w:tcW w:w="992" w:type="dxa"/>
            <w:tcBorders>
              <w:top w:val="single" w:sz="2" w:space="0" w:color="666666" w:themeColor="text1" w:themeTint="99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A26837A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p-value</w:t>
            </w:r>
          </w:p>
        </w:tc>
        <w:tc>
          <w:tcPr>
            <w:tcW w:w="1134" w:type="dxa"/>
            <w:tcBorders>
              <w:top w:val="single" w:sz="2" w:space="0" w:color="666666" w:themeColor="text1" w:themeTint="99"/>
              <w:left w:val="single" w:sz="2" w:space="0" w:color="666666" w:themeColor="text1" w:themeTint="99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128ECDB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IRR</w:t>
            </w:r>
          </w:p>
        </w:tc>
        <w:tc>
          <w:tcPr>
            <w:tcW w:w="1559" w:type="dxa"/>
            <w:tcBorders>
              <w:top w:val="single" w:sz="2" w:space="0" w:color="666666" w:themeColor="text1" w:themeTint="99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0B75C822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95% CI</w:t>
            </w:r>
          </w:p>
        </w:tc>
        <w:tc>
          <w:tcPr>
            <w:tcW w:w="993" w:type="dxa"/>
            <w:tcBorders>
              <w:top w:val="single" w:sz="2" w:space="0" w:color="666666" w:themeColor="text1" w:themeTint="99"/>
              <w:left w:val="nil"/>
              <w:bottom w:val="single" w:sz="4" w:space="0" w:color="auto"/>
              <w:right w:val="single" w:sz="2" w:space="0" w:color="666666" w:themeColor="text1" w:themeTint="99"/>
            </w:tcBorders>
            <w:shd w:val="clear" w:color="auto" w:fill="D0CECE" w:themeFill="background2" w:themeFillShade="E6"/>
          </w:tcPr>
          <w:p w14:paraId="408B891B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p-value</w:t>
            </w:r>
          </w:p>
        </w:tc>
      </w:tr>
      <w:tr w:rsidR="007969C6" w14:paraId="74F1E340" w14:textId="77777777" w:rsidTr="00BA1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D1F7B46" w14:textId="77777777" w:rsidR="00887AC2" w:rsidRDefault="00887AC2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Group affiliation</w:t>
            </w:r>
          </w:p>
        </w:tc>
        <w:tc>
          <w:tcPr>
            <w:tcW w:w="3259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C91854" w14:textId="77777777" w:rsidR="00887AC2" w:rsidRDefault="00887AC2" w:rsidP="00BA1F58">
            <w:pPr>
              <w:ind w:right="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62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Control group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CB71793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69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1019B3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FB6C3D0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182EFF5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3C6B56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3EE9A35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039EC68A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334318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2A1DAF1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5926B2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2E37A8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19FC53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969C6" w14:paraId="5953BA32" w14:textId="77777777" w:rsidTr="00BA1F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EA80C0D" w14:textId="77777777" w:rsidR="00887AC2" w:rsidRDefault="00887AC2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E34E07" w14:textId="77777777" w:rsidR="00887AC2" w:rsidRDefault="00887AC2" w:rsidP="00BA1F58">
            <w:pPr>
              <w:ind w:right="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62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JIA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1E352D66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1.61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91B6723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(1.15–2.25)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B5095B0" w14:textId="77777777" w:rsidR="00887AC2" w:rsidRPr="00556D50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55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0.005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D8B5109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1.73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4B0A6C6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(0.93–3.19)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37FAF856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174E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3215BF34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F31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0754FE1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2A39349" w14:textId="77777777" w:rsidR="00887AC2" w:rsidRPr="00556D50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55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385651CE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28D1018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4.00)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58AF54C4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0.104</w:t>
            </w:r>
          </w:p>
        </w:tc>
      </w:tr>
      <w:tr w:rsidR="007969C6" w14:paraId="434CBCD3" w14:textId="77777777" w:rsidTr="00BA1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C1AE594" w14:textId="77777777" w:rsidR="00887AC2" w:rsidRDefault="00887AC2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Educational level of mother</w:t>
            </w:r>
          </w:p>
        </w:tc>
        <w:tc>
          <w:tcPr>
            <w:tcW w:w="3259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E661AB" w14:textId="77777777" w:rsidR="00887AC2" w:rsidRDefault="00887AC2" w:rsidP="00BA1F58">
            <w:pPr>
              <w:ind w:right="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AA4">
              <w:rPr>
                <w:rFonts w:ascii="Times New Roman" w:hAnsi="Times New Roman" w:cs="Times New Roman"/>
                <w:sz w:val="24"/>
                <w:szCs w:val="24"/>
              </w:rPr>
              <w:t>University/college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73D9D2F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69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C3F986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64887A3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78838BB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F52079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69EB80D2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0AB9E158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069369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F51DD97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AEB769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BEEA8B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E38C790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969C6" w14:paraId="3119C9E3" w14:textId="77777777" w:rsidTr="00BA1F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1F4B880" w14:textId="77777777" w:rsidR="00887AC2" w:rsidRDefault="00887AC2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56FC23" w14:textId="77777777" w:rsidR="00887AC2" w:rsidRDefault="00887AC2" w:rsidP="00BA1F58">
            <w:pPr>
              <w:ind w:right="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High school/vocational school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813AB73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1.02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15A5215D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(0.72–1.44)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7AFDA44E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0.913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F953507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0.67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A202E93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(0.29–1.53)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4FA79FEF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0.341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CAF683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03D0DDF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1.14)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149F768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DA530FD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5553C70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0.78)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1FC8F7E" w14:textId="77777777" w:rsidR="00887AC2" w:rsidRPr="00556D50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55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0.011</w:t>
            </w:r>
          </w:p>
        </w:tc>
      </w:tr>
      <w:tr w:rsidR="007969C6" w14:paraId="18C7E587" w14:textId="77777777" w:rsidTr="00BA1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562DFA2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4D7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Educational level of father</w:t>
            </w:r>
          </w:p>
        </w:tc>
        <w:tc>
          <w:tcPr>
            <w:tcW w:w="3259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2A1F57" w14:textId="77777777" w:rsidR="00887AC2" w:rsidRDefault="00887AC2" w:rsidP="00BA1F58">
            <w:pPr>
              <w:ind w:right="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62AA4">
              <w:rPr>
                <w:rFonts w:ascii="Times New Roman" w:hAnsi="Times New Roman" w:cs="Times New Roman"/>
                <w:sz w:val="24"/>
                <w:szCs w:val="24"/>
              </w:rPr>
              <w:t>University/college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4015679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69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5F4230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B7B0A4C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A46DDCD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B7D34B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631CB92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4F5B8C76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285E57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5B7F06B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8F1749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7CF9E6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D8BD71B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969C6" w14:paraId="2A222194" w14:textId="77777777" w:rsidTr="00BA1F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47BD20CB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9FE0CA" w14:textId="77777777" w:rsidR="00887AC2" w:rsidRDefault="00887AC2" w:rsidP="00BA1F58">
            <w:pPr>
              <w:ind w:right="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62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High school/vocational school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397F857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1.18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C2F14A4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(0.85–1.62)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537DA8D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0.321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AC8408B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0.94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5F60EEDC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(0.48–1.83)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24B84A03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0.852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CFC11A2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1.16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D3D44B2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1.62)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3281607E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85F971E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6352F77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1.75)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716AD2B3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0.651</w:t>
            </w:r>
          </w:p>
        </w:tc>
      </w:tr>
      <w:tr w:rsidR="007969C6" w14:paraId="1C5279FB" w14:textId="77777777" w:rsidTr="00BA1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A6EEAAD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nb-NO"/>
              </w:rPr>
            </w:pPr>
            <w:r w:rsidRPr="00662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Household structure</w:t>
            </w:r>
            <w:r w:rsidRPr="0011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  <w:r w:rsidRPr="00962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nb-NO"/>
              </w:rPr>
              <w:t>a</w:t>
            </w:r>
          </w:p>
        </w:tc>
        <w:tc>
          <w:tcPr>
            <w:tcW w:w="3259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2DECBB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62AA4">
              <w:rPr>
                <w:rFonts w:ascii="Times New Roman" w:hAnsi="Times New Roman" w:cs="Times New Roman"/>
                <w:sz w:val="24"/>
                <w:szCs w:val="24"/>
              </w:rPr>
              <w:t>Two caregivers</w:t>
            </w:r>
            <w:r w:rsidRPr="007474C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8DF7B67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69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8E0479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34E5892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FA89EDF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E3B5F0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4C7ABBA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0B13DBDC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E63FDF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2D034A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E3E6FA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20EE65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6686E8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969C6" w14:paraId="48D055CF" w14:textId="77777777" w:rsidTr="00BA1F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231E43DD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nb-NO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1E392B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62AA4">
              <w:rPr>
                <w:rFonts w:ascii="Times New Roman" w:hAnsi="Times New Roman" w:cs="Times New Roman"/>
                <w:sz w:val="24"/>
                <w:szCs w:val="24"/>
              </w:rPr>
              <w:t>One caregiver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3184163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1.04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33541B09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1.58)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3C9DFBD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13D248B6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053C220C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1.99)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6EF2D51D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0.922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4E6A08F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EAA84DC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7EB7CFF3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CB189EC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2050B42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68DCBCD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9C6" w14:paraId="05BACF9C" w14:textId="77777777" w:rsidTr="00BA1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B78B3F9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 of toothbrushing, n (%)</w:t>
            </w:r>
          </w:p>
        </w:tc>
        <w:tc>
          <w:tcPr>
            <w:tcW w:w="3259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9D4620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Twice a day, or more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C981E68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69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D33B05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8C1458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4F55287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6BE7BA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70A58683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1926356C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DC1E03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78589E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EC8514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BA4EBE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96BC03E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969C6" w14:paraId="6CD96B42" w14:textId="77777777" w:rsidTr="00BA1F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6ABB5947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CEF2E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Once a day or less/do not know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850913F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5E12069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1.57)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68A5462A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781BA49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36D4541E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1.86)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AABD553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0.704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D237D22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55847317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55402F5E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1A660636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57091005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11B877D2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9C6" w14:paraId="0897D419" w14:textId="77777777" w:rsidTr="00BA1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 w:val="restart"/>
            <w:tcBorders>
              <w:top w:val="single" w:sz="2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6BF4B71D" w14:textId="77777777" w:rsidR="00887AC2" w:rsidRPr="00AB60A5" w:rsidRDefault="00887AC2" w:rsidP="00BA1F5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 of tooth flossing during the last 3 months, n (%)</w:t>
            </w:r>
          </w:p>
        </w:tc>
        <w:tc>
          <w:tcPr>
            <w:tcW w:w="3259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2621C25B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Daily or more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829E968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69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EC3E80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26C14A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DD21968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25AFB5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30D26F39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1401A797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870314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8DEB16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807626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414A65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D0068B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969C6" w14:paraId="1F7C8239" w14:textId="77777777" w:rsidTr="00BA1F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/>
            <w:tcBorders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noWrap/>
          </w:tcPr>
          <w:p w14:paraId="43B06F24" w14:textId="77777777" w:rsidR="00887AC2" w:rsidRDefault="00887AC2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62A48A6C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Several times weekly or less/do not know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D5F42F9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994052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1.41)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4558EA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370DBA8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A77CEC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037028C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0.483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00D81E6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120D6E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9A3CE3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1E7C26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8D93AD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670D78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969C6" w14:paraId="7D3F44BE" w14:textId="77777777" w:rsidTr="00BA1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noWrap/>
          </w:tcPr>
          <w:p w14:paraId="069C8A95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nb-NO"/>
              </w:rPr>
            </w:pPr>
            <w:r w:rsidRPr="00662AA4">
              <w:rPr>
                <w:rFonts w:ascii="Times New Roman" w:hAnsi="Times New Roman" w:cs="Times New Roman"/>
                <w:sz w:val="24"/>
                <w:szCs w:val="24"/>
              </w:rPr>
              <w:t xml:space="preserve">During toothbrushing, gingival bleeding occurs  </w:t>
            </w:r>
          </w:p>
        </w:tc>
        <w:tc>
          <w:tcPr>
            <w:tcW w:w="3259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7D24FF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AA4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20128EF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69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8C3655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0D4F17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8A01AFF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3862DC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0B354A92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167A82CE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F8E26A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B12E496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D80D81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8B04D9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45E3C0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969C6" w14:paraId="7B2101ED" w14:textId="77777777" w:rsidTr="00BA1F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F3D20EF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nb-NO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57106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AA4">
              <w:rPr>
                <w:rFonts w:ascii="Times New Roman" w:hAnsi="Times New Roman" w:cs="Times New Roman"/>
                <w:sz w:val="24"/>
                <w:szCs w:val="24"/>
              </w:rPr>
              <w:t>Sometimes or more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/do not know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26DEB4B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1.38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E8563D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(1.02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1.87)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152A2" w14:textId="77777777" w:rsidR="00887AC2" w:rsidRPr="00556D50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0.037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0BB6B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6C73B9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(0.79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3.51)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DA06EBA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0.185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EC4AC69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A1725FD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93FD7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B2E847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E85EF72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FA16F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0.399</w:t>
            </w:r>
          </w:p>
        </w:tc>
      </w:tr>
      <w:tr w:rsidR="007969C6" w14:paraId="0762F0EE" w14:textId="77777777" w:rsidTr="00BA1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C53E2CD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62AA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During toothbrushing, pain or discomfort occurs</w:t>
            </w:r>
          </w:p>
        </w:tc>
        <w:tc>
          <w:tcPr>
            <w:tcW w:w="3259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309621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AA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7FC7104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69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887834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0781CE3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AF8FA93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B17F2B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0685D14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0EC7948C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9A6EE4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9CE4DD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04C96E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B03DF4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0458DF0" w14:textId="77777777" w:rsidR="00887AC2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969C6" w14:paraId="36A7693B" w14:textId="77777777" w:rsidTr="00BA1F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9C18B8A" w14:textId="77777777" w:rsidR="00887AC2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13146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AA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/do not know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4017D1F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1.46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829C45C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(0.84–2.54)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55EDCCF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0.179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349AD7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4.34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C8FA363" w14:textId="77777777" w:rsidR="00887AC2" w:rsidRPr="00A6294E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(2.30–8.21)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2D7BF6EA" w14:textId="77777777" w:rsidR="00887AC2" w:rsidRPr="001B6F30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B6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07BC42DB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5C5D88D9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0B57DD01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4C61F9E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7FB7C956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(2.58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10.60)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8B3D962" w14:textId="77777777" w:rsidR="00887AC2" w:rsidRPr="001B6F30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7969C6" w:rsidRPr="002C2B63" w14:paraId="1C3EA64A" w14:textId="77777777" w:rsidTr="00BA1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 w:val="restart"/>
            <w:tcBorders>
              <w:top w:val="single" w:sz="2" w:space="0" w:color="auto"/>
              <w:right w:val="nil"/>
            </w:tcBorders>
            <w:shd w:val="clear" w:color="auto" w:fill="FFFFFF" w:themeFill="background1"/>
            <w:noWrap/>
          </w:tcPr>
          <w:p w14:paraId="4F7CD419" w14:textId="77777777" w:rsidR="00887AC2" w:rsidRPr="00827149" w:rsidRDefault="00887AC2" w:rsidP="00BA1F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Dental caries </w:t>
            </w:r>
            <w:r w:rsidRPr="009141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3259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02E1B0DB" w14:textId="77777777" w:rsidR="00887AC2" w:rsidRPr="00CD5B2F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D5B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1-5</w:t>
            </w: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>/D</w:t>
            </w:r>
            <w:r w:rsidRPr="00CD5B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1-5</w:t>
            </w: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274A7902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69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110516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AFD1925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ABA9FE5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94ECFB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20543C64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5A9D8EAF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77BEEA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1E41410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E289B9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CA44DE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C0B724" w14:textId="77777777" w:rsidR="00887AC2" w:rsidRPr="00B4130D" w:rsidRDefault="00887AC2" w:rsidP="00BA1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9C6" w:rsidRPr="002C2B63" w14:paraId="00500889" w14:textId="77777777" w:rsidTr="00BA1F5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Merge/>
            <w:tcBorders>
              <w:bottom w:val="single" w:sz="2" w:space="0" w:color="auto"/>
              <w:right w:val="nil"/>
            </w:tcBorders>
            <w:shd w:val="clear" w:color="auto" w:fill="FFFFFF" w:themeFill="background1"/>
            <w:noWrap/>
          </w:tcPr>
          <w:p w14:paraId="2A7E1FEE" w14:textId="77777777" w:rsidR="00887AC2" w:rsidRPr="00662AA4" w:rsidRDefault="00887AC2" w:rsidP="00BA1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9BA608" w14:textId="77777777" w:rsidR="00887AC2" w:rsidRPr="00CD5B2F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D5B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1-5</w:t>
            </w: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>/D</w:t>
            </w:r>
            <w:r w:rsidRPr="00CD5B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1-5</w:t>
            </w: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Pr="00CD5B2F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</w:p>
        </w:tc>
        <w:tc>
          <w:tcPr>
            <w:tcW w:w="853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53D6011" w14:textId="77777777" w:rsidR="00887AC2" w:rsidRPr="00B4130D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1.61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5E9B39E0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(1.15–2.24)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04082E14" w14:textId="77777777" w:rsidR="00887AC2" w:rsidRPr="001B6F30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B6F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8DC77BA" w14:textId="77777777" w:rsidR="00887AC2" w:rsidRPr="001065CF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065C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CE9F8D4" w14:textId="77777777" w:rsidR="00887AC2" w:rsidRPr="00B4130D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(0.61–2.45)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46FBCA30" w14:textId="77777777" w:rsidR="00887AC2" w:rsidRPr="00B4130D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958B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58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4885FDD" w14:textId="77777777" w:rsidR="00887AC2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3ED2859D" w14:textId="77777777" w:rsidR="00887AC2" w:rsidRPr="00B4130D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(1.22–2.31)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D5CBA31" w14:textId="77777777" w:rsidR="00887AC2" w:rsidRPr="001B6F30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B6F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595FC1B1" w14:textId="77777777" w:rsidR="00887AC2" w:rsidRPr="00B4130D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9967F9D" w14:textId="77777777" w:rsidR="00887AC2" w:rsidRPr="00B4130D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(0.49–2.26)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2DAA7B7C" w14:textId="77777777" w:rsidR="00887AC2" w:rsidRPr="00B4130D" w:rsidRDefault="00887AC2" w:rsidP="00BA1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0.903</w:t>
            </w:r>
          </w:p>
        </w:tc>
      </w:tr>
    </w:tbl>
    <w:p w14:paraId="196423FF" w14:textId="77777777" w:rsidR="00887AC2" w:rsidRDefault="00887AC2" w:rsidP="00887AC2">
      <w:pPr>
        <w:rPr>
          <w:rFonts w:ascii="Times New Roman" w:hAnsi="Times New Roman" w:cs="Times New Roman"/>
          <w:sz w:val="24"/>
          <w:szCs w:val="24"/>
        </w:rPr>
      </w:pPr>
    </w:p>
    <w:p w14:paraId="31C5B845" w14:textId="77777777" w:rsidR="00887AC2" w:rsidRDefault="00887AC2" w:rsidP="00887AC2">
      <w:pPr>
        <w:spacing w:line="480" w:lineRule="auto"/>
        <w:ind w:right="-455"/>
        <w:rPr>
          <w:rFonts w:ascii="Times New Roman" w:hAnsi="Times New Roman" w:cs="Times New Roman"/>
          <w:i/>
          <w:iCs/>
          <w:sz w:val="24"/>
          <w:szCs w:val="24"/>
        </w:rPr>
      </w:pPr>
      <w:r w:rsidRPr="0039110D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 xml:space="preserve">a </w:t>
      </w:r>
      <w:r w:rsidRPr="0039110D">
        <w:rPr>
          <w:rFonts w:ascii="Times New Roman" w:hAnsi="Times New Roman" w:cs="Times New Roman"/>
          <w:i/>
          <w:iCs/>
          <w:sz w:val="24"/>
          <w:szCs w:val="24"/>
        </w:rPr>
        <w:t>Regressed on group affiliation and adjusted for socio-behavioral factors (parental educational level and bleeding during toothbrushing) and dental caries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9110D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b</w:t>
      </w:r>
      <w:r w:rsidRPr="0039110D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 xml:space="preserve"> </w:t>
      </w:r>
      <w:r w:rsidRPr="0039110D">
        <w:rPr>
          <w:rFonts w:ascii="Times New Roman" w:hAnsi="Times New Roman" w:cs="Times New Roman"/>
          <w:i/>
          <w:iCs/>
          <w:sz w:val="24"/>
          <w:szCs w:val="24"/>
        </w:rPr>
        <w:t xml:space="preserve">Also includes living across two households, given two caregivers in both households.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c</w:t>
      </w:r>
      <w:r w:rsidRPr="0039110D">
        <w:rPr>
          <w:rFonts w:ascii="Times New Roman" w:hAnsi="Times New Roman" w:cs="Times New Roman"/>
          <w:i/>
          <w:iCs/>
          <w:sz w:val="24"/>
          <w:szCs w:val="24"/>
        </w:rPr>
        <w:t xml:space="preserve"> Decayed and/or filled teeth in the primary or permanent dentition, enamel caries included. OR=</w:t>
      </w:r>
      <w:r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39110D">
        <w:rPr>
          <w:rFonts w:ascii="Times New Roman" w:hAnsi="Times New Roman" w:cs="Times New Roman"/>
          <w:i/>
          <w:iCs/>
          <w:sz w:val="24"/>
          <w:szCs w:val="24"/>
        </w:rPr>
        <w:t>dds ratios. CI=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39110D">
        <w:rPr>
          <w:rFonts w:ascii="Times New Roman" w:hAnsi="Times New Roman" w:cs="Times New Roman"/>
          <w:i/>
          <w:iCs/>
          <w:sz w:val="24"/>
          <w:szCs w:val="24"/>
        </w:rPr>
        <w:t xml:space="preserve">onfidence interval.  </w:t>
      </w:r>
      <w:r>
        <w:rPr>
          <w:rFonts w:ascii="Times New Roman" w:hAnsi="Times New Roman" w:cs="Times New Roman"/>
          <w:i/>
          <w:iCs/>
          <w:sz w:val="24"/>
          <w:szCs w:val="24"/>
        </w:rPr>
        <w:t>IRR</w:t>
      </w:r>
      <w:r w:rsidRPr="0039110D">
        <w:rPr>
          <w:rFonts w:ascii="Times New Roman" w:hAnsi="Times New Roman" w:cs="Times New Roman"/>
          <w:i/>
          <w:iCs/>
          <w:sz w:val="24"/>
          <w:szCs w:val="24"/>
        </w:rPr>
        <w:t>=</w:t>
      </w:r>
      <w:r w:rsidRPr="00AC01A4">
        <w:rPr>
          <w:rFonts w:ascii="Times New Roman" w:hAnsi="Times New Roman" w:cs="Times New Roman"/>
          <w:i/>
          <w:iCs/>
          <w:sz w:val="24"/>
          <w:szCs w:val="24"/>
        </w:rPr>
        <w:t>incidence rate ratios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9110D">
        <w:rPr>
          <w:rFonts w:ascii="Times New Roman" w:hAnsi="Times New Roman" w:cs="Times New Roman"/>
          <w:i/>
          <w:iCs/>
          <w:sz w:val="24"/>
          <w:szCs w:val="24"/>
        </w:rPr>
        <w:t>JIA=</w:t>
      </w:r>
      <w:r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39110D">
        <w:rPr>
          <w:rFonts w:ascii="Times New Roman" w:hAnsi="Times New Roman" w:cs="Times New Roman"/>
          <w:i/>
          <w:iCs/>
          <w:sz w:val="24"/>
          <w:szCs w:val="24"/>
        </w:rPr>
        <w:t>uvenile idiopathic arthritis.</w:t>
      </w:r>
    </w:p>
    <w:p w14:paraId="3859394F" w14:textId="77777777" w:rsidR="000C4C1D" w:rsidRDefault="000C4C1D"/>
    <w:sectPr w:rsidR="000C4C1D" w:rsidSect="00887AC2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83803" w14:textId="77777777" w:rsidR="00887AC2" w:rsidRDefault="00887AC2" w:rsidP="00887AC2">
      <w:pPr>
        <w:spacing w:after="0" w:line="240" w:lineRule="auto"/>
      </w:pPr>
      <w:r>
        <w:separator/>
      </w:r>
    </w:p>
  </w:endnote>
  <w:endnote w:type="continuationSeparator" w:id="0">
    <w:p w14:paraId="3D32353F" w14:textId="77777777" w:rsidR="00887AC2" w:rsidRDefault="00887AC2" w:rsidP="00887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68192" w14:textId="77777777" w:rsidR="00887AC2" w:rsidRDefault="00887AC2" w:rsidP="00887AC2">
      <w:pPr>
        <w:spacing w:after="0" w:line="240" w:lineRule="auto"/>
      </w:pPr>
      <w:r>
        <w:separator/>
      </w:r>
    </w:p>
  </w:footnote>
  <w:footnote w:type="continuationSeparator" w:id="0">
    <w:p w14:paraId="2E3A306A" w14:textId="77777777" w:rsidR="00887AC2" w:rsidRDefault="00887AC2" w:rsidP="00887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C2"/>
    <w:rsid w:val="000C4C1D"/>
    <w:rsid w:val="0033322B"/>
    <w:rsid w:val="007969C6"/>
    <w:rsid w:val="0088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A12DB3"/>
  <w15:chartTrackingRefBased/>
  <w15:docId w15:val="{6109D908-9C0E-4EA5-8AD1-9CD24B54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AC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887AC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Grut Gil</dc:creator>
  <cp:keywords/>
  <dc:description/>
  <cp:lastModifiedBy>Gowtham Mani</cp:lastModifiedBy>
  <cp:revision>3</cp:revision>
  <dcterms:created xsi:type="dcterms:W3CDTF">2022-02-28T11:30:00Z</dcterms:created>
  <dcterms:modified xsi:type="dcterms:W3CDTF">2022-08-23T06:19:00Z</dcterms:modified>
</cp:coreProperties>
</file>