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985"/>
        <w:gridCol w:w="1587"/>
        <w:gridCol w:w="1049"/>
        <w:gridCol w:w="1263"/>
      </w:tblGrid>
      <w:tr w:rsidR="00052961" w:rsidRPr="00052961" w:rsidTr="00052961">
        <w:trPr>
          <w:trHeight w:val="300"/>
        </w:trPr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2E27CF" w:rsidP="00BD1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Supplementary Table 1</w:t>
            </w:r>
            <w:r w:rsidR="00052961" w:rsidRPr="00052961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.</w:t>
            </w:r>
            <w:r w:rsidR="00052961"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Distribution of individuals (N = 450) </w:t>
            </w:r>
            <w:r w:rsidR="00BD1D7C">
              <w:rPr>
                <w:rFonts w:ascii="Calibri" w:eastAsia="Times New Roman" w:hAnsi="Calibri" w:cs="Calibri"/>
                <w:color w:val="000000"/>
                <w:lang w:val="en-GB" w:eastAsia="nb-NO"/>
              </w:rPr>
              <w:t>by frequency of</w:t>
            </w: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AP, untreated AP, RF teeth and RF teeth with AP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BD1D7C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Frequency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AP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Untreated AP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RF</w:t>
            </w:r>
          </w:p>
        </w:tc>
        <w:tc>
          <w:tcPr>
            <w:tcW w:w="12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RF with AP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2961" w:rsidRPr="00052961" w:rsidRDefault="00052961" w:rsidP="00052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proofErr w:type="gramStart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n</w:t>
            </w:r>
            <w:proofErr w:type="gramEnd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(%)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proofErr w:type="gramStart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n</w:t>
            </w:r>
            <w:proofErr w:type="gramEnd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(%)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proofErr w:type="gramStart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n</w:t>
            </w:r>
            <w:proofErr w:type="gramEnd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(%)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proofErr w:type="gramStart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n</w:t>
            </w:r>
            <w:proofErr w:type="gramEnd"/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(%)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249 (55)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378 (84)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153 (34)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280 (62)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115 (26)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52 (12)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101 (22)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109 (24)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42 (9)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11 (2)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82 (18)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42 (9)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23 (5)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8 (2)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47 (10)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12 (3)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14 (3)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26 (6)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4 (&lt;1)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4 (1)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14 (3)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2 (&lt;1)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 (&lt;1)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 (&lt;1)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18 (4)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5 (&lt;1)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 (&lt;1)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3 (&lt;1)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 (&lt;1)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0 (0)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 (&lt;1)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1 (&lt;1)</w:t>
            </w:r>
          </w:p>
        </w:tc>
      </w:tr>
      <w:tr w:rsidR="00052961" w:rsidRPr="00052961" w:rsidTr="00052961">
        <w:trPr>
          <w:trHeight w:val="300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</w:tr>
      <w:tr w:rsidR="00052961" w:rsidRPr="00052961" w:rsidTr="00052961">
        <w:trPr>
          <w:trHeight w:val="300"/>
        </w:trPr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AP = </w:t>
            </w:r>
            <w:r w:rsidR="00DD1FDC">
              <w:rPr>
                <w:rFonts w:ascii="Calibri" w:eastAsia="Times New Roman" w:hAnsi="Calibri" w:cs="Calibri"/>
                <w:color w:val="000000"/>
                <w:lang w:val="en-GB" w:eastAsia="nb-NO"/>
              </w:rPr>
              <w:t>apical periodontitis; RF = root-</w:t>
            </w:r>
            <w:r w:rsidRPr="00052961">
              <w:rPr>
                <w:rFonts w:ascii="Calibri" w:eastAsia="Times New Roman" w:hAnsi="Calibri" w:cs="Calibri"/>
                <w:color w:val="000000"/>
                <w:lang w:val="en-GB" w:eastAsia="nb-NO"/>
              </w:rPr>
              <w:t>filled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961" w:rsidRPr="00052961" w:rsidRDefault="00052961" w:rsidP="0005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</w:tbl>
    <w:p w:rsidR="00AA3CE6" w:rsidRDefault="00BD1D7C"/>
    <w:p w:rsidR="005D73D5" w:rsidRDefault="005D73D5"/>
    <w:p w:rsidR="005D73D5" w:rsidRDefault="005D73D5"/>
    <w:p w:rsidR="005D73D5" w:rsidRDefault="005D73D5"/>
    <w:p w:rsidR="005D73D5" w:rsidRDefault="005D73D5">
      <w:bookmarkStart w:id="0" w:name="_GoBack"/>
      <w:bookmarkEnd w:id="0"/>
    </w:p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p w:rsidR="005D73D5" w:rsidRDefault="005D73D5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1637"/>
        <w:gridCol w:w="2268"/>
        <w:gridCol w:w="1275"/>
        <w:gridCol w:w="709"/>
        <w:gridCol w:w="2126"/>
      </w:tblGrid>
      <w:tr w:rsidR="005D73D5" w:rsidRPr="005D73D5" w:rsidTr="005F3857">
        <w:trPr>
          <w:trHeight w:val="300"/>
        </w:trPr>
        <w:tc>
          <w:tcPr>
            <w:tcW w:w="9072" w:type="dxa"/>
            <w:gridSpan w:val="6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lastRenderedPageBreak/>
              <w:t xml:space="preserve">Supplementary Table 2. </w:t>
            </w: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Associations of untreated AP, root-filled teeth and root-filled teeth with AP with number of remaining teeth (n) </w:t>
            </w:r>
          </w:p>
        </w:tc>
      </w:tr>
      <w:tr w:rsidR="005D73D5" w:rsidTr="005F3857">
        <w:trPr>
          <w:trHeight w:val="300"/>
        </w:trPr>
        <w:tc>
          <w:tcPr>
            <w:tcW w:w="2694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N = 11 484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Untreated AP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RF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RF with AP</w:t>
            </w:r>
          </w:p>
        </w:tc>
      </w:tr>
      <w:tr w:rsidR="005D73D5" w:rsidTr="005F385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D73D5" w:rsidRDefault="005D73D5">
            <w:pPr>
              <w:spacing w:after="0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Odds ratio (95% CI)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Odds ratio (95% CI)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Odds ratio (95% CI)</w:t>
            </w:r>
          </w:p>
        </w:tc>
      </w:tr>
      <w:tr w:rsidR="005D73D5" w:rsidTr="005F3857">
        <w:trPr>
          <w:trHeight w:val="300"/>
        </w:trPr>
        <w:tc>
          <w:tcPr>
            <w:tcW w:w="1057" w:type="dxa"/>
            <w:noWrap/>
            <w:vAlign w:val="center"/>
            <w:hideMark/>
          </w:tcPr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637" w:type="dxa"/>
            <w:noWrap/>
            <w:vAlign w:val="bottom"/>
            <w:hideMark/>
          </w:tcPr>
          <w:p w:rsidR="005D73D5" w:rsidRDefault="005D73D5">
            <w:pPr>
              <w:spacing w:after="0"/>
              <w:rPr>
                <w:sz w:val="20"/>
                <w:szCs w:val="20"/>
                <w:lang w:val="nb-NO" w:eastAsia="nb-NO"/>
              </w:rPr>
            </w:pPr>
          </w:p>
        </w:tc>
        <w:tc>
          <w:tcPr>
            <w:tcW w:w="2268" w:type="dxa"/>
            <w:vAlign w:val="bottom"/>
            <w:hideMark/>
          </w:tcPr>
          <w:p w:rsidR="005D73D5" w:rsidRDefault="005D73D5">
            <w:pPr>
              <w:spacing w:after="0"/>
              <w:rPr>
                <w:sz w:val="20"/>
                <w:szCs w:val="20"/>
                <w:lang w:val="nb-NO" w:eastAsia="nb-NO"/>
              </w:rPr>
            </w:pPr>
          </w:p>
        </w:tc>
        <w:tc>
          <w:tcPr>
            <w:tcW w:w="1984" w:type="dxa"/>
            <w:gridSpan w:val="2"/>
            <w:noWrap/>
            <w:vAlign w:val="bottom"/>
            <w:hideMark/>
          </w:tcPr>
          <w:p w:rsidR="005D73D5" w:rsidRDefault="005D73D5">
            <w:pPr>
              <w:spacing w:after="0"/>
              <w:rPr>
                <w:sz w:val="20"/>
                <w:szCs w:val="20"/>
                <w:lang w:val="nb-NO" w:eastAsia="nb-NO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5D73D5" w:rsidRDefault="005D73D5">
            <w:pPr>
              <w:spacing w:after="0"/>
              <w:rPr>
                <w:sz w:val="20"/>
                <w:szCs w:val="20"/>
                <w:lang w:val="nb-NO" w:eastAsia="nb-NO"/>
              </w:rPr>
            </w:pPr>
          </w:p>
        </w:tc>
      </w:tr>
      <w:tr w:rsidR="005D73D5" w:rsidTr="005F3857">
        <w:trPr>
          <w:trHeight w:val="300"/>
        </w:trPr>
        <w:tc>
          <w:tcPr>
            <w:tcW w:w="2694" w:type="dxa"/>
            <w:gridSpan w:val="2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Number of remaining teeth</w:t>
            </w:r>
          </w:p>
        </w:tc>
        <w:tc>
          <w:tcPr>
            <w:tcW w:w="2268" w:type="dxa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0.93 (0.88-0.98)</w:t>
            </w:r>
          </w:p>
        </w:tc>
        <w:tc>
          <w:tcPr>
            <w:tcW w:w="1984" w:type="dxa"/>
            <w:gridSpan w:val="2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1.02 (0.98-1.07)</w:t>
            </w:r>
          </w:p>
        </w:tc>
        <w:tc>
          <w:tcPr>
            <w:tcW w:w="2126" w:type="dxa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0.98 (0.94-1.03)</w:t>
            </w:r>
          </w:p>
        </w:tc>
      </w:tr>
      <w:tr w:rsidR="005D73D5" w:rsidTr="005F3857">
        <w:trPr>
          <w:trHeight w:val="300"/>
        </w:trPr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</w:tr>
      <w:tr w:rsidR="005D73D5" w:rsidRPr="005D73D5" w:rsidTr="005F3857">
        <w:trPr>
          <w:trHeight w:val="300"/>
        </w:trPr>
        <w:tc>
          <w:tcPr>
            <w:tcW w:w="6237" w:type="dxa"/>
            <w:gridSpan w:val="4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AP = apical periodontitis; RF = root-filled; CI = confidence interval</w:t>
            </w:r>
          </w:p>
        </w:tc>
        <w:tc>
          <w:tcPr>
            <w:tcW w:w="709" w:type="dxa"/>
            <w:noWrap/>
            <w:vAlign w:val="bottom"/>
            <w:hideMark/>
          </w:tcPr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5D73D5" w:rsidRPr="005D73D5" w:rsidRDefault="005D73D5">
            <w:pPr>
              <w:spacing w:after="0"/>
              <w:rPr>
                <w:sz w:val="20"/>
                <w:szCs w:val="20"/>
                <w:lang w:val="en-GB" w:eastAsia="nb-NO"/>
              </w:rPr>
            </w:pPr>
          </w:p>
        </w:tc>
      </w:tr>
      <w:tr w:rsidR="005D73D5" w:rsidRPr="005D73D5" w:rsidTr="005F3857">
        <w:trPr>
          <w:trHeight w:val="300"/>
        </w:trPr>
        <w:tc>
          <w:tcPr>
            <w:tcW w:w="9072" w:type="dxa"/>
            <w:gridSpan w:val="6"/>
            <w:noWrap/>
            <w:vAlign w:val="bottom"/>
            <w:hideMark/>
          </w:tcPr>
          <w:p w:rsidR="005D73D5" w:rsidRDefault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Values shown in bold text are statistically significant (p &lt; 0.05: Logistic regression)</w:t>
            </w:r>
          </w:p>
        </w:tc>
      </w:tr>
      <w:tr w:rsidR="005D73D5" w:rsidRPr="005D73D5" w:rsidTr="005F3857">
        <w:trPr>
          <w:trHeight w:val="300"/>
        </w:trPr>
        <w:tc>
          <w:tcPr>
            <w:tcW w:w="2694" w:type="dxa"/>
            <w:gridSpan w:val="2"/>
            <w:noWrap/>
            <w:vAlign w:val="bottom"/>
            <w:hideMark/>
          </w:tcPr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  <w:p w:rsidR="005D73D5" w:rsidRDefault="005D73D5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5D73D5" w:rsidRPr="005D73D5" w:rsidRDefault="005D73D5">
            <w:pPr>
              <w:spacing w:after="0"/>
              <w:rPr>
                <w:sz w:val="20"/>
                <w:szCs w:val="20"/>
                <w:lang w:val="en-GB" w:eastAsia="nb-NO"/>
              </w:rPr>
            </w:pPr>
          </w:p>
        </w:tc>
        <w:tc>
          <w:tcPr>
            <w:tcW w:w="1984" w:type="dxa"/>
            <w:gridSpan w:val="2"/>
            <w:noWrap/>
            <w:vAlign w:val="bottom"/>
            <w:hideMark/>
          </w:tcPr>
          <w:p w:rsidR="005D73D5" w:rsidRPr="005D73D5" w:rsidRDefault="005D73D5">
            <w:pPr>
              <w:spacing w:after="0"/>
              <w:rPr>
                <w:sz w:val="20"/>
                <w:szCs w:val="20"/>
                <w:lang w:val="en-GB" w:eastAsia="nb-NO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5D73D5" w:rsidRPr="005D73D5" w:rsidRDefault="005D73D5">
            <w:pPr>
              <w:spacing w:after="0"/>
              <w:rPr>
                <w:sz w:val="20"/>
                <w:szCs w:val="20"/>
                <w:lang w:val="en-GB" w:eastAsia="nb-NO"/>
              </w:rPr>
            </w:pPr>
          </w:p>
        </w:tc>
      </w:tr>
    </w:tbl>
    <w:p w:rsidR="005D73D5" w:rsidRPr="005D73D5" w:rsidRDefault="005D73D5">
      <w:pPr>
        <w:rPr>
          <w:lang w:val="en-GB"/>
        </w:rPr>
      </w:pPr>
    </w:p>
    <w:tbl>
      <w:tblPr>
        <w:tblW w:w="5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676"/>
        <w:gridCol w:w="2659"/>
      </w:tblGrid>
      <w:tr w:rsidR="005D73D5" w:rsidRPr="005D73D5" w:rsidTr="005F3857">
        <w:trPr>
          <w:trHeight w:val="3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 xml:space="preserve">Supplementary Table 3. </w:t>
            </w: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The association between apical periodontitis and </w:t>
            </w:r>
            <w:r w:rsidR="005F3857"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quality of root filling</w:t>
            </w: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N = 756</w:t>
            </w:r>
          </w:p>
        </w:tc>
        <w:tc>
          <w:tcPr>
            <w:tcW w:w="16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Odds ratio (95% CI)</w:t>
            </w: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D73D5" w:rsidRPr="005D73D5" w:rsidTr="005F3857">
        <w:trPr>
          <w:trHeight w:val="300"/>
        </w:trPr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Length of root filling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Satisfactory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Short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2.0 (1.4-2.8)</w:t>
            </w: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Long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1.2 (0.6-2.5)</w:t>
            </w:r>
          </w:p>
        </w:tc>
      </w:tr>
      <w:tr w:rsidR="005D73D5" w:rsidRPr="005D73D5" w:rsidTr="005F3857">
        <w:trPr>
          <w:trHeight w:val="300"/>
        </w:trPr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Homogeneity of root filling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Satisfactory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1</w:t>
            </w: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Unsatisfactory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2.1 (1.5-2.9)</w:t>
            </w:r>
          </w:p>
        </w:tc>
      </w:tr>
      <w:tr w:rsidR="005D73D5" w:rsidRPr="005D73D5" w:rsidTr="005F3857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 </w:t>
            </w:r>
          </w:p>
        </w:tc>
      </w:tr>
      <w:tr w:rsidR="005D73D5" w:rsidRPr="005D73D5" w:rsidTr="005F3857">
        <w:trPr>
          <w:trHeight w:val="3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CI = confidence interval</w:t>
            </w:r>
          </w:p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Values shown in bold text differ significantly from the</w:t>
            </w:r>
          </w:p>
        </w:tc>
      </w:tr>
      <w:tr w:rsidR="005D73D5" w:rsidRPr="005D73D5" w:rsidTr="005F3857">
        <w:trPr>
          <w:trHeight w:val="3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reference category (p &lt; 0.05: Logistic regression)</w:t>
            </w:r>
          </w:p>
        </w:tc>
      </w:tr>
      <w:tr w:rsidR="005D73D5" w:rsidRPr="005D73D5" w:rsidTr="005F3857">
        <w:trPr>
          <w:trHeight w:val="3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5D73D5">
              <w:rPr>
                <w:rFonts w:ascii="Calibri" w:eastAsia="Times New Roman" w:hAnsi="Calibri" w:cs="Calibri"/>
                <w:color w:val="000000"/>
                <w:lang w:val="en-GB" w:eastAsia="nb-NO"/>
              </w:rPr>
              <w:t>Only adjusted (not crude) odds ratios are shown.</w:t>
            </w:r>
          </w:p>
        </w:tc>
      </w:tr>
      <w:tr w:rsidR="005D73D5" w:rsidRPr="005D73D5" w:rsidTr="005F3857">
        <w:trPr>
          <w:trHeight w:val="300"/>
        </w:trPr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D73D5" w:rsidRPr="005D73D5" w:rsidRDefault="005D73D5" w:rsidP="005D7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</w:p>
        </w:tc>
      </w:tr>
    </w:tbl>
    <w:p w:rsidR="005D73D5" w:rsidRPr="005D73D5" w:rsidRDefault="005D73D5" w:rsidP="005D73D5">
      <w:pPr>
        <w:rPr>
          <w:rFonts w:eastAsia="Times New Roman" w:cs="Times New Roman"/>
          <w:lang w:val="en-GB"/>
        </w:rPr>
      </w:pPr>
    </w:p>
    <w:p w:rsidR="005D73D5" w:rsidRPr="00DD1FDC" w:rsidRDefault="005D73D5"/>
    <w:sectPr w:rsidR="005D73D5" w:rsidRPr="00DD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61"/>
    <w:rsid w:val="00052961"/>
    <w:rsid w:val="002E27CF"/>
    <w:rsid w:val="005C622A"/>
    <w:rsid w:val="005D73D5"/>
    <w:rsid w:val="005F3857"/>
    <w:rsid w:val="006B22FA"/>
    <w:rsid w:val="00BD1D7C"/>
    <w:rsid w:val="00DD1FDC"/>
    <w:rsid w:val="00D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C1F9"/>
  <w15:chartTrackingRefBased/>
  <w15:docId w15:val="{66A9866E-5856-4681-81D6-B3924313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255</Words>
  <Characters>1357</Characters>
  <Application>Microsoft Office Word</Application>
  <DocSecurity>0</DocSecurity>
  <Lines>11</Lines>
  <Paragraphs>3</Paragraphs>
  <ScaleCrop>false</ScaleCrop>
  <Company>Universitetet i Oslo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Tien Diep</dc:creator>
  <cp:keywords/>
  <dc:description/>
  <cp:lastModifiedBy>My Tien Diep</cp:lastModifiedBy>
  <cp:revision>6</cp:revision>
  <dcterms:created xsi:type="dcterms:W3CDTF">2022-04-11T20:50:00Z</dcterms:created>
  <dcterms:modified xsi:type="dcterms:W3CDTF">2022-06-03T13:08:00Z</dcterms:modified>
</cp:coreProperties>
</file>