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857" w:rsidRDefault="007D6D9A">
      <w:pPr>
        <w:widowControl/>
        <w:jc w:val="left"/>
        <w:rPr>
          <w:rFonts w:ascii="Times New Roman" w:hAnsi="Times New Roman"/>
          <w:b/>
          <w:bCs/>
          <w:sz w:val="24"/>
          <w:lang w:val="en-GB"/>
        </w:rPr>
      </w:pPr>
      <w:r>
        <w:rPr>
          <w:rFonts w:ascii="Times New Roman" w:hAnsi="Times New Roman"/>
          <w:b/>
          <w:bCs/>
          <w:sz w:val="24"/>
          <w:lang w:val="en-GB"/>
        </w:rPr>
        <w:t>Supplementary Fig. S</w:t>
      </w:r>
      <w:r>
        <w:rPr>
          <w:rFonts w:ascii="Times New Roman" w:hAnsi="Times New Roman" w:hint="eastAsia"/>
          <w:b/>
          <w:bCs/>
          <w:sz w:val="24"/>
        </w:rPr>
        <w:t xml:space="preserve">1 </w:t>
      </w:r>
      <w:r>
        <w:rPr>
          <w:rFonts w:ascii="Times New Roman" w:hAnsi="Times New Roman"/>
          <w:b/>
          <w:bCs/>
          <w:sz w:val="24"/>
          <w:lang w:val="en-GB"/>
        </w:rPr>
        <w:t xml:space="preserve">Taxon abundances at the </w:t>
      </w:r>
      <w:r>
        <w:rPr>
          <w:rFonts w:ascii="Times New Roman" w:hAnsi="Times New Roman" w:hint="eastAsia"/>
          <w:b/>
          <w:bCs/>
          <w:sz w:val="24"/>
        </w:rPr>
        <w:t>phylum</w:t>
      </w:r>
      <w:r>
        <w:rPr>
          <w:rFonts w:ascii="Times New Roman" w:hAnsi="Times New Roman"/>
          <w:b/>
          <w:bCs/>
          <w:sz w:val="24"/>
          <w:lang w:val="en-GB"/>
        </w:rPr>
        <w:t xml:space="preserve"> levels were compared between the SECC and CF groups using </w:t>
      </w:r>
      <w:proofErr w:type="spellStart"/>
      <w:r>
        <w:rPr>
          <w:rFonts w:ascii="Times New Roman" w:hAnsi="Times New Roman"/>
          <w:b/>
          <w:bCs/>
          <w:sz w:val="24"/>
          <w:lang w:val="en-GB"/>
        </w:rPr>
        <w:t>Metastats</w:t>
      </w:r>
      <w:proofErr w:type="spellEnd"/>
      <w:r>
        <w:rPr>
          <w:rFonts w:ascii="Times New Roman" w:hAnsi="Times New Roman"/>
          <w:b/>
          <w:bCs/>
          <w:sz w:val="24"/>
          <w:lang w:val="en-GB"/>
        </w:rPr>
        <w:t xml:space="preserve">. </w:t>
      </w:r>
    </w:p>
    <w:p w:rsidR="00F82857" w:rsidRDefault="00F82857">
      <w:pPr>
        <w:widowControl/>
        <w:jc w:val="left"/>
        <w:rPr>
          <w:rFonts w:ascii="Times New Roman" w:hAnsi="Times New Roman"/>
          <w:b/>
          <w:bCs/>
          <w:sz w:val="24"/>
          <w:lang w:val="en-GB"/>
        </w:rPr>
      </w:pPr>
    </w:p>
    <w:p w:rsidR="00F82857" w:rsidRDefault="00F82857">
      <w:pPr>
        <w:widowControl/>
        <w:jc w:val="left"/>
        <w:rPr>
          <w:rFonts w:ascii="Times New Roman" w:hAnsi="Times New Roman"/>
          <w:b/>
          <w:bCs/>
          <w:sz w:val="24"/>
          <w:lang w:val="en-GB"/>
        </w:rPr>
      </w:pPr>
    </w:p>
    <w:p w:rsidR="00F82857" w:rsidRDefault="007D6D9A">
      <w:pPr>
        <w:widowControl/>
        <w:jc w:val="left"/>
        <w:rPr>
          <w:rFonts w:ascii="Times New Roman" w:hAnsi="Times New Roman"/>
          <w:b/>
          <w:bCs/>
          <w:sz w:val="24"/>
        </w:rPr>
      </w:pPr>
      <w:r>
        <w:rPr>
          <w:rFonts w:ascii="Times New Roman" w:hAnsi="Times New Roman"/>
          <w:b/>
          <w:bCs/>
          <w:sz w:val="24"/>
          <w:lang w:val="en-GB"/>
        </w:rPr>
        <w:t>Supplementary Fig. S</w:t>
      </w:r>
      <w:r>
        <w:rPr>
          <w:rFonts w:ascii="Times New Roman" w:hAnsi="Times New Roman" w:hint="eastAsia"/>
          <w:b/>
          <w:bCs/>
          <w:sz w:val="24"/>
        </w:rPr>
        <w:t xml:space="preserve">2 </w:t>
      </w:r>
      <w:proofErr w:type="gramStart"/>
      <w:r>
        <w:rPr>
          <w:rFonts w:ascii="Times New Roman" w:hAnsi="Times New Roman"/>
          <w:b/>
          <w:bCs/>
          <w:sz w:val="24"/>
        </w:rPr>
        <w:t>The</w:t>
      </w:r>
      <w:proofErr w:type="gramEnd"/>
      <w:r>
        <w:rPr>
          <w:rFonts w:ascii="Times New Roman" w:hAnsi="Times New Roman"/>
          <w:b/>
          <w:bCs/>
          <w:sz w:val="24"/>
        </w:rPr>
        <w:t xml:space="preserve"> random forest model was constructed for the genus taxonomic level</w:t>
      </w:r>
      <w:r w:rsidR="00DF6E77">
        <w:rPr>
          <w:rFonts w:ascii="Times New Roman" w:hAnsi="Times New Roman"/>
          <w:b/>
          <w:bCs/>
          <w:sz w:val="24"/>
        </w:rPr>
        <w:t xml:space="preserve"> </w:t>
      </w:r>
      <w:r>
        <w:rPr>
          <w:rFonts w:ascii="Times New Roman" w:hAnsi="Times New Roman" w:hint="eastAsia"/>
          <w:b/>
          <w:bCs/>
          <w:sz w:val="24"/>
        </w:rPr>
        <w:t>(a)</w:t>
      </w:r>
      <w:r>
        <w:rPr>
          <w:rFonts w:ascii="Times New Roman" w:hAnsi="Times New Roman"/>
          <w:b/>
          <w:bCs/>
          <w:sz w:val="24"/>
        </w:rPr>
        <w:t xml:space="preserve">. </w:t>
      </w:r>
      <w:r>
        <w:rPr>
          <w:rFonts w:ascii="Times New Roman" w:hAnsi="Times New Roman" w:hint="eastAsia"/>
          <w:b/>
          <w:bCs/>
          <w:sz w:val="24"/>
        </w:rPr>
        <w:t>Comparison of model performance of random forests with different numbers of species, with the largest ROC values obtained for the 20 species selected</w:t>
      </w:r>
      <w:r w:rsidR="00DF6E77">
        <w:rPr>
          <w:rFonts w:ascii="Times New Roman" w:hAnsi="Times New Roman"/>
          <w:b/>
          <w:bCs/>
          <w:sz w:val="24"/>
        </w:rPr>
        <w:t xml:space="preserve"> </w:t>
      </w:r>
      <w:r>
        <w:rPr>
          <w:rFonts w:ascii="Times New Roman" w:hAnsi="Times New Roman" w:hint="eastAsia"/>
          <w:b/>
          <w:bCs/>
          <w:sz w:val="24"/>
        </w:rPr>
        <w:t xml:space="preserve">(b). The AUC (Area </w:t>
      </w:r>
      <w:proofErr w:type="gramStart"/>
      <w:r>
        <w:rPr>
          <w:rFonts w:ascii="Times New Roman" w:hAnsi="Times New Roman" w:hint="eastAsia"/>
          <w:b/>
          <w:bCs/>
          <w:sz w:val="24"/>
        </w:rPr>
        <w:t>Under</w:t>
      </w:r>
      <w:proofErr w:type="gramEnd"/>
      <w:r>
        <w:rPr>
          <w:rFonts w:ascii="Times New Roman" w:hAnsi="Times New Roman" w:hint="eastAsia"/>
          <w:b/>
          <w:bCs/>
          <w:sz w:val="24"/>
        </w:rPr>
        <w:t xml:space="preserve"> Curve) is defined as the area under the ROC curve. Typically, it has a value between 1.0 and 0.5. For AUC &gt; 0.5, the closer the AUC is to 1, the better the classification prediction is.</w:t>
      </w:r>
    </w:p>
    <w:p w:rsidR="00F82857" w:rsidRDefault="00F82857">
      <w:pPr>
        <w:widowControl/>
        <w:jc w:val="left"/>
        <w:rPr>
          <w:rFonts w:ascii="Times New Roman" w:hAnsi="Times New Roman"/>
          <w:b/>
          <w:bCs/>
          <w:sz w:val="24"/>
        </w:rPr>
      </w:pPr>
      <w:bookmarkStart w:id="0" w:name="_GoBack"/>
      <w:bookmarkEnd w:id="0"/>
    </w:p>
    <w:p w:rsidR="00F82857" w:rsidRDefault="00F82857">
      <w:pPr>
        <w:widowControl/>
        <w:jc w:val="left"/>
        <w:rPr>
          <w:rFonts w:ascii="Times New Roman" w:hAnsi="Times New Roman"/>
          <w:b/>
          <w:bCs/>
          <w:sz w:val="24"/>
        </w:rPr>
      </w:pPr>
    </w:p>
    <w:p w:rsidR="00F82857" w:rsidRDefault="007D6D9A">
      <w:pPr>
        <w:widowControl/>
        <w:jc w:val="left"/>
        <w:rPr>
          <w:rFonts w:ascii="Times New Roman" w:hAnsi="Times New Roman"/>
          <w:b/>
          <w:bCs/>
          <w:sz w:val="24"/>
        </w:rPr>
      </w:pPr>
      <w:r>
        <w:rPr>
          <w:rFonts w:ascii="Times New Roman" w:hAnsi="Times New Roman"/>
          <w:b/>
          <w:bCs/>
          <w:sz w:val="24"/>
          <w:lang w:val="en-GB"/>
        </w:rPr>
        <w:t>Supplementary Fig. S</w:t>
      </w:r>
      <w:r>
        <w:rPr>
          <w:rFonts w:ascii="Times New Roman" w:hAnsi="Times New Roman" w:hint="eastAsia"/>
          <w:b/>
          <w:bCs/>
          <w:sz w:val="24"/>
        </w:rPr>
        <w:t>3 OPLS-DA 200 permutation testing. T</w:t>
      </w:r>
      <w:r>
        <w:rPr>
          <w:rFonts w:ascii="Times New Roman" w:hAnsi="Times New Roman"/>
          <w:b/>
          <w:bCs/>
          <w:sz w:val="24"/>
        </w:rPr>
        <w:t xml:space="preserve">he </w:t>
      </w:r>
      <w:proofErr w:type="gramStart"/>
      <w:r>
        <w:rPr>
          <w:rFonts w:ascii="Times New Roman" w:hAnsi="Times New Roman"/>
          <w:b/>
          <w:bCs/>
          <w:sz w:val="24"/>
        </w:rPr>
        <w:t>R2Y(</w:t>
      </w:r>
      <w:proofErr w:type="gramEnd"/>
      <w:r>
        <w:rPr>
          <w:rFonts w:ascii="Times New Roman" w:hAnsi="Times New Roman"/>
          <w:b/>
          <w:bCs/>
          <w:sz w:val="24"/>
        </w:rPr>
        <w:t>cum) and</w:t>
      </w:r>
      <w:r>
        <w:rPr>
          <w:rFonts w:ascii="Times New Roman" w:hAnsi="Times New Roman" w:hint="eastAsia"/>
          <w:b/>
          <w:bCs/>
          <w:sz w:val="24"/>
        </w:rPr>
        <w:t xml:space="preserve"> </w:t>
      </w:r>
      <w:r>
        <w:rPr>
          <w:rFonts w:ascii="Times New Roman" w:hAnsi="Times New Roman"/>
          <w:b/>
          <w:bCs/>
          <w:sz w:val="24"/>
        </w:rPr>
        <w:t>Q2(cum) results were (0.</w:t>
      </w:r>
      <w:r>
        <w:rPr>
          <w:rFonts w:ascii="Times New Roman" w:hAnsi="Times New Roman" w:hint="eastAsia"/>
          <w:b/>
          <w:bCs/>
          <w:sz w:val="24"/>
        </w:rPr>
        <w:t>292</w:t>
      </w:r>
      <w:r>
        <w:rPr>
          <w:rFonts w:ascii="Times New Roman" w:hAnsi="Times New Roman"/>
          <w:b/>
          <w:bCs/>
          <w:sz w:val="24"/>
        </w:rPr>
        <w:t>, 0.</w:t>
      </w:r>
      <w:r>
        <w:rPr>
          <w:rFonts w:ascii="Times New Roman" w:hAnsi="Times New Roman" w:hint="eastAsia"/>
          <w:b/>
          <w:bCs/>
          <w:sz w:val="24"/>
        </w:rPr>
        <w:t>131</w:t>
      </w:r>
      <w:r>
        <w:rPr>
          <w:rFonts w:ascii="Times New Roman" w:hAnsi="Times New Roman"/>
          <w:b/>
          <w:bCs/>
          <w:sz w:val="24"/>
        </w:rPr>
        <w:t>)</w:t>
      </w:r>
      <w:r>
        <w:rPr>
          <w:rFonts w:ascii="Times New Roman" w:hAnsi="Times New Roman" w:hint="eastAsia"/>
          <w:b/>
          <w:bCs/>
          <w:sz w:val="24"/>
        </w:rPr>
        <w:t>. The calculated R</w:t>
      </w:r>
      <w:r>
        <w:rPr>
          <w:rFonts w:ascii="Times New Roman" w:hAnsi="Times New Roman"/>
          <w:b/>
          <w:bCs/>
          <w:sz w:val="24"/>
        </w:rPr>
        <w:t>2</w:t>
      </w:r>
      <w:r>
        <w:rPr>
          <w:rFonts w:ascii="Times New Roman" w:hAnsi="Times New Roman" w:hint="eastAsia"/>
          <w:b/>
          <w:bCs/>
          <w:sz w:val="24"/>
        </w:rPr>
        <w:t xml:space="preserve">X and </w:t>
      </w:r>
      <w:proofErr w:type="gramStart"/>
      <w:r>
        <w:rPr>
          <w:rFonts w:ascii="Times New Roman" w:hAnsi="Times New Roman" w:hint="eastAsia"/>
          <w:b/>
          <w:bCs/>
          <w:sz w:val="24"/>
        </w:rPr>
        <w:t>R</w:t>
      </w:r>
      <w:r>
        <w:rPr>
          <w:rFonts w:ascii="Times New Roman" w:hAnsi="Times New Roman"/>
          <w:b/>
          <w:bCs/>
          <w:sz w:val="24"/>
        </w:rPr>
        <w:t>2Y(</w:t>
      </w:r>
      <w:proofErr w:type="gramEnd"/>
      <w:r>
        <w:rPr>
          <w:rFonts w:ascii="Times New Roman" w:hAnsi="Times New Roman"/>
          <w:b/>
          <w:bCs/>
          <w:sz w:val="24"/>
        </w:rPr>
        <w:t>cum) estimates the goodness of fit of the model</w:t>
      </w:r>
      <w:r>
        <w:rPr>
          <w:rFonts w:ascii="Times New Roman" w:hAnsi="Times New Roman" w:hint="eastAsia"/>
          <w:b/>
          <w:bCs/>
          <w:sz w:val="24"/>
        </w:rPr>
        <w:t>;</w:t>
      </w:r>
      <w:r>
        <w:rPr>
          <w:rFonts w:ascii="Times New Roman" w:hAnsi="Times New Roman"/>
          <w:b/>
          <w:bCs/>
          <w:sz w:val="24"/>
        </w:rPr>
        <w:t xml:space="preserve"> Q2(cum) estimates the ability of prediction. For OPLS-DA, the permutation analysis between one </w:t>
      </w:r>
      <w:proofErr w:type="gramStart"/>
      <w:r>
        <w:rPr>
          <w:rFonts w:ascii="Times New Roman" w:hAnsi="Times New Roman"/>
          <w:b/>
          <w:bCs/>
          <w:sz w:val="24"/>
        </w:rPr>
        <w:t>predictive(</w:t>
      </w:r>
      <w:proofErr w:type="gramEnd"/>
      <w:r>
        <w:rPr>
          <w:rFonts w:ascii="Times New Roman" w:hAnsi="Times New Roman"/>
          <w:b/>
          <w:bCs/>
          <w:sz w:val="24"/>
        </w:rPr>
        <w:t>p</w:t>
      </w:r>
      <w:r>
        <w:rPr>
          <w:rFonts w:ascii="Times New Roman" w:hAnsi="Times New Roman" w:hint="eastAsia"/>
          <w:b/>
          <w:bCs/>
          <w:sz w:val="24"/>
        </w:rPr>
        <w:t>1)</w:t>
      </w:r>
      <w:r>
        <w:rPr>
          <w:rFonts w:ascii="Times New Roman" w:hAnsi="Times New Roman"/>
          <w:b/>
          <w:bCs/>
          <w:sz w:val="24"/>
        </w:rPr>
        <w:t xml:space="preserve"> and three orthogonal (o1, o2, and o3) components produced the observed and cross-validated R2X</w:t>
      </w:r>
      <w:r>
        <w:rPr>
          <w:rFonts w:ascii="Times New Roman" w:hAnsi="Times New Roman" w:hint="eastAsia"/>
          <w:b/>
          <w:bCs/>
          <w:sz w:val="24"/>
        </w:rPr>
        <w:t xml:space="preserve">, </w:t>
      </w:r>
      <w:r>
        <w:rPr>
          <w:rFonts w:ascii="Times New Roman" w:hAnsi="Times New Roman"/>
          <w:b/>
          <w:bCs/>
          <w:sz w:val="24"/>
        </w:rPr>
        <w:t>R2Y, and Q2 coefficients</w:t>
      </w:r>
      <w:r>
        <w:rPr>
          <w:rFonts w:ascii="Times New Roman" w:hAnsi="Times New Roman" w:hint="eastAsia"/>
          <w:b/>
          <w:bCs/>
          <w:sz w:val="24"/>
        </w:rPr>
        <w:t>.</w:t>
      </w:r>
    </w:p>
    <w:p w:rsidR="00F82857" w:rsidRDefault="00F82857">
      <w:pPr>
        <w:widowControl/>
        <w:jc w:val="left"/>
        <w:rPr>
          <w:rFonts w:ascii="Times New Roman" w:hAnsi="Times New Roman"/>
          <w:b/>
          <w:bCs/>
          <w:sz w:val="24"/>
        </w:rPr>
      </w:pPr>
    </w:p>
    <w:p w:rsidR="00F82857" w:rsidRDefault="00F82857">
      <w:pPr>
        <w:widowControl/>
        <w:jc w:val="left"/>
        <w:rPr>
          <w:rFonts w:ascii="Times New Roman" w:hAnsi="Times New Roman"/>
          <w:b/>
          <w:bCs/>
          <w:sz w:val="24"/>
        </w:rPr>
      </w:pPr>
    </w:p>
    <w:p w:rsidR="00F82857" w:rsidRDefault="00F82857">
      <w:pPr>
        <w:widowControl/>
        <w:jc w:val="left"/>
        <w:rPr>
          <w:rFonts w:ascii="Times New Roman" w:hAnsi="Times New Roman"/>
          <w:b/>
          <w:bCs/>
          <w:sz w:val="24"/>
        </w:rPr>
      </w:pPr>
    </w:p>
    <w:p w:rsidR="00F82857" w:rsidRDefault="007D6D9A">
      <w:pPr>
        <w:widowControl/>
        <w:jc w:val="left"/>
        <w:rPr>
          <w:rFonts w:ascii="Times New Roman" w:hAnsi="Times New Roman"/>
          <w:b/>
          <w:bCs/>
          <w:sz w:val="24"/>
          <w:lang w:val="en-GB"/>
        </w:rPr>
      </w:pPr>
      <w:r>
        <w:rPr>
          <w:rFonts w:ascii="Times New Roman" w:hAnsi="Times New Roman"/>
          <w:b/>
          <w:bCs/>
          <w:sz w:val="24"/>
          <w:lang w:val="en-GB"/>
        </w:rPr>
        <w:t>Supplementary Fig. S</w:t>
      </w:r>
      <w:r>
        <w:rPr>
          <w:rFonts w:ascii="Times New Roman" w:hAnsi="Times New Roman" w:hint="eastAsia"/>
          <w:b/>
          <w:bCs/>
          <w:sz w:val="24"/>
        </w:rPr>
        <w:t xml:space="preserve">4 </w:t>
      </w:r>
      <w:r>
        <w:rPr>
          <w:rFonts w:ascii="Times New Roman" w:hAnsi="Times New Roman"/>
          <w:b/>
          <w:bCs/>
          <w:sz w:val="24"/>
          <w:lang w:val="en-GB"/>
        </w:rPr>
        <w:t>Correlations between microbiota (</w:t>
      </w:r>
      <w:r>
        <w:rPr>
          <w:rFonts w:ascii="Times New Roman" w:hAnsi="Times New Roman" w:hint="eastAsia"/>
          <w:b/>
          <w:bCs/>
          <w:sz w:val="24"/>
        </w:rPr>
        <w:t>phylum</w:t>
      </w:r>
      <w:r>
        <w:rPr>
          <w:rFonts w:ascii="Times New Roman" w:hAnsi="Times New Roman"/>
          <w:b/>
          <w:bCs/>
          <w:sz w:val="24"/>
          <w:lang w:val="en-GB"/>
        </w:rPr>
        <w:t xml:space="preserve"> level) and metabolites in saliva. Each row and column in the graph represents a metabolite and phylum, respectively, while each lattice represents a correlation coefficient between a component and a</w:t>
      </w:r>
      <w:r>
        <w:rPr>
          <w:rFonts w:ascii="Times New Roman" w:hAnsi="Times New Roman"/>
          <w:b/>
          <w:bCs/>
          <w:sz w:val="24"/>
        </w:rPr>
        <w:t xml:space="preserve"> m</w:t>
      </w:r>
      <w:proofErr w:type="spellStart"/>
      <w:r>
        <w:rPr>
          <w:rFonts w:ascii="Times New Roman" w:hAnsi="Times New Roman"/>
          <w:b/>
          <w:bCs/>
          <w:sz w:val="24"/>
          <w:lang w:val="en-GB"/>
        </w:rPr>
        <w:t>etabolite</w:t>
      </w:r>
      <w:proofErr w:type="spellEnd"/>
      <w:r>
        <w:rPr>
          <w:rFonts w:ascii="Times New Roman" w:hAnsi="Times New Roman"/>
          <w:b/>
          <w:bCs/>
          <w:sz w:val="24"/>
          <w:lang w:val="en-GB"/>
        </w:rPr>
        <w:t xml:space="preserve">. Red and blue represent positive and negative correlations, respectively. * indicates a significant correlation between </w:t>
      </w:r>
      <w:proofErr w:type="gramStart"/>
      <w:r>
        <w:rPr>
          <w:rFonts w:ascii="Times New Roman" w:hAnsi="Times New Roman"/>
          <w:b/>
          <w:bCs/>
          <w:sz w:val="24"/>
          <w:lang w:val="en-GB"/>
        </w:rPr>
        <w:t>the</w:t>
      </w:r>
      <w:proofErr w:type="gramEnd"/>
      <w:r>
        <w:rPr>
          <w:rFonts w:ascii="Times New Roman" w:hAnsi="Times New Roman"/>
          <w:b/>
          <w:bCs/>
          <w:sz w:val="24"/>
          <w:lang w:val="en-GB"/>
        </w:rPr>
        <w:t xml:space="preserve"> phyla and metabolites (*</w:t>
      </w:r>
      <w:r>
        <w:rPr>
          <w:rFonts w:ascii="Times New Roman" w:hAnsi="Times New Roman"/>
          <w:b/>
          <w:bCs/>
          <w:i/>
          <w:iCs/>
          <w:sz w:val="24"/>
          <w:lang w:val="en-GB"/>
        </w:rPr>
        <w:t xml:space="preserve">p </w:t>
      </w:r>
      <w:r>
        <w:rPr>
          <w:rFonts w:ascii="Times New Roman" w:hAnsi="Times New Roman"/>
          <w:b/>
          <w:bCs/>
          <w:sz w:val="24"/>
          <w:lang w:val="en-GB"/>
        </w:rPr>
        <w:t>&lt; 0.05, **</w:t>
      </w:r>
      <w:r>
        <w:rPr>
          <w:rFonts w:ascii="Times New Roman" w:hAnsi="Times New Roman"/>
          <w:b/>
          <w:bCs/>
          <w:i/>
          <w:iCs/>
          <w:sz w:val="24"/>
          <w:lang w:val="en-GB"/>
        </w:rPr>
        <w:t>p</w:t>
      </w:r>
      <w:r>
        <w:rPr>
          <w:rFonts w:ascii="Times New Roman" w:hAnsi="Times New Roman"/>
          <w:b/>
          <w:bCs/>
          <w:sz w:val="24"/>
          <w:lang w:val="en-GB"/>
        </w:rPr>
        <w:t xml:space="preserve"> &lt; 0.01).</w:t>
      </w:r>
    </w:p>
    <w:p w:rsidR="00F82857" w:rsidRDefault="00F82857">
      <w:pPr>
        <w:widowControl/>
        <w:jc w:val="left"/>
        <w:rPr>
          <w:rFonts w:ascii="Times New Roman" w:hAnsi="Times New Roman"/>
          <w:b/>
          <w:bCs/>
          <w:sz w:val="24"/>
        </w:rPr>
      </w:pPr>
    </w:p>
    <w:p w:rsidR="00F82857" w:rsidRDefault="00F82857">
      <w:pPr>
        <w:widowControl/>
        <w:jc w:val="left"/>
        <w:rPr>
          <w:rFonts w:ascii="Times New Roman" w:hAnsi="Times New Roman"/>
          <w:b/>
          <w:bCs/>
          <w:sz w:val="24"/>
        </w:rPr>
      </w:pPr>
    </w:p>
    <w:p w:rsidR="00F82857" w:rsidRDefault="00F82857">
      <w:pPr>
        <w:widowControl/>
        <w:jc w:val="left"/>
        <w:rPr>
          <w:rFonts w:ascii="Times New Roman" w:hAnsi="Times New Roman"/>
          <w:b/>
          <w:bCs/>
          <w:sz w:val="24"/>
        </w:rPr>
      </w:pPr>
    </w:p>
    <w:p w:rsidR="00F82857" w:rsidRDefault="007D6D9A">
      <w:pPr>
        <w:rPr>
          <w:rFonts w:ascii="Verdana" w:eastAsia="Verdana" w:hAnsi="Verdana" w:cs="Verdana"/>
          <w:b/>
          <w:bCs/>
          <w:color w:val="000000"/>
          <w:sz w:val="24"/>
          <w:shd w:val="clear" w:color="auto" w:fill="FFFFFF"/>
        </w:rPr>
      </w:pPr>
      <w:r>
        <w:rPr>
          <w:rFonts w:ascii="Verdana" w:eastAsia="Verdana" w:hAnsi="Verdana" w:cs="Verdana" w:hint="eastAsia"/>
          <w:b/>
          <w:bCs/>
          <w:color w:val="000000"/>
          <w:sz w:val="24"/>
          <w:shd w:val="clear" w:color="auto" w:fill="FFFFFF"/>
        </w:rPr>
        <w:t xml:space="preserve">16S </w:t>
      </w:r>
      <w:proofErr w:type="spellStart"/>
      <w:r>
        <w:rPr>
          <w:rFonts w:ascii="Verdana" w:eastAsia="Verdana" w:hAnsi="Verdana" w:cs="Verdana" w:hint="eastAsia"/>
          <w:b/>
          <w:bCs/>
          <w:color w:val="000000"/>
          <w:sz w:val="24"/>
          <w:shd w:val="clear" w:color="auto" w:fill="FFFFFF"/>
        </w:rPr>
        <w:t>rRNA</w:t>
      </w:r>
      <w:proofErr w:type="spellEnd"/>
      <w:r>
        <w:rPr>
          <w:rFonts w:ascii="Verdana" w:eastAsia="Verdana" w:hAnsi="Verdana" w:cs="Verdana" w:hint="eastAsia"/>
          <w:b/>
          <w:bCs/>
          <w:color w:val="000000"/>
          <w:sz w:val="24"/>
          <w:shd w:val="clear" w:color="auto" w:fill="FFFFFF"/>
        </w:rPr>
        <w:t xml:space="preserve"> </w:t>
      </w:r>
      <w:r>
        <w:rPr>
          <w:rFonts w:ascii="Verdana" w:eastAsia="Verdana" w:hAnsi="Verdana" w:cs="Verdana"/>
          <w:b/>
          <w:bCs/>
          <w:color w:val="000000"/>
          <w:sz w:val="24"/>
          <w:shd w:val="clear" w:color="auto" w:fill="FFFFFF"/>
        </w:rPr>
        <w:t>Gene Sequencing</w:t>
      </w:r>
    </w:p>
    <w:p w:rsidR="00F82857" w:rsidRDefault="00F82857">
      <w:pPr>
        <w:rPr>
          <w:rFonts w:ascii="Verdana" w:eastAsia="Verdana" w:hAnsi="Verdana" w:cs="Verdana"/>
          <w:color w:val="000000"/>
          <w:sz w:val="24"/>
          <w:shd w:val="clear" w:color="auto" w:fill="FFFFFF"/>
        </w:rPr>
      </w:pPr>
    </w:p>
    <w:p w:rsidR="00F82857" w:rsidRDefault="007D6D9A">
      <w:pPr>
        <w:numPr>
          <w:ilvl w:val="0"/>
          <w:numId w:val="1"/>
        </w:numPr>
        <w:rPr>
          <w:rFonts w:ascii="Verdana" w:eastAsia="Verdana" w:hAnsi="Verdana" w:cs="Verdana"/>
          <w:color w:val="000000"/>
          <w:szCs w:val="21"/>
          <w:shd w:val="clear" w:color="auto" w:fill="FFFFFF"/>
        </w:rPr>
      </w:pPr>
      <w:r>
        <w:rPr>
          <w:rFonts w:ascii="Verdana" w:eastAsia="Verdana" w:hAnsi="Verdana" w:cs="Verdana" w:hint="eastAsia"/>
          <w:color w:val="000000"/>
          <w:szCs w:val="21"/>
          <w:shd w:val="clear" w:color="auto" w:fill="FFFFFF"/>
        </w:rPr>
        <w:t>Sequencing data processing</w:t>
      </w:r>
    </w:p>
    <w:p w:rsidR="00F82857" w:rsidRDefault="007D6D9A">
      <w:pPr>
        <w:rPr>
          <w:rFonts w:ascii="Verdana" w:eastAsia="Verdana" w:hAnsi="Verdana" w:cs="Verdana"/>
          <w:color w:val="000000"/>
          <w:szCs w:val="21"/>
          <w:shd w:val="clear" w:color="auto" w:fill="FFFFFF"/>
        </w:rPr>
      </w:pPr>
      <w:r>
        <w:rPr>
          <w:rFonts w:ascii="SimSun" w:hAnsi="SimSun" w:cs="SimSun"/>
          <w:color w:val="0E101A"/>
          <w:sz w:val="24"/>
        </w:rPr>
        <w:t>T</w:t>
      </w:r>
      <w:r>
        <w:rPr>
          <w:rFonts w:ascii="Verdana" w:eastAsia="Verdana" w:hAnsi="Verdana" w:cs="Verdana" w:hint="eastAsia"/>
          <w:color w:val="000000"/>
          <w:szCs w:val="21"/>
          <w:shd w:val="clear" w:color="auto" w:fill="FFFFFF"/>
        </w:rPr>
        <w:t>he reads of each sample were spliced using FLASH (V1.2.7, </w:t>
      </w:r>
      <w:hyperlink r:id="rId5" w:tgtFrame="_blank" w:history="1">
        <w:r>
          <w:rPr>
            <w:rFonts w:ascii="Verdana" w:eastAsia="Verdana" w:hAnsi="Verdana" w:cs="Verdana" w:hint="eastAsia"/>
            <w:color w:val="000000"/>
            <w:szCs w:val="21"/>
            <w:shd w:val="clear" w:color="auto" w:fill="FFFFFF"/>
          </w:rPr>
          <w:t>http://ccb.jhu.edu/software/FLASH/)[1]</w:t>
        </w:r>
      </w:hyperlink>
      <w:r>
        <w:rPr>
          <w:rFonts w:ascii="Verdana" w:eastAsia="Verdana" w:hAnsi="Verdana" w:cs="Verdana" w:hint="eastAsia"/>
          <w:color w:val="000000"/>
          <w:szCs w:val="21"/>
          <w:shd w:val="clear" w:color="auto" w:fill="FFFFFF"/>
        </w:rPr>
        <w:t xml:space="preserve">after truncating the barcode and primer sequences, and the resulting spliced sequences were the original The spliced Raw Tags were then filtered to obtain high-quality Tags (Clean Tags)[2]. Referring to the Tags quality control process in </w:t>
      </w:r>
      <w:proofErr w:type="spellStart"/>
      <w:r>
        <w:rPr>
          <w:rFonts w:ascii="Verdana" w:eastAsia="Verdana" w:hAnsi="Verdana" w:cs="Verdana" w:hint="eastAsia"/>
          <w:color w:val="000000"/>
          <w:szCs w:val="21"/>
          <w:shd w:val="clear" w:color="auto" w:fill="FFFFFF"/>
        </w:rPr>
        <w:t>Qiime</w:t>
      </w:r>
      <w:proofErr w:type="spellEnd"/>
      <w:r>
        <w:rPr>
          <w:rFonts w:ascii="Verdana" w:eastAsia="Verdana" w:hAnsi="Verdana" w:cs="Verdana" w:hint="eastAsia"/>
          <w:color w:val="000000"/>
          <w:szCs w:val="21"/>
          <w:shd w:val="clear" w:color="auto" w:fill="FFFFFF"/>
        </w:rPr>
        <w:t xml:space="preserve"> (V1.9.1, http://qiime.org/scripts/split_libraries_fastq.html)[3], the following operations were performed: a) Tags interception: Raw Tags were intercepted from consecutive low-quality values (default quality threshold &lt;=19) to a set number of bases (default length value is 3); b) Tags length filtering: the Tags data set obtained after interception is further filtered to remove Tags with consecutive high-quality bases less than 75% of the Tags length. The Tags </w:t>
      </w:r>
      <w:r>
        <w:rPr>
          <w:rFonts w:ascii="Verdana" w:eastAsia="Verdana" w:hAnsi="Verdana" w:cs="Verdana" w:hint="eastAsia"/>
          <w:color w:val="000000"/>
          <w:szCs w:val="21"/>
          <w:shd w:val="clear" w:color="auto" w:fill="FFFFFF"/>
        </w:rPr>
        <w:lastRenderedPageBreak/>
        <w:t xml:space="preserve">obtained after the above process need to be processed to remove the chimeric sequences, and the Tags sequences are compared with the species annotation database by (https://github.com/torognes/vsearch/)[4] to detect the chimeric sequences and finally remove the chimeric sequences from them to obtain the final effective data </w:t>
      </w:r>
      <w:proofErr w:type="gramStart"/>
      <w:r>
        <w:rPr>
          <w:rFonts w:ascii="Verdana" w:eastAsia="Verdana" w:hAnsi="Verdana" w:cs="Verdana" w:hint="eastAsia"/>
          <w:color w:val="000000"/>
          <w:szCs w:val="21"/>
          <w:shd w:val="clear" w:color="auto" w:fill="FFFFFF"/>
        </w:rPr>
        <w:t>( Effective</w:t>
      </w:r>
      <w:proofErr w:type="gramEnd"/>
      <w:r>
        <w:rPr>
          <w:rFonts w:ascii="Verdana" w:eastAsia="Verdana" w:hAnsi="Verdana" w:cs="Verdana" w:hint="eastAsia"/>
          <w:color w:val="000000"/>
          <w:szCs w:val="21"/>
          <w:shd w:val="clear" w:color="auto" w:fill="FFFFFF"/>
        </w:rPr>
        <w:t xml:space="preserve"> Tags).</w:t>
      </w:r>
    </w:p>
    <w:p w:rsidR="00F82857" w:rsidRDefault="00F82857">
      <w:pPr>
        <w:rPr>
          <w:rFonts w:ascii="Verdana" w:eastAsia="Verdana" w:hAnsi="Verdana" w:cs="Verdana"/>
          <w:color w:val="000000"/>
          <w:szCs w:val="21"/>
          <w:shd w:val="clear" w:color="auto" w:fill="FFFFFF"/>
        </w:rPr>
      </w:pPr>
    </w:p>
    <w:p w:rsidR="00F82857" w:rsidRDefault="007D6D9A">
      <w:pPr>
        <w:rPr>
          <w:rFonts w:ascii="Verdana" w:eastAsia="Verdana" w:hAnsi="Verdana" w:cs="Verdana"/>
          <w:color w:val="000000"/>
          <w:szCs w:val="21"/>
          <w:shd w:val="clear" w:color="auto" w:fill="FFFFFF"/>
        </w:rPr>
      </w:pPr>
      <w:r>
        <w:rPr>
          <w:rFonts w:ascii="Verdana" w:eastAsia="Verdana" w:hAnsi="Verdana" w:cs="Verdana" w:hint="eastAsia"/>
          <w:color w:val="000000"/>
          <w:szCs w:val="21"/>
          <w:shd w:val="clear" w:color="auto" w:fill="FFFFFF"/>
        </w:rPr>
        <w:t>2. OTU clustering and species annotation</w:t>
      </w:r>
    </w:p>
    <w:p w:rsidR="00F82857" w:rsidRDefault="007D6D9A">
      <w:pPr>
        <w:rPr>
          <w:rFonts w:ascii="Verdana" w:eastAsia="Verdana" w:hAnsi="Verdana" w:cs="Verdana"/>
          <w:color w:val="000000"/>
          <w:szCs w:val="21"/>
          <w:shd w:val="clear" w:color="auto" w:fill="FFFFFF"/>
        </w:rPr>
      </w:pPr>
      <w:r>
        <w:rPr>
          <w:rFonts w:ascii="Verdana" w:eastAsia="Verdana" w:hAnsi="Verdana" w:cs="Verdana" w:hint="eastAsia"/>
          <w:color w:val="000000"/>
          <w:szCs w:val="21"/>
          <w:shd w:val="clear" w:color="auto" w:fill="FFFFFF"/>
        </w:rPr>
        <w:t xml:space="preserve">All Effective Tags from all samples were clustered using the </w:t>
      </w:r>
      <w:proofErr w:type="spellStart"/>
      <w:r>
        <w:rPr>
          <w:rFonts w:ascii="Verdana" w:eastAsia="Verdana" w:hAnsi="Verdana" w:cs="Verdana" w:hint="eastAsia"/>
          <w:color w:val="000000"/>
          <w:szCs w:val="21"/>
          <w:shd w:val="clear" w:color="auto" w:fill="FFFFFF"/>
        </w:rPr>
        <w:t>Uparse</w:t>
      </w:r>
      <w:proofErr w:type="spellEnd"/>
      <w:r>
        <w:rPr>
          <w:rFonts w:ascii="Verdana" w:eastAsia="Verdana" w:hAnsi="Verdana" w:cs="Verdana" w:hint="eastAsia"/>
          <w:color w:val="000000"/>
          <w:szCs w:val="21"/>
          <w:shd w:val="clear" w:color="auto" w:fill="FFFFFF"/>
        </w:rPr>
        <w:t xml:space="preserve"> algorithm (</w:t>
      </w:r>
      <w:proofErr w:type="spellStart"/>
      <w:r>
        <w:rPr>
          <w:rFonts w:ascii="Verdana" w:eastAsia="Verdana" w:hAnsi="Verdana" w:cs="Verdana" w:hint="eastAsia"/>
          <w:color w:val="000000"/>
          <w:szCs w:val="21"/>
          <w:shd w:val="clear" w:color="auto" w:fill="FFFFFF"/>
        </w:rPr>
        <w:t>Uparse</w:t>
      </w:r>
      <w:proofErr w:type="spellEnd"/>
      <w:r>
        <w:rPr>
          <w:rFonts w:ascii="Verdana" w:eastAsia="Verdana" w:hAnsi="Verdana" w:cs="Verdana" w:hint="eastAsia"/>
          <w:color w:val="000000"/>
          <w:szCs w:val="21"/>
          <w:shd w:val="clear" w:color="auto" w:fill="FFFFFF"/>
        </w:rPr>
        <w:t xml:space="preserve"> v7.0.1001, http://www.drive5.com/uparse/</w:t>
      </w:r>
      <w:proofErr w:type="gramStart"/>
      <w:r>
        <w:rPr>
          <w:rFonts w:ascii="Verdana" w:eastAsia="Verdana" w:hAnsi="Verdana" w:cs="Verdana" w:hint="eastAsia"/>
          <w:color w:val="000000"/>
          <w:szCs w:val="21"/>
          <w:shd w:val="clear" w:color="auto" w:fill="FFFFFF"/>
        </w:rPr>
        <w:t>)[</w:t>
      </w:r>
      <w:proofErr w:type="gramEnd"/>
      <w:r>
        <w:rPr>
          <w:rFonts w:ascii="Verdana" w:eastAsia="Verdana" w:hAnsi="Verdana" w:cs="Verdana" w:hint="eastAsia"/>
          <w:color w:val="000000"/>
          <w:szCs w:val="21"/>
          <w:shd w:val="clear" w:color="auto" w:fill="FFFFFF"/>
        </w:rPr>
        <w:t xml:space="preserve">5]. Sequences with ≥97% similarity were assigned to the same operational taxonomic units (OTUs). The representative sequences of OTUs are selected based on the principles of the algorithm, and the sequences with the highest frequency of occurrence in OTUs are chosen as representative sequences of OTUs. Species annotation of OTUs sequences was analyzed using the </w:t>
      </w:r>
      <w:proofErr w:type="spellStart"/>
      <w:r>
        <w:rPr>
          <w:rFonts w:ascii="Verdana" w:eastAsia="Verdana" w:hAnsi="Verdana" w:cs="Verdana" w:hint="eastAsia"/>
          <w:color w:val="000000"/>
          <w:szCs w:val="21"/>
          <w:shd w:val="clear" w:color="auto" w:fill="FFFFFF"/>
        </w:rPr>
        <w:t>Mothur</w:t>
      </w:r>
      <w:proofErr w:type="spellEnd"/>
      <w:r>
        <w:rPr>
          <w:rFonts w:ascii="Verdana" w:eastAsia="Verdana" w:hAnsi="Verdana" w:cs="Verdana" w:hint="eastAsia"/>
          <w:color w:val="000000"/>
          <w:szCs w:val="21"/>
          <w:shd w:val="clear" w:color="auto" w:fill="FFFFFF"/>
        </w:rPr>
        <w:t xml:space="preserve"> method with the </w:t>
      </w:r>
      <w:proofErr w:type="spellStart"/>
      <w:r>
        <w:rPr>
          <w:rFonts w:ascii="Verdana" w:eastAsia="Verdana" w:hAnsi="Verdana" w:cs="Verdana" w:hint="eastAsia"/>
          <w:color w:val="000000"/>
          <w:szCs w:val="21"/>
          <w:shd w:val="clear" w:color="auto" w:fill="FFFFFF"/>
        </w:rPr>
        <w:t>SSUrRNA</w:t>
      </w:r>
      <w:proofErr w:type="spellEnd"/>
      <w:r>
        <w:rPr>
          <w:rFonts w:ascii="Verdana" w:eastAsia="Verdana" w:hAnsi="Verdana" w:cs="Verdana" w:hint="eastAsia"/>
          <w:color w:val="000000"/>
          <w:szCs w:val="21"/>
          <w:shd w:val="clear" w:color="auto" w:fill="FFFFFF"/>
        </w:rPr>
        <w:t xml:space="preserve"> database [6] from SILVA138 (http://www.arb-silva.de/) [7] for species annotation (setting a threshold of 0.8 to 1) to obtain taxonomic information and separate statistics on the community composition of each sample at each taxonomic level: kingdom, phylum, class, order, family, genus, </w:t>
      </w:r>
      <w:proofErr w:type="gramStart"/>
      <w:r>
        <w:rPr>
          <w:rFonts w:ascii="Verdana" w:eastAsia="Verdana" w:hAnsi="Verdana" w:cs="Verdana" w:hint="eastAsia"/>
          <w:color w:val="000000"/>
          <w:szCs w:val="21"/>
          <w:shd w:val="clear" w:color="auto" w:fill="FFFFFF"/>
        </w:rPr>
        <w:t>species</w:t>
      </w:r>
      <w:proofErr w:type="gramEnd"/>
      <w:r>
        <w:rPr>
          <w:rFonts w:ascii="Verdana" w:eastAsia="Verdana" w:hAnsi="Verdana" w:cs="Verdana" w:hint="eastAsia"/>
          <w:color w:val="000000"/>
          <w:szCs w:val="21"/>
          <w:shd w:val="clear" w:color="auto" w:fill="FFFFFF"/>
        </w:rPr>
        <w:t xml:space="preserve">. </w:t>
      </w:r>
      <w:proofErr w:type="gramStart"/>
      <w:r>
        <w:rPr>
          <w:rFonts w:ascii="Verdana" w:eastAsia="Verdana" w:hAnsi="Verdana" w:cs="Verdana" w:hint="eastAsia"/>
          <w:color w:val="000000"/>
          <w:szCs w:val="21"/>
          <w:shd w:val="clear" w:color="auto" w:fill="FFFFFF"/>
        </w:rPr>
        <w:t>phylum</w:t>
      </w:r>
      <w:proofErr w:type="gramEnd"/>
      <w:r>
        <w:rPr>
          <w:rFonts w:ascii="Verdana" w:eastAsia="Verdana" w:hAnsi="Verdana" w:cs="Verdana" w:hint="eastAsia"/>
          <w:color w:val="000000"/>
          <w:szCs w:val="21"/>
          <w:shd w:val="clear" w:color="auto" w:fill="FFFFFF"/>
        </w:rPr>
        <w:t xml:space="preserve">, class, order, family, genus, species, and the community composition of each sample. A multiple sequence alignment was performed using MUSCLE [8] (Version 3.8.31, http://www.drive5.com/muscle/) software to obtain phylogenetic relationships for all OTUs representative of the sequences. Finally, </w:t>
      </w:r>
      <w:proofErr w:type="gramStart"/>
      <w:r>
        <w:rPr>
          <w:rFonts w:ascii="Verdana" w:eastAsia="Verdana" w:hAnsi="Verdana" w:cs="Verdana" w:hint="eastAsia"/>
          <w:color w:val="000000"/>
          <w:szCs w:val="21"/>
          <w:shd w:val="clear" w:color="auto" w:fill="FFFFFF"/>
        </w:rPr>
        <w:t>The</w:t>
      </w:r>
      <w:proofErr w:type="gramEnd"/>
      <w:r>
        <w:rPr>
          <w:rFonts w:ascii="Verdana" w:eastAsia="Verdana" w:hAnsi="Verdana" w:cs="Verdana" w:hint="eastAsia"/>
          <w:color w:val="000000"/>
          <w:szCs w:val="21"/>
          <w:shd w:val="clear" w:color="auto" w:fill="FFFFFF"/>
        </w:rPr>
        <w:t xml:space="preserve"> abundance information of the OTUs was normalized using a standard of sequence number corresponding to the sample with the least number of sequences. The subsequent computation of alpha and beta diversities was performed using QIIME (Version 1.9.1).</w:t>
      </w:r>
    </w:p>
    <w:p w:rsidR="00F82857" w:rsidRDefault="00F82857">
      <w:pPr>
        <w:rPr>
          <w:rFonts w:ascii="Verdana" w:eastAsia="Verdana" w:hAnsi="Verdana" w:cs="Verdana"/>
          <w:color w:val="000000"/>
          <w:szCs w:val="21"/>
          <w:shd w:val="clear" w:color="auto" w:fill="FFFFFF"/>
        </w:rPr>
      </w:pPr>
    </w:p>
    <w:p w:rsidR="00F82857" w:rsidRDefault="007D6D9A">
      <w:pPr>
        <w:rPr>
          <w:rFonts w:ascii="Verdana" w:eastAsia="Verdana" w:hAnsi="Verdana" w:cs="Verdana"/>
          <w:color w:val="000000"/>
          <w:szCs w:val="21"/>
          <w:shd w:val="clear" w:color="auto" w:fill="FFFFFF"/>
        </w:rPr>
      </w:pPr>
      <w:r>
        <w:rPr>
          <w:rFonts w:ascii="Verdana" w:eastAsia="Verdana" w:hAnsi="Verdana" w:cs="Verdana" w:hint="eastAsia"/>
          <w:color w:val="000000"/>
          <w:szCs w:val="21"/>
          <w:shd w:val="clear" w:color="auto" w:fill="FFFFFF"/>
        </w:rPr>
        <w:t>References</w:t>
      </w:r>
    </w:p>
    <w:p w:rsidR="00F82857" w:rsidRDefault="00F82857">
      <w:pPr>
        <w:rPr>
          <w:rFonts w:ascii="Verdana" w:eastAsia="Verdana" w:hAnsi="Verdana" w:cs="Verdana"/>
          <w:color w:val="000000"/>
          <w:szCs w:val="21"/>
          <w:shd w:val="clear" w:color="auto" w:fill="FFFFFF"/>
        </w:rPr>
      </w:pPr>
    </w:p>
    <w:p w:rsidR="00F82857" w:rsidRDefault="007D6D9A">
      <w:pPr>
        <w:numPr>
          <w:ilvl w:val="0"/>
          <w:numId w:val="2"/>
        </w:numPr>
        <w:rPr>
          <w:rFonts w:ascii="Verdana" w:eastAsia="Verdana" w:hAnsi="Verdana" w:cs="Verdana"/>
          <w:color w:val="000000"/>
          <w:szCs w:val="21"/>
          <w:shd w:val="clear" w:color="auto" w:fill="FFFFFF"/>
        </w:rPr>
      </w:pPr>
      <w:proofErr w:type="spellStart"/>
      <w:r>
        <w:rPr>
          <w:rFonts w:ascii="Verdana" w:eastAsia="Verdana" w:hAnsi="Verdana" w:cs="Verdana" w:hint="eastAsia"/>
          <w:color w:val="000000"/>
          <w:szCs w:val="21"/>
          <w:shd w:val="clear" w:color="auto" w:fill="FFFFFF"/>
        </w:rPr>
        <w:t>Mago</w:t>
      </w:r>
      <w:proofErr w:type="spellEnd"/>
      <w:r>
        <w:rPr>
          <w:rFonts w:ascii="Verdana" w:eastAsia="Verdana" w:hAnsi="Verdana" w:cs="Verdana" w:hint="eastAsia"/>
          <w:color w:val="000000"/>
          <w:szCs w:val="21"/>
          <w:shd w:val="clear" w:color="auto" w:fill="FFFFFF"/>
        </w:rPr>
        <w:t xml:space="preserve">č, Tanja, and Steven L. </w:t>
      </w:r>
      <w:proofErr w:type="spellStart"/>
      <w:r>
        <w:rPr>
          <w:rFonts w:ascii="Verdana" w:eastAsia="Verdana" w:hAnsi="Verdana" w:cs="Verdana" w:hint="eastAsia"/>
          <w:color w:val="000000"/>
          <w:szCs w:val="21"/>
          <w:shd w:val="clear" w:color="auto" w:fill="FFFFFF"/>
        </w:rPr>
        <w:t>Salzberg</w:t>
      </w:r>
      <w:proofErr w:type="spellEnd"/>
      <w:r>
        <w:rPr>
          <w:rFonts w:ascii="Verdana" w:eastAsia="Verdana" w:hAnsi="Verdana" w:cs="Verdana" w:hint="eastAsia"/>
          <w:color w:val="000000"/>
          <w:szCs w:val="21"/>
          <w:shd w:val="clear" w:color="auto" w:fill="FFFFFF"/>
        </w:rPr>
        <w:t>. FLASH: fast length adjustment of short reads to improve genome assemblies. Bioinformatics 27.21 (2011): 2957-2963.</w:t>
      </w:r>
    </w:p>
    <w:p w:rsidR="00F82857" w:rsidRDefault="007D6D9A">
      <w:pPr>
        <w:numPr>
          <w:ilvl w:val="0"/>
          <w:numId w:val="2"/>
        </w:numPr>
        <w:rPr>
          <w:rFonts w:ascii="Verdana" w:eastAsia="Verdana" w:hAnsi="Verdana" w:cs="Verdana"/>
          <w:color w:val="000000"/>
          <w:szCs w:val="21"/>
          <w:shd w:val="clear" w:color="auto" w:fill="FFFFFF"/>
        </w:rPr>
      </w:pPr>
      <w:proofErr w:type="spellStart"/>
      <w:r>
        <w:rPr>
          <w:rFonts w:ascii="Verdana" w:eastAsia="Verdana" w:hAnsi="Verdana" w:cs="Verdana" w:hint="eastAsia"/>
          <w:color w:val="000000"/>
          <w:szCs w:val="21"/>
          <w:shd w:val="clear" w:color="auto" w:fill="FFFFFF"/>
        </w:rPr>
        <w:t>Bokulich</w:t>
      </w:r>
      <w:proofErr w:type="spellEnd"/>
      <w:r>
        <w:rPr>
          <w:rFonts w:ascii="Verdana" w:eastAsia="Verdana" w:hAnsi="Verdana" w:cs="Verdana" w:hint="eastAsia"/>
          <w:color w:val="000000"/>
          <w:szCs w:val="21"/>
          <w:shd w:val="clear" w:color="auto" w:fill="FFFFFF"/>
        </w:rPr>
        <w:t>, Nicholas A., et al. Quality-filtering vastly improves diversity estimates from Illumina amplicon sequencing. Nature methods 10.1 (2013): 57-59.</w:t>
      </w:r>
    </w:p>
    <w:p w:rsidR="00F82857" w:rsidRDefault="007D6D9A">
      <w:pPr>
        <w:numPr>
          <w:ilvl w:val="0"/>
          <w:numId w:val="2"/>
        </w:numPr>
        <w:rPr>
          <w:rFonts w:ascii="Verdana" w:eastAsia="Verdana" w:hAnsi="Verdana" w:cs="Verdana"/>
          <w:color w:val="000000"/>
          <w:szCs w:val="21"/>
          <w:shd w:val="clear" w:color="auto" w:fill="FFFFFF"/>
        </w:rPr>
      </w:pPr>
      <w:proofErr w:type="spellStart"/>
      <w:r>
        <w:rPr>
          <w:rFonts w:ascii="Verdana" w:eastAsia="Verdana" w:hAnsi="Verdana" w:cs="Verdana" w:hint="eastAsia"/>
          <w:color w:val="000000"/>
          <w:szCs w:val="21"/>
          <w:shd w:val="clear" w:color="auto" w:fill="FFFFFF"/>
        </w:rPr>
        <w:t>Caporaso</w:t>
      </w:r>
      <w:proofErr w:type="spellEnd"/>
      <w:r>
        <w:rPr>
          <w:rFonts w:ascii="Verdana" w:eastAsia="Verdana" w:hAnsi="Verdana" w:cs="Verdana" w:hint="eastAsia"/>
          <w:color w:val="000000"/>
          <w:szCs w:val="21"/>
          <w:shd w:val="clear" w:color="auto" w:fill="FFFFFF"/>
        </w:rPr>
        <w:t>, J. Gregory, et al. QIIME allows analysis of high-throughput community sequencing data. Nature methods 7.5 (2010): 335-336.</w:t>
      </w:r>
    </w:p>
    <w:p w:rsidR="00F82857" w:rsidRDefault="007D6D9A">
      <w:pPr>
        <w:numPr>
          <w:ilvl w:val="0"/>
          <w:numId w:val="2"/>
        </w:numPr>
        <w:rPr>
          <w:rFonts w:ascii="Verdana" w:eastAsia="Verdana" w:hAnsi="Verdana" w:cs="Verdana"/>
          <w:color w:val="000000"/>
          <w:szCs w:val="21"/>
          <w:shd w:val="clear" w:color="auto" w:fill="FFFFFF"/>
        </w:rPr>
      </w:pPr>
      <w:proofErr w:type="spellStart"/>
      <w:r>
        <w:rPr>
          <w:rFonts w:ascii="Verdana" w:eastAsia="Verdana" w:hAnsi="Verdana" w:cs="Verdana" w:hint="eastAsia"/>
          <w:color w:val="000000"/>
          <w:szCs w:val="21"/>
          <w:shd w:val="clear" w:color="auto" w:fill="FFFFFF"/>
        </w:rPr>
        <w:t>Rognes</w:t>
      </w:r>
      <w:proofErr w:type="spellEnd"/>
      <w:r>
        <w:rPr>
          <w:rFonts w:ascii="Verdana" w:eastAsia="Verdana" w:hAnsi="Verdana" w:cs="Verdana" w:hint="eastAsia"/>
          <w:color w:val="000000"/>
          <w:szCs w:val="21"/>
          <w:shd w:val="clear" w:color="auto" w:fill="FFFFFF"/>
        </w:rPr>
        <w:t xml:space="preserve"> T, </w:t>
      </w:r>
      <w:proofErr w:type="spellStart"/>
      <w:r>
        <w:rPr>
          <w:rFonts w:ascii="Verdana" w:eastAsia="Verdana" w:hAnsi="Verdana" w:cs="Verdana" w:hint="eastAsia"/>
          <w:color w:val="000000"/>
          <w:szCs w:val="21"/>
          <w:shd w:val="clear" w:color="auto" w:fill="FFFFFF"/>
        </w:rPr>
        <w:t>Flouri</w:t>
      </w:r>
      <w:proofErr w:type="spellEnd"/>
      <w:r>
        <w:rPr>
          <w:rFonts w:ascii="Verdana" w:eastAsia="Verdana" w:hAnsi="Verdana" w:cs="Verdana" w:hint="eastAsia"/>
          <w:color w:val="000000"/>
          <w:szCs w:val="21"/>
          <w:shd w:val="clear" w:color="auto" w:fill="FFFFFF"/>
        </w:rPr>
        <w:t xml:space="preserve"> T, Nichols B, Quince C, </w:t>
      </w:r>
      <w:proofErr w:type="spellStart"/>
      <w:r>
        <w:rPr>
          <w:rFonts w:ascii="Verdana" w:eastAsia="Verdana" w:hAnsi="Verdana" w:cs="Verdana" w:hint="eastAsia"/>
          <w:color w:val="000000"/>
          <w:szCs w:val="21"/>
          <w:shd w:val="clear" w:color="auto" w:fill="FFFFFF"/>
        </w:rPr>
        <w:t>Mah</w:t>
      </w:r>
      <w:proofErr w:type="spellEnd"/>
      <w:r>
        <w:rPr>
          <w:rFonts w:ascii="Verdana" w:eastAsia="Verdana" w:hAnsi="Verdana" w:cs="Verdana" w:hint="eastAsia"/>
          <w:color w:val="000000"/>
          <w:szCs w:val="21"/>
          <w:shd w:val="clear" w:color="auto" w:fill="FFFFFF"/>
        </w:rPr>
        <w:t xml:space="preserve">é F. (2016) VSEARCH: a versatile open source tool for metagenomics. </w:t>
      </w:r>
      <w:proofErr w:type="spellStart"/>
      <w:r>
        <w:rPr>
          <w:rFonts w:ascii="Verdana" w:eastAsia="Verdana" w:hAnsi="Verdana" w:cs="Verdana" w:hint="eastAsia"/>
          <w:color w:val="000000"/>
          <w:szCs w:val="21"/>
          <w:shd w:val="clear" w:color="auto" w:fill="FFFFFF"/>
        </w:rPr>
        <w:t>PeerJ</w:t>
      </w:r>
      <w:proofErr w:type="spellEnd"/>
      <w:r>
        <w:rPr>
          <w:rFonts w:ascii="Verdana" w:eastAsia="Verdana" w:hAnsi="Verdana" w:cs="Verdana" w:hint="eastAsia"/>
          <w:color w:val="000000"/>
          <w:szCs w:val="21"/>
          <w:shd w:val="clear" w:color="auto" w:fill="FFFFFF"/>
        </w:rPr>
        <w:t xml:space="preserve"> 4:e2584 </w:t>
      </w:r>
      <w:hyperlink r:id="rId6" w:history="1">
        <w:r>
          <w:rPr>
            <w:rFonts w:ascii="Verdana" w:eastAsia="Verdana" w:hAnsi="Verdana" w:cs="Verdana" w:hint="eastAsia"/>
            <w:color w:val="000000"/>
            <w:szCs w:val="21"/>
            <w:shd w:val="clear" w:color="auto" w:fill="FFFFFF"/>
          </w:rPr>
          <w:t>https://doi.org/10.7717/peerj.2584.</w:t>
        </w:r>
      </w:hyperlink>
    </w:p>
    <w:p w:rsidR="00F82857" w:rsidRDefault="007D6D9A">
      <w:pPr>
        <w:numPr>
          <w:ilvl w:val="0"/>
          <w:numId w:val="2"/>
        </w:numPr>
        <w:rPr>
          <w:rFonts w:ascii="Verdana" w:eastAsia="Verdana" w:hAnsi="Verdana" w:cs="Verdana"/>
          <w:color w:val="000000"/>
          <w:szCs w:val="21"/>
          <w:shd w:val="clear" w:color="auto" w:fill="FFFFFF"/>
        </w:rPr>
      </w:pPr>
      <w:r>
        <w:rPr>
          <w:rFonts w:ascii="Verdana" w:eastAsia="Verdana" w:hAnsi="Verdana" w:cs="Verdana" w:hint="eastAsia"/>
          <w:color w:val="000000"/>
          <w:szCs w:val="21"/>
          <w:shd w:val="clear" w:color="auto" w:fill="FFFFFF"/>
        </w:rPr>
        <w:t xml:space="preserve">Haas, Brian J., et al. Chimeric 16S </w:t>
      </w:r>
      <w:proofErr w:type="spellStart"/>
      <w:r>
        <w:rPr>
          <w:rFonts w:ascii="Verdana" w:eastAsia="Verdana" w:hAnsi="Verdana" w:cs="Verdana" w:hint="eastAsia"/>
          <w:color w:val="000000"/>
          <w:szCs w:val="21"/>
          <w:shd w:val="clear" w:color="auto" w:fill="FFFFFF"/>
        </w:rPr>
        <w:t>rRNA</w:t>
      </w:r>
      <w:proofErr w:type="spellEnd"/>
      <w:r>
        <w:rPr>
          <w:rFonts w:ascii="Verdana" w:eastAsia="Verdana" w:hAnsi="Verdana" w:cs="Verdana" w:hint="eastAsia"/>
          <w:color w:val="000000"/>
          <w:szCs w:val="21"/>
          <w:shd w:val="clear" w:color="auto" w:fill="FFFFFF"/>
        </w:rPr>
        <w:t xml:space="preserve"> sequence formation and detection in Sanger and 454-pyrosequenced PCR amplicons. Genome research 21.3 (2011): 494-504.</w:t>
      </w:r>
    </w:p>
    <w:p w:rsidR="00F82857" w:rsidRDefault="007D6D9A">
      <w:pPr>
        <w:numPr>
          <w:ilvl w:val="0"/>
          <w:numId w:val="2"/>
        </w:numPr>
        <w:rPr>
          <w:rFonts w:ascii="Verdana" w:eastAsia="Verdana" w:hAnsi="Verdana" w:cs="Verdana"/>
          <w:color w:val="000000"/>
          <w:szCs w:val="21"/>
          <w:shd w:val="clear" w:color="auto" w:fill="FFFFFF"/>
        </w:rPr>
      </w:pPr>
      <w:r>
        <w:rPr>
          <w:rFonts w:ascii="Verdana" w:eastAsia="Verdana" w:hAnsi="Verdana" w:cs="Verdana" w:hint="eastAsia"/>
          <w:color w:val="000000"/>
          <w:szCs w:val="21"/>
          <w:shd w:val="clear" w:color="auto" w:fill="FFFFFF"/>
        </w:rPr>
        <w:t xml:space="preserve">Wang, </w:t>
      </w:r>
      <w:proofErr w:type="spellStart"/>
      <w:r>
        <w:rPr>
          <w:rFonts w:ascii="Verdana" w:eastAsia="Verdana" w:hAnsi="Verdana" w:cs="Verdana" w:hint="eastAsia"/>
          <w:color w:val="000000"/>
          <w:szCs w:val="21"/>
          <w:shd w:val="clear" w:color="auto" w:fill="FFFFFF"/>
        </w:rPr>
        <w:t>Qiong</w:t>
      </w:r>
      <w:proofErr w:type="spellEnd"/>
      <w:r>
        <w:rPr>
          <w:rFonts w:ascii="Verdana" w:eastAsia="Verdana" w:hAnsi="Verdana" w:cs="Verdana" w:hint="eastAsia"/>
          <w:color w:val="000000"/>
          <w:szCs w:val="21"/>
          <w:shd w:val="clear" w:color="auto" w:fill="FFFFFF"/>
        </w:rPr>
        <w:t xml:space="preserve">, et al. Naive Bayesian classifier for rapid assignment of </w:t>
      </w:r>
      <w:proofErr w:type="spellStart"/>
      <w:r>
        <w:rPr>
          <w:rFonts w:ascii="Verdana" w:eastAsia="Verdana" w:hAnsi="Verdana" w:cs="Verdana" w:hint="eastAsia"/>
          <w:color w:val="000000"/>
          <w:szCs w:val="21"/>
          <w:shd w:val="clear" w:color="auto" w:fill="FFFFFF"/>
        </w:rPr>
        <w:t>rRNA</w:t>
      </w:r>
      <w:proofErr w:type="spellEnd"/>
      <w:r>
        <w:rPr>
          <w:rFonts w:ascii="Verdana" w:eastAsia="Verdana" w:hAnsi="Verdana" w:cs="Verdana" w:hint="eastAsia"/>
          <w:color w:val="000000"/>
          <w:szCs w:val="21"/>
          <w:shd w:val="clear" w:color="auto" w:fill="FFFFFF"/>
        </w:rPr>
        <w:t xml:space="preserve"> </w:t>
      </w:r>
      <w:r>
        <w:rPr>
          <w:rFonts w:ascii="Verdana" w:eastAsia="Verdana" w:hAnsi="Verdana" w:cs="Verdana" w:hint="eastAsia"/>
          <w:color w:val="000000"/>
          <w:szCs w:val="21"/>
          <w:shd w:val="clear" w:color="auto" w:fill="FFFFFF"/>
        </w:rPr>
        <w:lastRenderedPageBreak/>
        <w:t>sequences into the new bacterial taxonomy. Applied and environmental microbiology 73.16 (2007): 5261-5267.</w:t>
      </w:r>
    </w:p>
    <w:p w:rsidR="00F82857" w:rsidRDefault="007D6D9A">
      <w:pPr>
        <w:numPr>
          <w:ilvl w:val="0"/>
          <w:numId w:val="2"/>
        </w:numPr>
        <w:rPr>
          <w:rFonts w:ascii="Verdana" w:eastAsia="Verdana" w:hAnsi="Verdana" w:cs="Verdana"/>
          <w:color w:val="000000"/>
          <w:szCs w:val="21"/>
          <w:shd w:val="clear" w:color="auto" w:fill="FFFFFF"/>
        </w:rPr>
      </w:pPr>
      <w:r>
        <w:rPr>
          <w:rFonts w:ascii="Verdana" w:eastAsia="Verdana" w:hAnsi="Verdana" w:cs="Verdana" w:hint="eastAsia"/>
          <w:color w:val="000000"/>
          <w:szCs w:val="21"/>
          <w:shd w:val="clear" w:color="auto" w:fill="FFFFFF"/>
        </w:rPr>
        <w:t>Edgar, Robert C. UPARSE: highly accurate OTU sequences from microbial amplicon reads. Nature methods 10.10 (2013): 996-998.</w:t>
      </w:r>
    </w:p>
    <w:p w:rsidR="00F82857" w:rsidRDefault="007D6D9A">
      <w:pPr>
        <w:numPr>
          <w:ilvl w:val="0"/>
          <w:numId w:val="2"/>
        </w:numPr>
        <w:rPr>
          <w:rFonts w:ascii="Verdana" w:eastAsia="Verdana" w:hAnsi="Verdana" w:cs="Verdana"/>
          <w:color w:val="000000"/>
          <w:szCs w:val="21"/>
          <w:shd w:val="clear" w:color="auto" w:fill="FFFFFF"/>
        </w:rPr>
      </w:pPr>
      <w:proofErr w:type="spellStart"/>
      <w:r>
        <w:rPr>
          <w:rFonts w:ascii="Verdana" w:eastAsia="Verdana" w:hAnsi="Verdana" w:cs="Verdana" w:hint="eastAsia"/>
          <w:color w:val="000000"/>
          <w:szCs w:val="21"/>
          <w:shd w:val="clear" w:color="auto" w:fill="FFFFFF"/>
        </w:rPr>
        <w:t>Quast</w:t>
      </w:r>
      <w:proofErr w:type="spellEnd"/>
      <w:r>
        <w:rPr>
          <w:rFonts w:ascii="Verdana" w:eastAsia="Verdana" w:hAnsi="Verdana" w:cs="Verdana" w:hint="eastAsia"/>
          <w:color w:val="000000"/>
          <w:szCs w:val="21"/>
          <w:shd w:val="clear" w:color="auto" w:fill="FFFFFF"/>
        </w:rPr>
        <w:t xml:space="preserve"> C, </w:t>
      </w:r>
      <w:proofErr w:type="spellStart"/>
      <w:r>
        <w:rPr>
          <w:rFonts w:ascii="Verdana" w:eastAsia="Verdana" w:hAnsi="Verdana" w:cs="Verdana" w:hint="eastAsia"/>
          <w:color w:val="000000"/>
          <w:szCs w:val="21"/>
          <w:shd w:val="clear" w:color="auto" w:fill="FFFFFF"/>
        </w:rPr>
        <w:t>Pruesse</w:t>
      </w:r>
      <w:proofErr w:type="spellEnd"/>
      <w:r>
        <w:rPr>
          <w:rFonts w:ascii="Verdana" w:eastAsia="Verdana" w:hAnsi="Verdana" w:cs="Verdana" w:hint="eastAsia"/>
          <w:color w:val="000000"/>
          <w:szCs w:val="21"/>
          <w:shd w:val="clear" w:color="auto" w:fill="FFFFFF"/>
        </w:rPr>
        <w:t xml:space="preserve"> E, </w:t>
      </w:r>
      <w:proofErr w:type="gramStart"/>
      <w:r>
        <w:rPr>
          <w:rFonts w:ascii="Verdana" w:eastAsia="Verdana" w:hAnsi="Verdana" w:cs="Verdana" w:hint="eastAsia"/>
          <w:color w:val="000000"/>
          <w:szCs w:val="21"/>
          <w:shd w:val="clear" w:color="auto" w:fill="FFFFFF"/>
        </w:rPr>
        <w:t>et</w:t>
      </w:r>
      <w:proofErr w:type="gramEnd"/>
      <w:r>
        <w:rPr>
          <w:rFonts w:ascii="Verdana" w:eastAsia="Verdana" w:hAnsi="Verdana" w:cs="Verdana" w:hint="eastAsia"/>
          <w:color w:val="000000"/>
          <w:szCs w:val="21"/>
          <w:shd w:val="clear" w:color="auto" w:fill="FFFFFF"/>
        </w:rPr>
        <w:t xml:space="preserve"> </w:t>
      </w:r>
      <w:proofErr w:type="spellStart"/>
      <w:r>
        <w:rPr>
          <w:rFonts w:ascii="Verdana" w:eastAsia="Verdana" w:hAnsi="Verdana" w:cs="Verdana" w:hint="eastAsia"/>
          <w:color w:val="000000"/>
          <w:szCs w:val="21"/>
          <w:shd w:val="clear" w:color="auto" w:fill="FFFFFF"/>
        </w:rPr>
        <w:t>al.The</w:t>
      </w:r>
      <w:proofErr w:type="spellEnd"/>
      <w:r>
        <w:rPr>
          <w:rFonts w:ascii="Verdana" w:eastAsia="Verdana" w:hAnsi="Verdana" w:cs="Verdana" w:hint="eastAsia"/>
          <w:color w:val="000000"/>
          <w:szCs w:val="21"/>
          <w:shd w:val="clear" w:color="auto" w:fill="FFFFFF"/>
        </w:rPr>
        <w:t xml:space="preserve"> SILVA ribosomal RNA gene database project: improved data processing and web-based tools. </w:t>
      </w:r>
      <w:proofErr w:type="spellStart"/>
      <w:r>
        <w:rPr>
          <w:rFonts w:ascii="Verdana" w:eastAsia="Verdana" w:hAnsi="Verdana" w:cs="Verdana" w:hint="eastAsia"/>
          <w:color w:val="000000"/>
          <w:szCs w:val="21"/>
          <w:shd w:val="clear" w:color="auto" w:fill="FFFFFF"/>
        </w:rPr>
        <w:t>Nucl</w:t>
      </w:r>
      <w:proofErr w:type="spellEnd"/>
      <w:r>
        <w:rPr>
          <w:rFonts w:ascii="Verdana" w:eastAsia="Verdana" w:hAnsi="Verdana" w:cs="Verdana" w:hint="eastAsia"/>
          <w:color w:val="000000"/>
          <w:szCs w:val="21"/>
          <w:shd w:val="clear" w:color="auto" w:fill="FFFFFF"/>
        </w:rPr>
        <w:t>. Acids Res. (2013</w:t>
      </w:r>
      <w:proofErr w:type="gramStart"/>
      <w:r>
        <w:rPr>
          <w:rFonts w:ascii="Verdana" w:eastAsia="Verdana" w:hAnsi="Verdana" w:cs="Verdana" w:hint="eastAsia"/>
          <w:color w:val="000000"/>
          <w:szCs w:val="21"/>
          <w:shd w:val="clear" w:color="auto" w:fill="FFFFFF"/>
        </w:rPr>
        <w:t>) :</w:t>
      </w:r>
      <w:proofErr w:type="gramEnd"/>
      <w:r>
        <w:rPr>
          <w:rFonts w:ascii="Verdana" w:eastAsia="Verdana" w:hAnsi="Verdana" w:cs="Verdana" w:hint="eastAsia"/>
          <w:color w:val="000000"/>
          <w:szCs w:val="21"/>
          <w:shd w:val="clear" w:color="auto" w:fill="FFFFFF"/>
        </w:rPr>
        <w:t xml:space="preserve"> D590-D596.</w:t>
      </w:r>
    </w:p>
    <w:p w:rsidR="00F82857" w:rsidRDefault="00F82857">
      <w:pPr>
        <w:widowControl/>
        <w:jc w:val="left"/>
        <w:rPr>
          <w:rFonts w:ascii="HelveticaNeueLTStd-Bd" w:eastAsia="HelveticaNeueLTStd-Bd" w:hAnsi="HelveticaNeueLTStd-Bd" w:cs="HelveticaNeueLTStd-Bd"/>
          <w:b/>
          <w:bCs/>
          <w:color w:val="231F20"/>
          <w:kern w:val="0"/>
          <w:sz w:val="24"/>
          <w:lang w:bidi="ar"/>
        </w:rPr>
      </w:pPr>
    </w:p>
    <w:p w:rsidR="00F82857" w:rsidRDefault="00F82857">
      <w:pPr>
        <w:widowControl/>
        <w:jc w:val="left"/>
        <w:rPr>
          <w:rFonts w:ascii="Times New Roman" w:hAnsi="Times New Roman"/>
          <w:b/>
          <w:bCs/>
          <w:sz w:val="24"/>
        </w:rPr>
      </w:pPr>
    </w:p>
    <w:p w:rsidR="00F82857" w:rsidRDefault="00F82857"/>
    <w:p w:rsidR="00F82857" w:rsidRDefault="00F82857"/>
    <w:sectPr w:rsidR="00F8285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LTStd-Bd">
    <w:altName w:val="Segoe Print"/>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51C1565"/>
    <w:multiLevelType w:val="singleLevel"/>
    <w:tmpl w:val="F51C1565"/>
    <w:lvl w:ilvl="0">
      <w:start w:val="1"/>
      <w:numFmt w:val="decimal"/>
      <w:lvlText w:val="%1."/>
      <w:lvlJc w:val="left"/>
      <w:pPr>
        <w:ind w:left="425" w:hanging="425"/>
      </w:pPr>
      <w:rPr>
        <w:rFonts w:hint="default"/>
      </w:rPr>
    </w:lvl>
  </w:abstractNum>
  <w:abstractNum w:abstractNumId="1" w15:restartNumberingAfterBreak="0">
    <w:nsid w:val="6EFC7D67"/>
    <w:multiLevelType w:val="singleLevel"/>
    <w:tmpl w:val="6EFC7D67"/>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5Njg5MDk5YjY5MDVhYzk0NmVhYjBiODViZDZlNmEifQ=="/>
  </w:docVars>
  <w:rsids>
    <w:rsidRoot w:val="007D6D9A"/>
    <w:rsid w:val="007D6D9A"/>
    <w:rsid w:val="00DF6E77"/>
    <w:rsid w:val="00F82857"/>
    <w:rsid w:val="040A0818"/>
    <w:rsid w:val="08D3127C"/>
    <w:rsid w:val="0C3628D7"/>
    <w:rsid w:val="0FA57C09"/>
    <w:rsid w:val="125E4936"/>
    <w:rsid w:val="12D801F6"/>
    <w:rsid w:val="14D7277E"/>
    <w:rsid w:val="1CD11CBC"/>
    <w:rsid w:val="241E3F25"/>
    <w:rsid w:val="287C39F0"/>
    <w:rsid w:val="3AE12039"/>
    <w:rsid w:val="3F3A3A46"/>
    <w:rsid w:val="58534BF8"/>
    <w:rsid w:val="5FDF217F"/>
    <w:rsid w:val="65493CE2"/>
    <w:rsid w:val="7819395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DD2258-A9A4-47F4-A280-A80C53C1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7717/peerj.2584." TargetMode="External"/><Relationship Id="rId5" Type="http://schemas.openxmlformats.org/officeDocument/2006/relationships/hyperlink" Target="http://ccb.jhu.edu/software/FLASH/)%5b1%5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767</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Vigneshwaran R.</cp:lastModifiedBy>
  <cp:revision>3</cp:revision>
  <dcterms:created xsi:type="dcterms:W3CDTF">2023-01-06T10:30:00Z</dcterms:created>
  <dcterms:modified xsi:type="dcterms:W3CDTF">2023-01-06T11:20:00Z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8616554C6BF54DA5900F0EB65ED8FE7B</vt:lpwstr>
  </property>
</Properties>
</file>