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220DD" w14:textId="5289F2DD" w:rsidR="005F79DA" w:rsidRDefault="005F79DA">
      <w:pPr>
        <w:rPr>
          <w:rFonts w:ascii="Times New Roman" w:hAnsi="Times New Roman" w:cs="Times New Roman"/>
          <w:b/>
          <w:bCs/>
          <w:sz w:val="36"/>
          <w:szCs w:val="36"/>
        </w:rPr>
      </w:pPr>
      <w:r>
        <w:rPr>
          <w:rFonts w:ascii="Times New Roman" w:hAnsi="Times New Roman" w:cs="Times New Roman"/>
          <w:b/>
          <w:bCs/>
          <w:sz w:val="36"/>
          <w:szCs w:val="36"/>
        </w:rPr>
        <w:t>Supplementary material</w:t>
      </w:r>
    </w:p>
    <w:p w14:paraId="756F868E" w14:textId="77777777" w:rsidR="005F79DA" w:rsidRDefault="005F79DA">
      <w:pPr>
        <w:rPr>
          <w:rFonts w:ascii="Times New Roman" w:hAnsi="Times New Roman" w:cs="Times New Roman"/>
          <w:b/>
          <w:bCs/>
          <w:sz w:val="36"/>
          <w:szCs w:val="36"/>
        </w:rPr>
      </w:pPr>
    </w:p>
    <w:p w14:paraId="3F555563" w14:textId="278B5022" w:rsidR="00CB2CD6" w:rsidRDefault="004A1B23" w:rsidP="00B44DF7">
      <w:pPr>
        <w:rPr>
          <w:rFonts w:ascii="Times New Roman" w:hAnsi="Times New Roman" w:cs="Times New Roman"/>
          <w:sz w:val="24"/>
          <w:szCs w:val="24"/>
        </w:rPr>
      </w:pPr>
      <w:r w:rsidRPr="004A1B23">
        <w:rPr>
          <w:rFonts w:ascii="Times New Roman" w:hAnsi="Times New Roman" w:cs="Times New Roman"/>
          <w:b/>
          <w:bCs/>
          <w:sz w:val="24"/>
          <w:szCs w:val="24"/>
        </w:rPr>
        <w:t xml:space="preserve">Additional file 1: </w:t>
      </w:r>
      <w:r w:rsidR="00401884">
        <w:rPr>
          <w:rFonts w:ascii="Times New Roman" w:hAnsi="Times New Roman" w:cs="Times New Roman"/>
          <w:b/>
          <w:bCs/>
          <w:sz w:val="24"/>
          <w:szCs w:val="24"/>
        </w:rPr>
        <w:t>Appendix T</w:t>
      </w:r>
      <w:r w:rsidR="00B44DF7" w:rsidRPr="00401884">
        <w:rPr>
          <w:rFonts w:ascii="Times New Roman" w:hAnsi="Times New Roman" w:cs="Times New Roman"/>
          <w:b/>
          <w:bCs/>
          <w:sz w:val="24"/>
          <w:szCs w:val="24"/>
        </w:rPr>
        <w:t>able 1</w:t>
      </w:r>
      <w:r w:rsidR="00B44DF7" w:rsidRPr="00401884">
        <w:rPr>
          <w:rFonts w:ascii="Times New Roman" w:hAnsi="Times New Roman" w:cs="Times New Roman"/>
          <w:sz w:val="24"/>
          <w:szCs w:val="24"/>
        </w:rPr>
        <w:t xml:space="preserve"> </w:t>
      </w:r>
      <w:r w:rsidR="00CB2CD6">
        <w:t>PRISMA 2020 Main Checklist.</w:t>
      </w:r>
    </w:p>
    <w:p w14:paraId="5D432BDB" w14:textId="1884A3E1" w:rsidR="00CB2CD6" w:rsidRDefault="00CB2CD6" w:rsidP="00CB2CD6">
      <w:pPr>
        <w:pStyle w:val="Heading1"/>
      </w:pPr>
      <w:bookmarkStart w:id="0" w:name="prisma-2020-main-checklist"/>
    </w:p>
    <w:tbl>
      <w:tblPr>
        <w:tblW w:w="0" w:type="auto"/>
        <w:jc w:val="center"/>
        <w:tblLook w:val="0420" w:firstRow="1" w:lastRow="0" w:firstColumn="0" w:lastColumn="0" w:noHBand="0" w:noVBand="1"/>
      </w:tblPr>
      <w:tblGrid>
        <w:gridCol w:w="2546"/>
        <w:gridCol w:w="544"/>
        <w:gridCol w:w="8328"/>
        <w:gridCol w:w="2566"/>
      </w:tblGrid>
      <w:tr w:rsidR="00CB2CD6" w14:paraId="56A9A4DA" w14:textId="77777777" w:rsidTr="0009711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4F64AFE" w14:textId="77777777" w:rsidR="00CB2CD6" w:rsidRDefault="00CB2CD6" w:rsidP="00097117">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7A7FBB2" w14:textId="77777777" w:rsidR="00CB2CD6" w:rsidRDefault="00CB2CD6" w:rsidP="00097117">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26F943B" w14:textId="77777777" w:rsidR="00CB2CD6" w:rsidRDefault="00CB2CD6" w:rsidP="00097117">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3D96A0F5" w14:textId="77777777" w:rsidR="00CB2CD6" w:rsidRDefault="00CB2CD6" w:rsidP="00097117">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CB2CD6" w14:paraId="01397C06"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52634D5" w14:textId="77777777" w:rsidR="00CB2CD6" w:rsidRDefault="00CB2CD6" w:rsidP="00097117">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65C5AFF6"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6BFC4F60"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97DFC01" w14:textId="77777777" w:rsidR="00CB2CD6" w:rsidRDefault="00CB2CD6" w:rsidP="00097117">
            <w:pPr>
              <w:spacing w:before="100" w:after="100"/>
              <w:ind w:left="100" w:right="100"/>
              <w:jc w:val="center"/>
            </w:pPr>
          </w:p>
        </w:tc>
      </w:tr>
      <w:tr w:rsidR="00CB2CD6" w14:paraId="4ADF8BA3"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579480" w14:textId="77777777" w:rsidR="00CB2CD6" w:rsidRDefault="00CB2CD6" w:rsidP="00097117">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5BE8AD5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084DF853"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323C358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w:t>
            </w:r>
          </w:p>
        </w:tc>
      </w:tr>
      <w:tr w:rsidR="00CB2CD6" w14:paraId="47824859"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CFCBA23" w14:textId="77777777" w:rsidR="00CB2CD6" w:rsidRDefault="00CB2CD6" w:rsidP="00097117">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067DCD53"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233A9F54"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AFF1982" w14:textId="77777777" w:rsidR="00CB2CD6" w:rsidRDefault="00CB2CD6" w:rsidP="00097117">
            <w:pPr>
              <w:spacing w:before="100" w:after="100"/>
              <w:ind w:left="100" w:right="100"/>
              <w:jc w:val="center"/>
            </w:pPr>
          </w:p>
        </w:tc>
      </w:tr>
      <w:tr w:rsidR="00CB2CD6" w14:paraId="6A0F70BC"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1E5A0B" w14:textId="77777777" w:rsidR="00CB2CD6" w:rsidRDefault="00CB2CD6" w:rsidP="00097117">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63713E6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0A749AC4" w14:textId="77777777" w:rsidR="00CB2CD6" w:rsidRDefault="00CB2CD6" w:rsidP="00097117">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36620966" w14:textId="77777777" w:rsidR="00CB2CD6" w:rsidRDefault="00CB2CD6" w:rsidP="00097117">
            <w:pPr>
              <w:spacing w:before="100" w:after="100"/>
              <w:ind w:left="100" w:right="100"/>
              <w:jc w:val="center"/>
            </w:pPr>
          </w:p>
        </w:tc>
      </w:tr>
      <w:tr w:rsidR="00CB2CD6" w14:paraId="6DFA90DB"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D64BE9A" w14:textId="77777777" w:rsidR="00CB2CD6" w:rsidRDefault="00CB2CD6" w:rsidP="00097117">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4CF0FFC6"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54912313"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EFB6911" w14:textId="77777777" w:rsidR="00CB2CD6" w:rsidRDefault="00CB2CD6" w:rsidP="00097117">
            <w:pPr>
              <w:spacing w:before="100" w:after="100"/>
              <w:ind w:left="100" w:right="100"/>
              <w:jc w:val="center"/>
            </w:pPr>
          </w:p>
        </w:tc>
      </w:tr>
      <w:tr w:rsidR="00CB2CD6" w14:paraId="3C45FA7C"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94200A" w14:textId="77777777" w:rsidR="00CB2CD6" w:rsidRDefault="00CB2CD6" w:rsidP="00097117">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0D9DEA7D"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7E39827E"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7F5007B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5-6</w:t>
            </w:r>
          </w:p>
        </w:tc>
      </w:tr>
      <w:tr w:rsidR="00CB2CD6" w14:paraId="7167543B"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3A747A1" w14:textId="77777777" w:rsidR="00CB2CD6" w:rsidRDefault="00CB2CD6" w:rsidP="00097117">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2373CA8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2C2C5044"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B100A49"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6</w:t>
            </w:r>
          </w:p>
        </w:tc>
      </w:tr>
      <w:tr w:rsidR="00CB2CD6" w14:paraId="3F96AE4E"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41740BD" w14:textId="77777777" w:rsidR="00CB2CD6" w:rsidRDefault="00CB2CD6" w:rsidP="00097117">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2B1B5C51"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53B1581B"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58DE4FD" w14:textId="77777777" w:rsidR="00CB2CD6" w:rsidRDefault="00CB2CD6" w:rsidP="00097117">
            <w:pPr>
              <w:spacing w:before="100" w:after="100"/>
              <w:ind w:left="100" w:right="100"/>
              <w:jc w:val="center"/>
            </w:pPr>
          </w:p>
        </w:tc>
      </w:tr>
      <w:tr w:rsidR="00CB2CD6" w14:paraId="57F41C98"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2A9AB7F" w14:textId="77777777" w:rsidR="00CB2CD6" w:rsidRDefault="00CB2CD6" w:rsidP="00097117">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1224F3B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EA67F62"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4471AC8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7,8</w:t>
            </w:r>
          </w:p>
        </w:tc>
      </w:tr>
      <w:tr w:rsidR="00CB2CD6" w14:paraId="54D26F6F"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AF9C87D" w14:textId="77777777" w:rsidR="00CB2CD6" w:rsidRDefault="00CB2CD6" w:rsidP="00097117">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6B8D320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22C46553"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636FD886"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025DA401"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809DE9A" w14:textId="77777777" w:rsidR="00CB2CD6" w:rsidRDefault="00CB2CD6" w:rsidP="00097117">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1DAD754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22796C54"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273DA131"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4786F28D"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696D9D" w14:textId="77777777" w:rsidR="00CB2CD6" w:rsidRDefault="00CB2CD6" w:rsidP="00097117">
            <w:pPr>
              <w:spacing w:before="100" w:after="100"/>
              <w:ind w:left="100" w:right="100"/>
            </w:pPr>
            <w:r>
              <w:rPr>
                <w:rFonts w:ascii="DejaVu Sans" w:eastAsia="DejaVu Sans" w:hAnsi="DejaVu Sans" w:cs="DejaVu Sans"/>
                <w:b/>
                <w:color w:val="000000"/>
                <w:sz w:val="18"/>
                <w:szCs w:val="18"/>
              </w:rPr>
              <w:lastRenderedPageBreak/>
              <w:t>Selection process</w:t>
            </w:r>
          </w:p>
        </w:tc>
        <w:tc>
          <w:tcPr>
            <w:tcW w:w="0" w:type="auto"/>
            <w:shd w:val="clear" w:color="auto" w:fill="FFFFFF"/>
            <w:tcMar>
              <w:top w:w="0" w:type="dxa"/>
              <w:left w:w="0" w:type="dxa"/>
              <w:bottom w:w="0" w:type="dxa"/>
              <w:right w:w="0" w:type="dxa"/>
            </w:tcMar>
          </w:tcPr>
          <w:p w14:paraId="309F032B"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F495F03"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1CCEE07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7486989F"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F13EE94" w14:textId="77777777" w:rsidR="00CB2CD6" w:rsidRDefault="00CB2CD6" w:rsidP="00097117">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5AB4780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586EBE8D"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2B90FEA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2BDD6E12"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A99F5EF" w14:textId="77777777" w:rsidR="00CB2CD6" w:rsidRDefault="00CB2CD6" w:rsidP="00097117">
            <w:pPr>
              <w:spacing w:before="100" w:after="100"/>
              <w:ind w:left="100" w:right="100"/>
            </w:pPr>
            <w:r>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2F7CBA8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5F0B90D2" w14:textId="77777777" w:rsidR="00CB2CD6" w:rsidRDefault="00CB2CD6" w:rsidP="00097117">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59BFBDB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7,8</w:t>
            </w:r>
          </w:p>
        </w:tc>
      </w:tr>
      <w:tr w:rsidR="00CB2CD6" w14:paraId="183DE676"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8D46D8C"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387B78DD"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73D88A6D" w14:textId="77777777" w:rsidR="00CB2CD6" w:rsidRDefault="00CB2CD6" w:rsidP="00097117">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5543772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r>
      <w:tr w:rsidR="00CB2CD6" w14:paraId="27530FB1"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9BEFC8F" w14:textId="77777777" w:rsidR="00CB2CD6" w:rsidRDefault="00CB2CD6" w:rsidP="00097117">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4EEBBC8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44ADA625"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54CBBE5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r>
      <w:tr w:rsidR="00CB2CD6" w14:paraId="21C9214A"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8DB039" w14:textId="77777777" w:rsidR="00CB2CD6" w:rsidRDefault="00CB2CD6" w:rsidP="00097117">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2EAE5A0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71C02716"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73A87CD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r>
      <w:tr w:rsidR="00CB2CD6" w14:paraId="439AF4E5"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0ED2C0" w14:textId="77777777" w:rsidR="00CB2CD6" w:rsidRDefault="00CB2CD6" w:rsidP="00097117">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1FB7D27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6A10DF7D"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245A9F3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r>
      <w:tr w:rsidR="00CB2CD6" w14:paraId="2429CBDD" w14:textId="77777777" w:rsidTr="0009711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AB1CEF5"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025D57B6"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51FA9843"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15B0368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r>
      <w:tr w:rsidR="00CB2CD6" w14:paraId="2A421C47"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27EB4CC"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01EAFC4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2EDE2277"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1ADCF8D1"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r>
      <w:tr w:rsidR="00CB2CD6" w14:paraId="6F2CE5C3"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543AC08"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502B796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2EDC9392"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5F16224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 supplementary material</w:t>
            </w:r>
          </w:p>
        </w:tc>
      </w:tr>
      <w:tr w:rsidR="00CB2CD6" w14:paraId="44688865"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87754FD"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05043E2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0ED172FB"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1434B09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 supplementary material</w:t>
            </w:r>
          </w:p>
        </w:tc>
      </w:tr>
      <w:tr w:rsidR="00CB2CD6" w14:paraId="1222B1B5"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9457337"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7861EDB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5FE9F660"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D9D99D1"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 supplementary material</w:t>
            </w:r>
          </w:p>
        </w:tc>
      </w:tr>
      <w:tr w:rsidR="00CB2CD6" w14:paraId="1E05D244"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8082ADE" w14:textId="77777777" w:rsidR="00CB2CD6" w:rsidRDefault="00CB2CD6" w:rsidP="00097117">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4C6176B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521526AC"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1079718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r>
      <w:tr w:rsidR="00CB2CD6" w14:paraId="12ED84FF"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603C57" w14:textId="77777777" w:rsidR="00CB2CD6" w:rsidRDefault="00CB2CD6" w:rsidP="00097117">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66F7B3F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47BEF254"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036348D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r>
      <w:tr w:rsidR="00CB2CD6" w14:paraId="2E4026FE"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D13E2E9" w14:textId="77777777" w:rsidR="00CB2CD6" w:rsidRDefault="00CB2CD6" w:rsidP="00097117">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3EF4C7EE"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4FA6D3A5"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E124725" w14:textId="77777777" w:rsidR="00CB2CD6" w:rsidRDefault="00CB2CD6" w:rsidP="00097117">
            <w:pPr>
              <w:spacing w:before="100" w:after="100"/>
              <w:ind w:left="100" w:right="100"/>
              <w:jc w:val="center"/>
            </w:pPr>
          </w:p>
        </w:tc>
      </w:tr>
      <w:tr w:rsidR="00CB2CD6" w14:paraId="47EB8927"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E249BDD" w14:textId="77777777" w:rsidR="00CB2CD6" w:rsidRDefault="00CB2CD6" w:rsidP="00097117">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0D7C52F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758793EF"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6D433F9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r>
      <w:tr w:rsidR="00CB2CD6" w14:paraId="3A5CD7E6"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1F97C67"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4B265016"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17DB3F93" w14:textId="77777777" w:rsidR="00CB2CD6" w:rsidRDefault="00CB2CD6" w:rsidP="00097117">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5122AD3D"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12, 13</w:t>
            </w:r>
          </w:p>
        </w:tc>
      </w:tr>
      <w:tr w:rsidR="00CB2CD6" w14:paraId="19FE22E2"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D36B1F" w14:textId="77777777" w:rsidR="00CB2CD6" w:rsidRDefault="00CB2CD6" w:rsidP="00097117">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47C1529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5E893108" w14:textId="77777777" w:rsidR="00CB2CD6" w:rsidRDefault="00CB2CD6" w:rsidP="00097117">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502AEE2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 supplementary material</w:t>
            </w:r>
          </w:p>
        </w:tc>
      </w:tr>
      <w:tr w:rsidR="00CB2CD6" w14:paraId="6B34A5E8"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8D0919" w14:textId="77777777" w:rsidR="00CB2CD6" w:rsidRDefault="00CB2CD6" w:rsidP="00097117">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4EA2EB7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5B30C0FF"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7868E561"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figures 2, 3</w:t>
            </w:r>
          </w:p>
        </w:tc>
      </w:tr>
      <w:tr w:rsidR="00CB2CD6" w14:paraId="4C5F16E6"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CDB63B" w14:textId="77777777" w:rsidR="00CB2CD6" w:rsidRDefault="00CB2CD6" w:rsidP="00097117">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37D4E68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7D9B9A02" w14:textId="77777777" w:rsidR="00CB2CD6" w:rsidRDefault="00CB2CD6" w:rsidP="00097117">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557032F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Table 1-3</w:t>
            </w:r>
          </w:p>
        </w:tc>
      </w:tr>
      <w:tr w:rsidR="00CB2CD6" w14:paraId="5A452192"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FE5D1A" w14:textId="77777777" w:rsidR="00CB2CD6" w:rsidRDefault="00CB2CD6" w:rsidP="00097117">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1746AFB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0DCF263F" w14:textId="77777777" w:rsidR="00CB2CD6" w:rsidRDefault="00CB2CD6" w:rsidP="00097117">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5EFAE58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 Figure 2,3</w:t>
            </w:r>
          </w:p>
        </w:tc>
      </w:tr>
      <w:tr w:rsidR="00CB2CD6" w14:paraId="26B4E8EB" w14:textId="77777777" w:rsidTr="0009711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925C597"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291A0CB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6767BB86"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1191F01B"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10-11</w:t>
            </w:r>
          </w:p>
        </w:tc>
      </w:tr>
      <w:tr w:rsidR="00CB2CD6" w14:paraId="3540E0B1"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5584030"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25A3297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7F7B4ECA"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388A85E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10-11</w:t>
            </w:r>
          </w:p>
        </w:tc>
      </w:tr>
      <w:tr w:rsidR="00CB2CD6" w14:paraId="4B13B312"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4F8A8FD"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2277BEB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66DC2CEC"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7B44DA6"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10-11</w:t>
            </w:r>
          </w:p>
        </w:tc>
      </w:tr>
      <w:tr w:rsidR="00CB2CD6" w14:paraId="35E7B75A"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DC9843E" w14:textId="77777777" w:rsidR="00CB2CD6" w:rsidRDefault="00CB2CD6" w:rsidP="00097117">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46E31C09"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11B75320"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40FC9B89"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Figure 1</w:t>
            </w:r>
          </w:p>
        </w:tc>
      </w:tr>
      <w:tr w:rsidR="00CB2CD6" w14:paraId="04888B16"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71D6B5" w14:textId="77777777" w:rsidR="00CB2CD6" w:rsidRDefault="00CB2CD6" w:rsidP="00097117">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4B469D8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6F15C0E5"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3095F945"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 Supplementary table 1</w:t>
            </w:r>
          </w:p>
        </w:tc>
      </w:tr>
      <w:tr w:rsidR="00CB2CD6" w14:paraId="56625C47"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54C7541" w14:textId="77777777" w:rsidR="00CB2CD6" w:rsidRDefault="00CB2CD6" w:rsidP="00097117">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613B032C"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2FF5908B"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AB6EB00" w14:textId="77777777" w:rsidR="00CB2CD6" w:rsidRDefault="00CB2CD6" w:rsidP="00097117">
            <w:pPr>
              <w:spacing w:before="100" w:after="100"/>
              <w:ind w:left="100" w:right="100"/>
              <w:jc w:val="center"/>
            </w:pPr>
          </w:p>
        </w:tc>
      </w:tr>
      <w:tr w:rsidR="00CB2CD6" w14:paraId="761C16CB"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7B049C" w14:textId="77777777" w:rsidR="00CB2CD6" w:rsidRDefault="00CB2CD6" w:rsidP="00097117">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086C8EF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47B57FB5"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18F124C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12-13</w:t>
            </w:r>
          </w:p>
        </w:tc>
      </w:tr>
      <w:tr w:rsidR="00CB2CD6" w14:paraId="6C00C467" w14:textId="77777777" w:rsidTr="0009711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EA34E4D"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49FFB0D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712F41C0" w14:textId="77777777" w:rsidR="00CB2CD6" w:rsidRDefault="00CB2CD6" w:rsidP="00097117">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3CFA5E4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12</w:t>
            </w:r>
          </w:p>
        </w:tc>
      </w:tr>
      <w:tr w:rsidR="00CB2CD6" w14:paraId="5117154B"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47B9D19"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4546C7A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47676B4D" w14:textId="77777777" w:rsidR="00CB2CD6" w:rsidRDefault="00CB2CD6" w:rsidP="00097117">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658C43E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w:t>
            </w:r>
          </w:p>
        </w:tc>
      </w:tr>
      <w:tr w:rsidR="00CB2CD6" w14:paraId="275C3AC4"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D98C68B"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6905BCB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1C25291F" w14:textId="77777777" w:rsidR="00CB2CD6" w:rsidRDefault="00CB2CD6" w:rsidP="00097117">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58A75B09"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13</w:t>
            </w:r>
          </w:p>
        </w:tc>
      </w:tr>
      <w:tr w:rsidR="00CB2CD6" w14:paraId="62343319"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8474A85" w14:textId="77777777" w:rsidR="00CB2CD6" w:rsidRDefault="00CB2CD6" w:rsidP="00097117">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02029794"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387DB247"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92D1966" w14:textId="77777777" w:rsidR="00CB2CD6" w:rsidRDefault="00CB2CD6" w:rsidP="00097117">
            <w:pPr>
              <w:spacing w:before="100" w:after="100"/>
              <w:ind w:left="100" w:right="100"/>
              <w:jc w:val="center"/>
            </w:pPr>
          </w:p>
        </w:tc>
      </w:tr>
      <w:tr w:rsidR="00CB2CD6" w14:paraId="29D525FF"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7992625" w14:textId="77777777" w:rsidR="00CB2CD6" w:rsidRDefault="00CB2CD6" w:rsidP="00097117">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195907AD"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07882E19"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0E5D3C0B"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4B3E565E" w14:textId="77777777" w:rsidTr="0009711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711F83B9"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610D331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526EB062" w14:textId="77777777" w:rsidR="00CB2CD6" w:rsidRDefault="00CB2CD6" w:rsidP="00097117">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7B71791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2F81CAE1" w14:textId="77777777" w:rsidTr="0009711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1844238" w14:textId="77777777" w:rsidR="00CB2CD6" w:rsidRDefault="00CB2CD6" w:rsidP="00097117">
            <w:pPr>
              <w:spacing w:before="100" w:after="100"/>
              <w:ind w:left="100" w:right="100"/>
            </w:pPr>
          </w:p>
        </w:tc>
        <w:tc>
          <w:tcPr>
            <w:tcW w:w="0" w:type="auto"/>
            <w:shd w:val="clear" w:color="auto" w:fill="FFFFFF"/>
            <w:tcMar>
              <w:top w:w="0" w:type="dxa"/>
              <w:left w:w="0" w:type="dxa"/>
              <w:bottom w:w="0" w:type="dxa"/>
              <w:right w:w="0" w:type="dxa"/>
            </w:tcMar>
          </w:tcPr>
          <w:p w14:paraId="39ED31A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5B971FFF"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4FB3604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r>
      <w:tr w:rsidR="00CB2CD6" w14:paraId="7567A992"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150E4F8" w14:textId="77777777" w:rsidR="00CB2CD6" w:rsidRDefault="00CB2CD6" w:rsidP="00097117">
            <w:pPr>
              <w:spacing w:before="100" w:after="100"/>
              <w:ind w:left="100" w:right="100"/>
            </w:pPr>
            <w:r>
              <w:rPr>
                <w:rFonts w:ascii="DejaVu Sans" w:eastAsia="DejaVu Sans" w:hAnsi="DejaVu Sans" w:cs="DejaVu Sans"/>
                <w:b/>
                <w:color w:val="000000"/>
                <w:sz w:val="18"/>
                <w:szCs w:val="18"/>
              </w:rPr>
              <w:lastRenderedPageBreak/>
              <w:t>Support</w:t>
            </w:r>
          </w:p>
        </w:tc>
        <w:tc>
          <w:tcPr>
            <w:tcW w:w="0" w:type="auto"/>
            <w:shd w:val="clear" w:color="auto" w:fill="FFFFFF"/>
            <w:tcMar>
              <w:top w:w="0" w:type="dxa"/>
              <w:left w:w="0" w:type="dxa"/>
              <w:bottom w:w="0" w:type="dxa"/>
              <w:right w:w="0" w:type="dxa"/>
            </w:tcMar>
          </w:tcPr>
          <w:p w14:paraId="376CBFA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62016765" w14:textId="77777777" w:rsidR="00CB2CD6" w:rsidRDefault="00CB2CD6" w:rsidP="00097117">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6AE885F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w:t>
            </w:r>
          </w:p>
        </w:tc>
      </w:tr>
      <w:tr w:rsidR="00CB2CD6" w14:paraId="5086732E"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4E12E44" w14:textId="77777777" w:rsidR="00CB2CD6" w:rsidRDefault="00CB2CD6" w:rsidP="00097117">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6DB8B3A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61D0FC69" w14:textId="77777777" w:rsidR="00CB2CD6" w:rsidRDefault="00CB2CD6" w:rsidP="00097117">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297033F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w:t>
            </w:r>
          </w:p>
        </w:tc>
      </w:tr>
      <w:tr w:rsidR="00CB2CD6" w14:paraId="2EC33EED" w14:textId="77777777" w:rsidTr="0009711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50FD8D7E" w14:textId="77777777" w:rsidR="00CB2CD6" w:rsidRDefault="00CB2CD6" w:rsidP="00097117">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2A29F630"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26D659FE" w14:textId="77777777" w:rsidR="00CB2CD6" w:rsidRDefault="00CB2CD6" w:rsidP="00097117">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084734D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template data collection forms, data used for all analyses</w:t>
            </w:r>
          </w:p>
        </w:tc>
      </w:tr>
    </w:tbl>
    <w:p w14:paraId="1351D8A0" w14:textId="77777777" w:rsidR="00CB2CD6" w:rsidRDefault="00CB2CD6" w:rsidP="00CB2CD6">
      <w:pPr>
        <w:pStyle w:val="Heading5"/>
      </w:pPr>
      <w:bookmarkStart w:id="1" w:name="section"/>
    </w:p>
    <w:p w14:paraId="45F03363" w14:textId="77777777" w:rsidR="00CB2CD6" w:rsidRDefault="00CB2CD6" w:rsidP="00CB2CD6">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964"/>
        <w:gridCol w:w="543"/>
        <w:gridCol w:w="10223"/>
        <w:gridCol w:w="1254"/>
      </w:tblGrid>
      <w:tr w:rsidR="00CB2CD6" w14:paraId="2A77F35D" w14:textId="77777777" w:rsidTr="0009711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AF03ED3" w14:textId="77777777" w:rsidR="00CB2CD6" w:rsidRDefault="00CB2CD6" w:rsidP="00097117">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DA6E0AB" w14:textId="77777777" w:rsidR="00CB2CD6" w:rsidRDefault="00CB2CD6" w:rsidP="00097117">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605ECEA" w14:textId="77777777" w:rsidR="00CB2CD6" w:rsidRDefault="00CB2CD6" w:rsidP="00097117">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C5EC353" w14:textId="77777777" w:rsidR="00CB2CD6" w:rsidRDefault="00CB2CD6" w:rsidP="00097117">
            <w:pPr>
              <w:spacing w:before="100" w:after="100"/>
              <w:ind w:left="100" w:right="100"/>
              <w:jc w:val="center"/>
            </w:pPr>
            <w:r>
              <w:rPr>
                <w:rFonts w:ascii="DejaVu Sans" w:eastAsia="DejaVu Sans" w:hAnsi="DejaVu Sans" w:cs="DejaVu Sans"/>
                <w:b/>
                <w:color w:val="FFFFFF"/>
                <w:sz w:val="18"/>
                <w:szCs w:val="18"/>
              </w:rPr>
              <w:t>Reported?</w:t>
            </w:r>
          </w:p>
        </w:tc>
      </w:tr>
      <w:tr w:rsidR="00CB2CD6" w14:paraId="162BDE22"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6BFF0B4" w14:textId="77777777" w:rsidR="00CB2CD6" w:rsidRDefault="00CB2CD6" w:rsidP="00097117">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1C8212E4"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451B8514"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BCD1859" w14:textId="77777777" w:rsidR="00CB2CD6" w:rsidRDefault="00CB2CD6" w:rsidP="00097117">
            <w:pPr>
              <w:spacing w:before="100" w:after="100"/>
              <w:ind w:left="100" w:right="100"/>
              <w:jc w:val="center"/>
            </w:pPr>
          </w:p>
        </w:tc>
      </w:tr>
      <w:tr w:rsidR="00CB2CD6" w14:paraId="36E33047"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BF582FD" w14:textId="77777777" w:rsidR="00CB2CD6" w:rsidRDefault="00CB2CD6" w:rsidP="00097117">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04AEE613"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4BD294A" w14:textId="77777777" w:rsidR="00CB2CD6" w:rsidRDefault="00CB2CD6" w:rsidP="00097117">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27E5D32D"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6B46B20F"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4BFDFD8" w14:textId="77777777" w:rsidR="00CB2CD6" w:rsidRDefault="00CB2CD6" w:rsidP="00097117">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0FFB4953"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36389F30"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53FCA75" w14:textId="77777777" w:rsidR="00CB2CD6" w:rsidRDefault="00CB2CD6" w:rsidP="00097117">
            <w:pPr>
              <w:spacing w:before="100" w:after="100"/>
              <w:ind w:left="100" w:right="100"/>
              <w:jc w:val="center"/>
            </w:pPr>
          </w:p>
        </w:tc>
      </w:tr>
      <w:tr w:rsidR="00CB2CD6" w14:paraId="770135B4"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229D533" w14:textId="77777777" w:rsidR="00CB2CD6" w:rsidRDefault="00CB2CD6" w:rsidP="00097117">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69E4C0CB"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07C51F97"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059904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5C5EA13B"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4763DE5" w14:textId="77777777" w:rsidR="00CB2CD6" w:rsidRDefault="00CB2CD6" w:rsidP="00097117">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47312546"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436FD947"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4EF5362" w14:textId="77777777" w:rsidR="00CB2CD6" w:rsidRDefault="00CB2CD6" w:rsidP="00097117">
            <w:pPr>
              <w:spacing w:before="100" w:after="100"/>
              <w:ind w:left="100" w:right="100"/>
              <w:jc w:val="center"/>
            </w:pPr>
          </w:p>
        </w:tc>
      </w:tr>
      <w:tr w:rsidR="00CB2CD6" w14:paraId="1F4F3B9D"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5C2AFA" w14:textId="77777777" w:rsidR="00CB2CD6" w:rsidRDefault="00CB2CD6" w:rsidP="00097117">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2BE98ACB"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397E5CA5"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3FB50A0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No</w:t>
            </w:r>
          </w:p>
        </w:tc>
      </w:tr>
      <w:tr w:rsidR="00CB2CD6" w14:paraId="155557F1"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AEB3ED" w14:textId="77777777" w:rsidR="00CB2CD6" w:rsidRDefault="00CB2CD6" w:rsidP="00097117">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7239664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1F15DA89"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246D6F58"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0F45E7BA"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1B6B48" w14:textId="77777777" w:rsidR="00CB2CD6" w:rsidRDefault="00CB2CD6" w:rsidP="00097117">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64EF5B8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4D966676"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1DE5ADB6"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No</w:t>
            </w:r>
          </w:p>
        </w:tc>
      </w:tr>
      <w:tr w:rsidR="00CB2CD6" w14:paraId="43A2FF15"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7D77E6D" w14:textId="77777777" w:rsidR="00CB2CD6" w:rsidRDefault="00CB2CD6" w:rsidP="00097117">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7119C36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046971C1" w14:textId="77777777" w:rsidR="00CB2CD6" w:rsidRDefault="00CB2CD6" w:rsidP="00097117">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5C3DA2F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3E268AC3"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F20986D" w14:textId="77777777" w:rsidR="00CB2CD6" w:rsidRDefault="00CB2CD6" w:rsidP="00097117">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00847899"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751347BE"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FB42CC5" w14:textId="77777777" w:rsidR="00CB2CD6" w:rsidRDefault="00CB2CD6" w:rsidP="00097117">
            <w:pPr>
              <w:spacing w:before="100" w:after="100"/>
              <w:ind w:left="100" w:right="100"/>
              <w:jc w:val="center"/>
            </w:pPr>
          </w:p>
        </w:tc>
      </w:tr>
      <w:tr w:rsidR="00CB2CD6" w14:paraId="5DC7D865"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7A624CB" w14:textId="77777777" w:rsidR="00CB2CD6" w:rsidRDefault="00CB2CD6" w:rsidP="00097117">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6BDE644C"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DBAAEAC" w14:textId="77777777" w:rsidR="00CB2CD6" w:rsidRDefault="00CB2CD6" w:rsidP="00097117">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0DCBC81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4699A8E0"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C583D1" w14:textId="77777777" w:rsidR="00CB2CD6" w:rsidRDefault="00CB2CD6" w:rsidP="00097117">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725EBCB1"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779D55A" w14:textId="77777777" w:rsidR="00CB2CD6" w:rsidRDefault="00CB2CD6" w:rsidP="00097117">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57FAABB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07CCAC39"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FF071B8" w14:textId="77777777" w:rsidR="00CB2CD6" w:rsidRDefault="00CB2CD6" w:rsidP="00097117">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647593E"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4A37583E"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8412F9E" w14:textId="77777777" w:rsidR="00CB2CD6" w:rsidRDefault="00CB2CD6" w:rsidP="00097117">
            <w:pPr>
              <w:spacing w:before="100" w:after="100"/>
              <w:ind w:left="100" w:right="100"/>
              <w:jc w:val="center"/>
            </w:pPr>
          </w:p>
        </w:tc>
      </w:tr>
      <w:tr w:rsidR="00CB2CD6" w14:paraId="09604507"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F7C8CB" w14:textId="77777777" w:rsidR="00CB2CD6" w:rsidRDefault="00CB2CD6" w:rsidP="00097117">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29DEF587"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697E1774"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2556AE0F"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3551E655"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D44CD46" w14:textId="77777777" w:rsidR="00CB2CD6" w:rsidRDefault="00CB2CD6" w:rsidP="00097117">
            <w:pPr>
              <w:spacing w:before="100" w:after="100"/>
              <w:ind w:left="100" w:right="100"/>
            </w:pPr>
            <w:r>
              <w:rPr>
                <w:rFonts w:ascii="DejaVu Sans" w:eastAsia="DejaVu Sans" w:hAnsi="DejaVu Sans" w:cs="DejaVu Sans"/>
                <w:b/>
                <w:color w:val="000000"/>
                <w:sz w:val="18"/>
                <w:szCs w:val="18"/>
              </w:rPr>
              <w:lastRenderedPageBreak/>
              <w:t>Interpretation</w:t>
            </w:r>
          </w:p>
        </w:tc>
        <w:tc>
          <w:tcPr>
            <w:tcW w:w="0" w:type="auto"/>
            <w:shd w:val="clear" w:color="auto" w:fill="FFFFFF"/>
            <w:tcMar>
              <w:top w:w="0" w:type="dxa"/>
              <w:left w:w="0" w:type="dxa"/>
              <w:bottom w:w="0" w:type="dxa"/>
              <w:right w:w="0" w:type="dxa"/>
            </w:tcMar>
          </w:tcPr>
          <w:p w14:paraId="6383C4F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5127AC44"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7A088E8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267D43B8" w14:textId="77777777" w:rsidTr="0009711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1FE1163" w14:textId="77777777" w:rsidR="00CB2CD6" w:rsidRDefault="00CB2CD6" w:rsidP="00097117">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2AEDD9E2" w14:textId="77777777" w:rsidR="00CB2CD6" w:rsidRDefault="00CB2CD6" w:rsidP="00097117">
            <w:pPr>
              <w:spacing w:before="100" w:after="100"/>
              <w:ind w:left="100" w:right="100"/>
              <w:jc w:val="center"/>
            </w:pPr>
          </w:p>
        </w:tc>
        <w:tc>
          <w:tcPr>
            <w:tcW w:w="0" w:type="auto"/>
            <w:shd w:val="clear" w:color="auto" w:fill="FFFFCC"/>
            <w:tcMar>
              <w:top w:w="0" w:type="dxa"/>
              <w:left w:w="0" w:type="dxa"/>
              <w:bottom w:w="0" w:type="dxa"/>
              <w:right w:w="0" w:type="dxa"/>
            </w:tcMar>
          </w:tcPr>
          <w:p w14:paraId="01CC818E" w14:textId="77777777" w:rsidR="00CB2CD6" w:rsidRDefault="00CB2CD6" w:rsidP="0009711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D92DEE2" w14:textId="77777777" w:rsidR="00CB2CD6" w:rsidRDefault="00CB2CD6" w:rsidP="00097117">
            <w:pPr>
              <w:spacing w:before="100" w:after="100"/>
              <w:ind w:left="100" w:right="100"/>
              <w:jc w:val="center"/>
            </w:pPr>
          </w:p>
        </w:tc>
      </w:tr>
      <w:tr w:rsidR="00CB2CD6" w14:paraId="1249B626" w14:textId="77777777" w:rsidTr="0009711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E9BBC7E" w14:textId="77777777" w:rsidR="00CB2CD6" w:rsidRDefault="00CB2CD6" w:rsidP="00097117">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279AEEAA"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7DC2AEC5" w14:textId="77777777" w:rsidR="00CB2CD6" w:rsidRDefault="00CB2CD6" w:rsidP="00097117">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30B7B28E"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r w:rsidR="00CB2CD6" w14:paraId="1CB51B90" w14:textId="77777777" w:rsidTr="0009711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30DD8B00" w14:textId="77777777" w:rsidR="00CB2CD6" w:rsidRDefault="00CB2CD6" w:rsidP="00097117">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3E2A4582"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76B96324" w14:textId="77777777" w:rsidR="00CB2CD6" w:rsidRDefault="00CB2CD6" w:rsidP="00097117">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11D50E4" w14:textId="77777777" w:rsidR="00CB2CD6" w:rsidRDefault="00CB2CD6" w:rsidP="00097117">
            <w:pPr>
              <w:spacing w:before="100" w:after="100"/>
              <w:ind w:left="100" w:right="100"/>
              <w:jc w:val="center"/>
            </w:pPr>
            <w:r>
              <w:rPr>
                <w:rFonts w:ascii="DejaVu Sans" w:eastAsia="DejaVu Sans" w:hAnsi="DejaVu Sans" w:cs="DejaVu Sans"/>
                <w:color w:val="000000"/>
                <w:sz w:val="18"/>
                <w:szCs w:val="18"/>
              </w:rPr>
              <w:t>Yes</w:t>
            </w:r>
          </w:p>
        </w:tc>
      </w:tr>
    </w:tbl>
    <w:p w14:paraId="6AEF29E5" w14:textId="77777777" w:rsidR="00CB2CD6" w:rsidRDefault="00CB2CD6" w:rsidP="00CB2CD6">
      <w:pPr>
        <w:pStyle w:val="FirstParagraph"/>
      </w:pPr>
      <w:r>
        <w:t> </w:t>
      </w:r>
    </w:p>
    <w:p w14:paraId="74271413" w14:textId="77777777" w:rsidR="00CB2CD6" w:rsidRDefault="00CB2CD6" w:rsidP="00CB2CD6">
      <w:pPr>
        <w:pStyle w:val="BodyText"/>
      </w:pPr>
      <w:r>
        <w:rPr>
          <w:i/>
          <w:iCs/>
        </w:rPr>
        <w:t>From:</w:t>
      </w:r>
      <w:r>
        <w:t xml:space="preserve"> Page MJ, McKenzie JE, </w:t>
      </w:r>
      <w:proofErr w:type="spellStart"/>
      <w:r>
        <w:t>Bossuyt</w:t>
      </w:r>
      <w:proofErr w:type="spellEnd"/>
      <w:r>
        <w:t xml:space="preserve"> PM, </w:t>
      </w:r>
      <w:proofErr w:type="spellStart"/>
      <w:r>
        <w:t>Boutron</w:t>
      </w:r>
      <w:proofErr w:type="spellEnd"/>
      <w:r>
        <w:t xml:space="preserve"> I, Hoffmann TC, Mulrow CD, et al. The PRISMA 2020 statement: an updated guideline for reporting systematic reviews. </w:t>
      </w:r>
      <w:proofErr w:type="spellStart"/>
      <w:r>
        <w:t>MetaArXiv</w:t>
      </w:r>
      <w:proofErr w:type="spellEnd"/>
      <w:r>
        <w:t xml:space="preserve">. 2020, September 14. DOI: 10.31222/osf.io/v7gm2. For more information, visit: </w:t>
      </w:r>
      <w:hyperlink r:id="rId7">
        <w:r>
          <w:rPr>
            <w:rStyle w:val="Hyperlink"/>
          </w:rPr>
          <w:t>www.prisma-statement.org</w:t>
        </w:r>
      </w:hyperlink>
      <w:bookmarkEnd w:id="2"/>
    </w:p>
    <w:p w14:paraId="36790F0D" w14:textId="75AC091E" w:rsidR="00CB2CD6" w:rsidRDefault="00CB2CD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3E6C2E6" w14:textId="77777777" w:rsidR="00CB2CD6" w:rsidRPr="00CB2CD6" w:rsidRDefault="00CB2CD6" w:rsidP="00B44DF7">
      <w:pPr>
        <w:rPr>
          <w:rFonts w:ascii="Times New Roman" w:hAnsi="Times New Roman" w:cs="Times New Roman"/>
          <w:sz w:val="24"/>
          <w:szCs w:val="24"/>
          <w:lang w:val="en-US"/>
        </w:rPr>
      </w:pPr>
    </w:p>
    <w:p w14:paraId="2646E6B4" w14:textId="119271F2"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t xml:space="preserve">Additional file 1: </w:t>
      </w:r>
      <w:r w:rsidR="00CB2CD6">
        <w:rPr>
          <w:rFonts w:ascii="Times New Roman" w:hAnsi="Times New Roman" w:cs="Times New Roman"/>
          <w:b/>
          <w:bCs/>
          <w:sz w:val="24"/>
          <w:szCs w:val="24"/>
        </w:rPr>
        <w:t>Appendix T</w:t>
      </w:r>
      <w:r w:rsidR="00CB2CD6" w:rsidRPr="00401884">
        <w:rPr>
          <w:rFonts w:ascii="Times New Roman" w:hAnsi="Times New Roman" w:cs="Times New Roman"/>
          <w:b/>
          <w:bCs/>
          <w:sz w:val="24"/>
          <w:szCs w:val="24"/>
        </w:rPr>
        <w:t xml:space="preserve">able </w:t>
      </w:r>
      <w:r w:rsidR="00CB2CD6">
        <w:rPr>
          <w:rFonts w:ascii="Times New Roman" w:hAnsi="Times New Roman" w:cs="Times New Roman"/>
          <w:b/>
          <w:bCs/>
          <w:sz w:val="24"/>
          <w:szCs w:val="24"/>
        </w:rPr>
        <w:t xml:space="preserve">2 </w:t>
      </w:r>
      <w:r w:rsidR="00B44DF7" w:rsidRPr="00401884">
        <w:rPr>
          <w:rFonts w:ascii="Times New Roman" w:hAnsi="Times New Roman" w:cs="Times New Roman"/>
          <w:sz w:val="24"/>
          <w:szCs w:val="24"/>
        </w:rPr>
        <w:t>Certainty of evidence for each meta-analysis based on the GRADE approach</w:t>
      </w:r>
      <w:r w:rsidR="00CB2CD6">
        <w:rPr>
          <w:rFonts w:ascii="Times New Roman" w:hAnsi="Times New Roman" w:cs="Times New Roman"/>
          <w:sz w:val="24"/>
          <w:szCs w:val="24"/>
        </w:rPr>
        <w:t>.</w:t>
      </w:r>
      <w:r w:rsidR="00B44DF7" w:rsidRPr="00401884">
        <w:rPr>
          <w:rFonts w:ascii="Times New Roman" w:hAnsi="Times New Roman" w:cs="Times New Roman"/>
          <w:sz w:val="24"/>
          <w:szCs w:val="24"/>
        </w:rPr>
        <w:t xml:space="preserve"> </w:t>
      </w:r>
    </w:p>
    <w:tbl>
      <w:tblPr>
        <w:tblW w:w="5453" w:type="pct"/>
        <w:tblCellMar>
          <w:top w:w="50" w:type="dxa"/>
          <w:left w:w="50" w:type="dxa"/>
          <w:bottom w:w="50" w:type="dxa"/>
          <w:right w:w="50" w:type="dxa"/>
        </w:tblCellMar>
        <w:tblLook w:val="04A0" w:firstRow="1" w:lastRow="0" w:firstColumn="1" w:lastColumn="0" w:noHBand="0" w:noVBand="1"/>
      </w:tblPr>
      <w:tblGrid>
        <w:gridCol w:w="1354"/>
        <w:gridCol w:w="815"/>
        <w:gridCol w:w="1487"/>
        <w:gridCol w:w="1354"/>
        <w:gridCol w:w="1327"/>
        <w:gridCol w:w="1425"/>
        <w:gridCol w:w="1129"/>
        <w:gridCol w:w="1262"/>
        <w:gridCol w:w="1060"/>
        <w:gridCol w:w="1426"/>
        <w:gridCol w:w="1262"/>
        <w:gridCol w:w="1372"/>
      </w:tblGrid>
      <w:tr w:rsidR="00B44DF7" w:rsidRPr="00401884" w14:paraId="0A16599B" w14:textId="77777777" w:rsidTr="00734F61">
        <w:trPr>
          <w:cantSplit/>
          <w:trHeight w:val="554"/>
          <w:tblHeader/>
        </w:trPr>
        <w:tc>
          <w:tcPr>
            <w:tcW w:w="5000" w:type="pct"/>
            <w:gridSpan w:val="12"/>
            <w:hideMark/>
          </w:tcPr>
          <w:p w14:paraId="090D5F96"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Baseline compared to Autologous tooth bone graft for Alveolar ridge preservation</w:t>
            </w:r>
          </w:p>
          <w:p w14:paraId="6118A8F3"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 xml:space="preserve">Bibliography: </w:t>
            </w:r>
          </w:p>
        </w:tc>
      </w:tr>
      <w:tr w:rsidR="00B44DF7" w:rsidRPr="00401884" w14:paraId="6A768CAF" w14:textId="77777777" w:rsidTr="00401884">
        <w:trPr>
          <w:cantSplit/>
          <w:trHeight w:val="201"/>
          <w:tblHeader/>
        </w:trPr>
        <w:tc>
          <w:tcPr>
            <w:tcW w:w="2911"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678554B"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Certainty assessment</w:t>
            </w:r>
          </w:p>
        </w:tc>
        <w:tc>
          <w:tcPr>
            <w:tcW w:w="2089" w:type="pct"/>
            <w:gridSpan w:val="5"/>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16CEAC0"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Summary of findings</w:t>
            </w:r>
          </w:p>
        </w:tc>
      </w:tr>
      <w:tr w:rsidR="00B44DF7" w:rsidRPr="00401884" w14:paraId="160993A9" w14:textId="77777777" w:rsidTr="004A1B23">
        <w:trPr>
          <w:cantSplit/>
          <w:trHeight w:val="369"/>
        </w:trPr>
        <w:tc>
          <w:tcPr>
            <w:tcW w:w="443"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0FFF39C"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Participants</w:t>
            </w:r>
            <w:r w:rsidRPr="00401884">
              <w:rPr>
                <w:rFonts w:ascii="Times New Roman" w:hAnsi="Times New Roman" w:cs="Times New Roman"/>
                <w:b/>
                <w:bCs/>
                <w:sz w:val="24"/>
                <w:szCs w:val="24"/>
              </w:rPr>
              <w:br/>
              <w:t>(studies)</w:t>
            </w:r>
            <w:r w:rsidRPr="00401884">
              <w:rPr>
                <w:rFonts w:ascii="Times New Roman" w:hAnsi="Times New Roman" w:cs="Times New Roman"/>
                <w:b/>
                <w:bCs/>
                <w:sz w:val="24"/>
                <w:szCs w:val="24"/>
              </w:rPr>
              <w:br/>
              <w:t>Follow-up</w:t>
            </w:r>
          </w:p>
        </w:tc>
        <w:tc>
          <w:tcPr>
            <w:tcW w:w="267"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6317FF0"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Risk of bias</w:t>
            </w:r>
          </w:p>
        </w:tc>
        <w:tc>
          <w:tcPr>
            <w:tcW w:w="487"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405F2FA"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Inconsistency</w:t>
            </w:r>
          </w:p>
        </w:tc>
        <w:tc>
          <w:tcPr>
            <w:tcW w:w="443"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3474407"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Indirectness</w:t>
            </w:r>
          </w:p>
        </w:tc>
        <w:tc>
          <w:tcPr>
            <w:tcW w:w="434"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00986E6"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Imprecision</w:t>
            </w:r>
          </w:p>
        </w:tc>
        <w:tc>
          <w:tcPr>
            <w:tcW w:w="467"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88914E7"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Publication bias</w:t>
            </w:r>
          </w:p>
        </w:tc>
        <w:tc>
          <w:tcPr>
            <w:tcW w:w="370"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DF3923F"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Overall certainty of evidence</w:t>
            </w:r>
          </w:p>
        </w:tc>
        <w:tc>
          <w:tcPr>
            <w:tcW w:w="760"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43E5ACB"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Study event rates (%)</w:t>
            </w:r>
          </w:p>
        </w:tc>
        <w:tc>
          <w:tcPr>
            <w:tcW w:w="467"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72E0AC4"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Relative effect</w:t>
            </w:r>
            <w:r w:rsidRPr="00401884">
              <w:rPr>
                <w:rFonts w:ascii="Times New Roman" w:hAnsi="Times New Roman" w:cs="Times New Roman"/>
                <w:b/>
                <w:bCs/>
                <w:sz w:val="24"/>
                <w:szCs w:val="24"/>
              </w:rPr>
              <w:br/>
              <w:t>(95% CI)</w:t>
            </w:r>
          </w:p>
        </w:tc>
        <w:tc>
          <w:tcPr>
            <w:tcW w:w="862"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C5FE60E"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Anticipated absolute effects</w:t>
            </w:r>
          </w:p>
        </w:tc>
      </w:tr>
      <w:tr w:rsidR="00B44DF7" w:rsidRPr="00401884" w14:paraId="6CF3246F" w14:textId="77777777" w:rsidTr="004A1B23">
        <w:trPr>
          <w:cantSplit/>
          <w:trHeight w:val="369"/>
        </w:trPr>
        <w:tc>
          <w:tcPr>
            <w:tcW w:w="443" w:type="pct"/>
            <w:vMerge/>
            <w:tcBorders>
              <w:top w:val="single" w:sz="12" w:space="0" w:color="FFFFFF"/>
              <w:left w:val="single" w:sz="12" w:space="0" w:color="FFFFFF"/>
              <w:bottom w:val="single" w:sz="12" w:space="0" w:color="FFFFFF"/>
              <w:right w:val="single" w:sz="12" w:space="0" w:color="FFFFFF"/>
            </w:tcBorders>
            <w:vAlign w:val="center"/>
            <w:hideMark/>
          </w:tcPr>
          <w:p w14:paraId="08727571" w14:textId="77777777" w:rsidR="00B44DF7" w:rsidRPr="00401884" w:rsidRDefault="00B44DF7" w:rsidP="00B44DF7">
            <w:pPr>
              <w:rPr>
                <w:rFonts w:ascii="Times New Roman" w:hAnsi="Times New Roman" w:cs="Times New Roman"/>
                <w:b/>
                <w:bCs/>
                <w:sz w:val="24"/>
                <w:szCs w:val="24"/>
              </w:rPr>
            </w:pPr>
          </w:p>
        </w:tc>
        <w:tc>
          <w:tcPr>
            <w:tcW w:w="267" w:type="pct"/>
            <w:vMerge/>
            <w:tcBorders>
              <w:top w:val="single" w:sz="12" w:space="0" w:color="FFFFFF"/>
              <w:left w:val="single" w:sz="12" w:space="0" w:color="FFFFFF"/>
              <w:bottom w:val="single" w:sz="12" w:space="0" w:color="FFFFFF"/>
              <w:right w:val="single" w:sz="12" w:space="0" w:color="FFFFFF"/>
            </w:tcBorders>
            <w:vAlign w:val="center"/>
            <w:hideMark/>
          </w:tcPr>
          <w:p w14:paraId="2A1028A0" w14:textId="77777777" w:rsidR="00B44DF7" w:rsidRPr="00401884" w:rsidRDefault="00B44DF7" w:rsidP="00B44DF7">
            <w:pPr>
              <w:rPr>
                <w:rFonts w:ascii="Times New Roman" w:hAnsi="Times New Roman" w:cs="Times New Roman"/>
                <w:b/>
                <w:bCs/>
                <w:sz w:val="24"/>
                <w:szCs w:val="24"/>
              </w:rPr>
            </w:pPr>
          </w:p>
        </w:tc>
        <w:tc>
          <w:tcPr>
            <w:tcW w:w="487" w:type="pct"/>
            <w:vMerge/>
            <w:tcBorders>
              <w:top w:val="single" w:sz="12" w:space="0" w:color="FFFFFF"/>
              <w:left w:val="single" w:sz="12" w:space="0" w:color="FFFFFF"/>
              <w:bottom w:val="single" w:sz="12" w:space="0" w:color="FFFFFF"/>
              <w:right w:val="single" w:sz="12" w:space="0" w:color="FFFFFF"/>
            </w:tcBorders>
            <w:vAlign w:val="center"/>
            <w:hideMark/>
          </w:tcPr>
          <w:p w14:paraId="48F33AEC" w14:textId="77777777" w:rsidR="00B44DF7" w:rsidRPr="00401884" w:rsidRDefault="00B44DF7" w:rsidP="00B44DF7">
            <w:pPr>
              <w:rPr>
                <w:rFonts w:ascii="Times New Roman" w:hAnsi="Times New Roman" w:cs="Times New Roman"/>
                <w:b/>
                <w:bCs/>
                <w:sz w:val="24"/>
                <w:szCs w:val="24"/>
              </w:rPr>
            </w:pPr>
          </w:p>
        </w:tc>
        <w:tc>
          <w:tcPr>
            <w:tcW w:w="443" w:type="pct"/>
            <w:vMerge/>
            <w:tcBorders>
              <w:top w:val="single" w:sz="12" w:space="0" w:color="FFFFFF"/>
              <w:left w:val="single" w:sz="12" w:space="0" w:color="FFFFFF"/>
              <w:bottom w:val="single" w:sz="12" w:space="0" w:color="FFFFFF"/>
              <w:right w:val="single" w:sz="12" w:space="0" w:color="FFFFFF"/>
            </w:tcBorders>
            <w:vAlign w:val="center"/>
            <w:hideMark/>
          </w:tcPr>
          <w:p w14:paraId="36283D70" w14:textId="77777777" w:rsidR="00B44DF7" w:rsidRPr="00401884" w:rsidRDefault="00B44DF7" w:rsidP="00B44DF7">
            <w:pPr>
              <w:rPr>
                <w:rFonts w:ascii="Times New Roman" w:hAnsi="Times New Roman" w:cs="Times New Roman"/>
                <w:b/>
                <w:bCs/>
                <w:sz w:val="24"/>
                <w:szCs w:val="24"/>
              </w:rPr>
            </w:pPr>
          </w:p>
        </w:tc>
        <w:tc>
          <w:tcPr>
            <w:tcW w:w="434" w:type="pct"/>
            <w:vMerge/>
            <w:tcBorders>
              <w:top w:val="single" w:sz="12" w:space="0" w:color="FFFFFF"/>
              <w:left w:val="single" w:sz="12" w:space="0" w:color="FFFFFF"/>
              <w:bottom w:val="single" w:sz="12" w:space="0" w:color="FFFFFF"/>
              <w:right w:val="single" w:sz="12" w:space="0" w:color="FFFFFF"/>
            </w:tcBorders>
            <w:vAlign w:val="center"/>
            <w:hideMark/>
          </w:tcPr>
          <w:p w14:paraId="40C9B306" w14:textId="77777777" w:rsidR="00B44DF7" w:rsidRPr="00401884" w:rsidRDefault="00B44DF7" w:rsidP="00B44DF7">
            <w:pPr>
              <w:rPr>
                <w:rFonts w:ascii="Times New Roman" w:hAnsi="Times New Roman" w:cs="Times New Roman"/>
                <w:b/>
                <w:bCs/>
                <w:sz w:val="24"/>
                <w:szCs w:val="24"/>
              </w:rPr>
            </w:pPr>
          </w:p>
        </w:tc>
        <w:tc>
          <w:tcPr>
            <w:tcW w:w="467" w:type="pct"/>
            <w:vMerge/>
            <w:tcBorders>
              <w:top w:val="single" w:sz="12" w:space="0" w:color="FFFFFF"/>
              <w:left w:val="single" w:sz="12" w:space="0" w:color="FFFFFF"/>
              <w:bottom w:val="single" w:sz="12" w:space="0" w:color="FFFFFF"/>
              <w:right w:val="single" w:sz="12" w:space="0" w:color="FFFFFF"/>
            </w:tcBorders>
            <w:vAlign w:val="center"/>
            <w:hideMark/>
          </w:tcPr>
          <w:p w14:paraId="14E5D602" w14:textId="77777777" w:rsidR="00B44DF7" w:rsidRPr="00401884" w:rsidRDefault="00B44DF7" w:rsidP="00B44DF7">
            <w:pPr>
              <w:rPr>
                <w:rFonts w:ascii="Times New Roman" w:hAnsi="Times New Roman" w:cs="Times New Roman"/>
                <w:b/>
                <w:bCs/>
                <w:sz w:val="24"/>
                <w:szCs w:val="24"/>
              </w:rPr>
            </w:pPr>
          </w:p>
        </w:tc>
        <w:tc>
          <w:tcPr>
            <w:tcW w:w="370" w:type="pct"/>
            <w:vMerge/>
            <w:tcBorders>
              <w:top w:val="single" w:sz="12" w:space="0" w:color="FFFFFF"/>
              <w:left w:val="single" w:sz="12" w:space="0" w:color="FFFFFF"/>
              <w:bottom w:val="single" w:sz="12" w:space="0" w:color="FFFFFF"/>
              <w:right w:val="single" w:sz="12" w:space="0" w:color="FFFFFF"/>
            </w:tcBorders>
            <w:vAlign w:val="center"/>
            <w:hideMark/>
          </w:tcPr>
          <w:p w14:paraId="504FC29F" w14:textId="77777777" w:rsidR="00B44DF7" w:rsidRPr="00401884" w:rsidRDefault="00B44DF7" w:rsidP="00B44DF7">
            <w:pPr>
              <w:rPr>
                <w:rFonts w:ascii="Times New Roman" w:hAnsi="Times New Roman" w:cs="Times New Roman"/>
                <w:b/>
                <w:bCs/>
                <w:sz w:val="24"/>
                <w:szCs w:val="24"/>
              </w:rPr>
            </w:pPr>
          </w:p>
        </w:tc>
        <w:tc>
          <w:tcPr>
            <w:tcW w:w="41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EEA3AEF"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With Autologous tooth bone graft</w:t>
            </w:r>
          </w:p>
        </w:tc>
        <w:tc>
          <w:tcPr>
            <w:tcW w:w="347"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AE3AF41"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With Baseline</w:t>
            </w:r>
          </w:p>
        </w:tc>
        <w:tc>
          <w:tcPr>
            <w:tcW w:w="467" w:type="pct"/>
            <w:vMerge/>
            <w:tcBorders>
              <w:top w:val="single" w:sz="12" w:space="0" w:color="FFFFFF"/>
              <w:left w:val="single" w:sz="12" w:space="0" w:color="FFFFFF"/>
              <w:bottom w:val="single" w:sz="12" w:space="0" w:color="FFFFFF"/>
              <w:right w:val="single" w:sz="12" w:space="0" w:color="FFFFFF"/>
            </w:tcBorders>
            <w:vAlign w:val="center"/>
            <w:hideMark/>
          </w:tcPr>
          <w:p w14:paraId="2BC70E95" w14:textId="77777777" w:rsidR="00B44DF7" w:rsidRPr="00401884" w:rsidRDefault="00B44DF7" w:rsidP="00B44DF7">
            <w:pPr>
              <w:rPr>
                <w:rFonts w:ascii="Times New Roman" w:hAnsi="Times New Roman" w:cs="Times New Roman"/>
                <w:b/>
                <w:bCs/>
                <w:sz w:val="24"/>
                <w:szCs w:val="24"/>
              </w:rPr>
            </w:pPr>
          </w:p>
        </w:tc>
        <w:tc>
          <w:tcPr>
            <w:tcW w:w="41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E8725ED"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Risk with Autologous tooth bone graft</w:t>
            </w:r>
          </w:p>
        </w:tc>
        <w:tc>
          <w:tcPr>
            <w:tcW w:w="44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1C6A69F"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t>Risk difference with Baseline</w:t>
            </w:r>
          </w:p>
        </w:tc>
      </w:tr>
      <w:tr w:rsidR="00B44DF7" w:rsidRPr="00401884" w14:paraId="422A3946" w14:textId="77777777" w:rsidTr="00734F61">
        <w:trPr>
          <w:cantSplit/>
          <w:trHeight w:val="377"/>
        </w:trPr>
        <w:tc>
          <w:tcPr>
            <w:tcW w:w="5000" w:type="pct"/>
            <w:gridSpan w:val="12"/>
            <w:tcBorders>
              <w:top w:val="nil"/>
              <w:left w:val="nil"/>
              <w:bottom w:val="nil"/>
              <w:right w:val="nil"/>
            </w:tcBorders>
            <w:hideMark/>
          </w:tcPr>
          <w:p w14:paraId="46C9AE22"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b/>
                <w:bCs/>
                <w:sz w:val="24"/>
                <w:szCs w:val="24"/>
              </w:rPr>
              <w:t>Ridge width changes (mm) (follow-up: range 3 months to 6 months)</w:t>
            </w:r>
          </w:p>
        </w:tc>
      </w:tr>
      <w:tr w:rsidR="00B44DF7" w:rsidRPr="00401884" w14:paraId="11C575F4" w14:textId="77777777" w:rsidTr="004A1B23">
        <w:trPr>
          <w:cantSplit/>
          <w:trHeight w:val="831"/>
        </w:trPr>
        <w:tc>
          <w:tcPr>
            <w:tcW w:w="443" w:type="pct"/>
            <w:tcBorders>
              <w:top w:val="single" w:sz="6" w:space="0" w:color="000000"/>
              <w:left w:val="single" w:sz="6" w:space="0" w:color="000000"/>
              <w:bottom w:val="single" w:sz="6" w:space="0" w:color="000000"/>
              <w:right w:val="single" w:sz="6" w:space="0" w:color="000000"/>
            </w:tcBorders>
            <w:hideMark/>
          </w:tcPr>
          <w:p w14:paraId="68E413F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103</w:t>
            </w:r>
            <w:r w:rsidRPr="00401884">
              <w:rPr>
                <w:rFonts w:ascii="Times New Roman" w:hAnsi="Times New Roman" w:cs="Times New Roman"/>
                <w:sz w:val="24"/>
                <w:szCs w:val="24"/>
              </w:rPr>
              <w:br/>
              <w:t>(6 RCTs)</w:t>
            </w:r>
          </w:p>
        </w:tc>
        <w:tc>
          <w:tcPr>
            <w:tcW w:w="267" w:type="pct"/>
            <w:tcBorders>
              <w:top w:val="single" w:sz="6" w:space="0" w:color="000000"/>
              <w:left w:val="single" w:sz="6" w:space="0" w:color="000000"/>
              <w:bottom w:val="single" w:sz="6" w:space="0" w:color="000000"/>
              <w:right w:val="single" w:sz="6" w:space="0" w:color="000000"/>
            </w:tcBorders>
            <w:hideMark/>
          </w:tcPr>
          <w:p w14:paraId="10DF976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87" w:type="pct"/>
            <w:tcBorders>
              <w:top w:val="single" w:sz="6" w:space="0" w:color="000000"/>
              <w:left w:val="single" w:sz="6" w:space="0" w:color="000000"/>
              <w:bottom w:val="single" w:sz="6" w:space="0" w:color="000000"/>
              <w:right w:val="single" w:sz="6" w:space="0" w:color="000000"/>
            </w:tcBorders>
            <w:hideMark/>
          </w:tcPr>
          <w:p w14:paraId="6CC0BAC9"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43" w:type="pct"/>
            <w:tcBorders>
              <w:top w:val="single" w:sz="6" w:space="0" w:color="000000"/>
              <w:left w:val="single" w:sz="6" w:space="0" w:color="000000"/>
              <w:bottom w:val="single" w:sz="6" w:space="0" w:color="000000"/>
              <w:right w:val="single" w:sz="6" w:space="0" w:color="000000"/>
            </w:tcBorders>
            <w:hideMark/>
          </w:tcPr>
          <w:p w14:paraId="38CAA5D5"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a</w:t>
            </w:r>
            <w:proofErr w:type="spellEnd"/>
          </w:p>
        </w:tc>
        <w:tc>
          <w:tcPr>
            <w:tcW w:w="434" w:type="pct"/>
            <w:tcBorders>
              <w:top w:val="single" w:sz="6" w:space="0" w:color="000000"/>
              <w:left w:val="single" w:sz="6" w:space="0" w:color="000000"/>
              <w:bottom w:val="single" w:sz="6" w:space="0" w:color="000000"/>
              <w:right w:val="single" w:sz="6" w:space="0" w:color="000000"/>
            </w:tcBorders>
            <w:hideMark/>
          </w:tcPr>
          <w:p w14:paraId="5148BD1C"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b</w:t>
            </w:r>
            <w:proofErr w:type="spellEnd"/>
          </w:p>
        </w:tc>
        <w:tc>
          <w:tcPr>
            <w:tcW w:w="467" w:type="pct"/>
            <w:tcBorders>
              <w:top w:val="single" w:sz="6" w:space="0" w:color="000000"/>
              <w:left w:val="single" w:sz="6" w:space="0" w:color="000000"/>
              <w:bottom w:val="single" w:sz="6" w:space="0" w:color="000000"/>
              <w:right w:val="single" w:sz="6" w:space="0" w:color="000000"/>
            </w:tcBorders>
            <w:hideMark/>
          </w:tcPr>
          <w:p w14:paraId="6E8BC81D"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none</w:t>
            </w:r>
          </w:p>
        </w:tc>
        <w:tc>
          <w:tcPr>
            <w:tcW w:w="370" w:type="pct"/>
            <w:tcBorders>
              <w:top w:val="single" w:sz="6" w:space="0" w:color="000000"/>
              <w:left w:val="single" w:sz="6" w:space="0" w:color="000000"/>
              <w:bottom w:val="single" w:sz="6" w:space="0" w:color="000000"/>
              <w:right w:val="single" w:sz="6" w:space="0" w:color="000000"/>
            </w:tcBorders>
            <w:hideMark/>
          </w:tcPr>
          <w:p w14:paraId="038904CA" w14:textId="77777777" w:rsidR="00B44DF7" w:rsidRPr="00401884" w:rsidRDefault="00B44DF7" w:rsidP="00B44DF7">
            <w:pPr>
              <w:rPr>
                <w:rFonts w:ascii="Times New Roman" w:hAnsi="Times New Roman" w:cs="Times New Roman"/>
                <w:sz w:val="24"/>
                <w:szCs w:val="24"/>
              </w:rPr>
            </w:pPr>
            <w:r w:rsidRPr="00401884">
              <w:rPr>
                <w:rFonts w:ascii="Cambria Math" w:hAnsi="Cambria Math" w:cs="Cambria Math"/>
                <w:sz w:val="24"/>
                <w:szCs w:val="24"/>
              </w:rPr>
              <w:t>⨁⨁◯◯</w:t>
            </w:r>
            <w:r w:rsidRPr="00401884">
              <w:rPr>
                <w:rFonts w:ascii="Times New Roman" w:hAnsi="Times New Roman" w:cs="Times New Roman"/>
                <w:sz w:val="24"/>
                <w:szCs w:val="24"/>
              </w:rPr>
              <w:br/>
              <w:t>Low</w:t>
            </w:r>
          </w:p>
        </w:tc>
        <w:tc>
          <w:tcPr>
            <w:tcW w:w="413" w:type="pct"/>
            <w:tcBorders>
              <w:top w:val="single" w:sz="6" w:space="0" w:color="000000"/>
              <w:left w:val="single" w:sz="6" w:space="0" w:color="000000"/>
              <w:bottom w:val="single" w:sz="6" w:space="0" w:color="000000"/>
              <w:right w:val="single" w:sz="6" w:space="0" w:color="000000"/>
            </w:tcBorders>
            <w:hideMark/>
          </w:tcPr>
          <w:p w14:paraId="3A895D6D" w14:textId="77777777" w:rsidR="00B44DF7" w:rsidRPr="00401884" w:rsidRDefault="00B44DF7" w:rsidP="00B44DF7">
            <w:pPr>
              <w:rPr>
                <w:rFonts w:ascii="Times New Roman" w:hAnsi="Times New Roman" w:cs="Times New Roman"/>
                <w:sz w:val="24"/>
                <w:szCs w:val="24"/>
              </w:rPr>
            </w:pPr>
          </w:p>
        </w:tc>
        <w:tc>
          <w:tcPr>
            <w:tcW w:w="347" w:type="pct"/>
            <w:tcBorders>
              <w:top w:val="single" w:sz="6" w:space="0" w:color="000000"/>
              <w:left w:val="single" w:sz="6" w:space="0" w:color="000000"/>
              <w:bottom w:val="single" w:sz="6" w:space="0" w:color="000000"/>
              <w:right w:val="single" w:sz="6" w:space="0" w:color="000000"/>
            </w:tcBorders>
            <w:hideMark/>
          </w:tcPr>
          <w:p w14:paraId="42D1E03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103</w:t>
            </w:r>
          </w:p>
        </w:tc>
        <w:tc>
          <w:tcPr>
            <w:tcW w:w="467" w:type="pct"/>
            <w:tcBorders>
              <w:top w:val="single" w:sz="6" w:space="0" w:color="000000"/>
              <w:left w:val="single" w:sz="6" w:space="0" w:color="000000"/>
              <w:bottom w:val="single" w:sz="6" w:space="0" w:color="000000"/>
              <w:right w:val="single" w:sz="6" w:space="0" w:color="000000"/>
            </w:tcBorders>
            <w:hideMark/>
          </w:tcPr>
          <w:p w14:paraId="08943C23"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w:t>
            </w:r>
          </w:p>
        </w:tc>
        <w:tc>
          <w:tcPr>
            <w:tcW w:w="413" w:type="pct"/>
            <w:tcBorders>
              <w:top w:val="single" w:sz="6" w:space="0" w:color="000000"/>
              <w:left w:val="single" w:sz="6" w:space="0" w:color="000000"/>
              <w:bottom w:val="single" w:sz="6" w:space="0" w:color="000000"/>
              <w:right w:val="single" w:sz="6" w:space="0" w:color="000000"/>
            </w:tcBorders>
            <w:hideMark/>
          </w:tcPr>
          <w:p w14:paraId="39D3B221"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The mean ridge width changes (mm) was </w:t>
            </w:r>
            <w:r w:rsidRPr="00401884">
              <w:rPr>
                <w:rFonts w:ascii="Times New Roman" w:hAnsi="Times New Roman" w:cs="Times New Roman"/>
                <w:b/>
                <w:bCs/>
                <w:sz w:val="24"/>
                <w:szCs w:val="24"/>
              </w:rPr>
              <w:t>0</w:t>
            </w:r>
          </w:p>
        </w:tc>
        <w:tc>
          <w:tcPr>
            <w:tcW w:w="449" w:type="pct"/>
            <w:tcBorders>
              <w:top w:val="single" w:sz="6" w:space="0" w:color="000000"/>
              <w:left w:val="single" w:sz="6" w:space="0" w:color="000000"/>
              <w:bottom w:val="single" w:sz="6" w:space="0" w:color="000000"/>
              <w:right w:val="single" w:sz="6" w:space="0" w:color="000000"/>
            </w:tcBorders>
            <w:hideMark/>
          </w:tcPr>
          <w:p w14:paraId="0965644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mean </w:t>
            </w:r>
            <w:r w:rsidRPr="00401884">
              <w:rPr>
                <w:rFonts w:ascii="Times New Roman" w:hAnsi="Times New Roman" w:cs="Times New Roman"/>
                <w:b/>
                <w:bCs/>
                <w:sz w:val="24"/>
                <w:szCs w:val="24"/>
              </w:rPr>
              <w:t>0.72 lower</w:t>
            </w:r>
            <w:r w:rsidRPr="00401884">
              <w:rPr>
                <w:rFonts w:ascii="Times New Roman" w:hAnsi="Times New Roman" w:cs="Times New Roman"/>
                <w:sz w:val="24"/>
                <w:szCs w:val="24"/>
              </w:rPr>
              <w:br/>
              <w:t>(1.03 lower to 0.42 lower)</w:t>
            </w:r>
          </w:p>
        </w:tc>
      </w:tr>
      <w:tr w:rsidR="00B44DF7" w:rsidRPr="00401884" w14:paraId="5330D94B" w14:textId="77777777" w:rsidTr="00734F61">
        <w:trPr>
          <w:cantSplit/>
          <w:trHeight w:val="377"/>
        </w:trPr>
        <w:tc>
          <w:tcPr>
            <w:tcW w:w="5000" w:type="pct"/>
            <w:gridSpan w:val="12"/>
            <w:tcBorders>
              <w:top w:val="nil"/>
              <w:left w:val="nil"/>
              <w:bottom w:val="nil"/>
              <w:right w:val="nil"/>
            </w:tcBorders>
            <w:hideMark/>
          </w:tcPr>
          <w:p w14:paraId="5F4AC9E9"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b/>
                <w:bCs/>
                <w:sz w:val="24"/>
                <w:szCs w:val="24"/>
              </w:rPr>
              <w:t>Residual graft proportion (%) (follow-up: range 3 months to 6 months; assessed with: percentage)</w:t>
            </w:r>
          </w:p>
        </w:tc>
      </w:tr>
      <w:tr w:rsidR="00B44DF7" w:rsidRPr="00401884" w14:paraId="5DA83A54" w14:textId="77777777" w:rsidTr="004A1B23">
        <w:trPr>
          <w:cantSplit/>
          <w:trHeight w:val="1016"/>
        </w:trPr>
        <w:tc>
          <w:tcPr>
            <w:tcW w:w="443" w:type="pct"/>
            <w:tcBorders>
              <w:top w:val="single" w:sz="6" w:space="0" w:color="000000"/>
              <w:left w:val="single" w:sz="6" w:space="0" w:color="000000"/>
              <w:bottom w:val="single" w:sz="6" w:space="0" w:color="000000"/>
              <w:right w:val="single" w:sz="6" w:space="0" w:color="000000"/>
            </w:tcBorders>
            <w:hideMark/>
          </w:tcPr>
          <w:p w14:paraId="140CF06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lastRenderedPageBreak/>
              <w:t>96</w:t>
            </w:r>
            <w:r w:rsidRPr="00401884">
              <w:rPr>
                <w:rFonts w:ascii="Times New Roman" w:hAnsi="Times New Roman" w:cs="Times New Roman"/>
                <w:sz w:val="24"/>
                <w:szCs w:val="24"/>
              </w:rPr>
              <w:br/>
              <w:t>(6 RCTs)</w:t>
            </w:r>
          </w:p>
        </w:tc>
        <w:tc>
          <w:tcPr>
            <w:tcW w:w="267" w:type="pct"/>
            <w:tcBorders>
              <w:top w:val="single" w:sz="6" w:space="0" w:color="000000"/>
              <w:left w:val="single" w:sz="6" w:space="0" w:color="000000"/>
              <w:bottom w:val="single" w:sz="6" w:space="0" w:color="000000"/>
              <w:right w:val="single" w:sz="6" w:space="0" w:color="000000"/>
            </w:tcBorders>
            <w:hideMark/>
          </w:tcPr>
          <w:p w14:paraId="4F70922A"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87" w:type="pct"/>
            <w:tcBorders>
              <w:top w:val="single" w:sz="6" w:space="0" w:color="000000"/>
              <w:left w:val="single" w:sz="6" w:space="0" w:color="000000"/>
              <w:bottom w:val="single" w:sz="6" w:space="0" w:color="000000"/>
              <w:right w:val="single" w:sz="6" w:space="0" w:color="000000"/>
            </w:tcBorders>
            <w:hideMark/>
          </w:tcPr>
          <w:p w14:paraId="2CA425CF"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c</w:t>
            </w:r>
            <w:proofErr w:type="spellEnd"/>
          </w:p>
        </w:tc>
        <w:tc>
          <w:tcPr>
            <w:tcW w:w="443" w:type="pct"/>
            <w:tcBorders>
              <w:top w:val="single" w:sz="6" w:space="0" w:color="000000"/>
              <w:left w:val="single" w:sz="6" w:space="0" w:color="000000"/>
              <w:bottom w:val="single" w:sz="6" w:space="0" w:color="000000"/>
              <w:right w:val="single" w:sz="6" w:space="0" w:color="000000"/>
            </w:tcBorders>
            <w:hideMark/>
          </w:tcPr>
          <w:p w14:paraId="304B33CB"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34" w:type="pct"/>
            <w:tcBorders>
              <w:top w:val="single" w:sz="6" w:space="0" w:color="000000"/>
              <w:left w:val="single" w:sz="6" w:space="0" w:color="000000"/>
              <w:bottom w:val="single" w:sz="6" w:space="0" w:color="000000"/>
              <w:right w:val="single" w:sz="6" w:space="0" w:color="000000"/>
            </w:tcBorders>
            <w:hideMark/>
          </w:tcPr>
          <w:p w14:paraId="500EB20F"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b</w:t>
            </w:r>
            <w:proofErr w:type="spellEnd"/>
          </w:p>
        </w:tc>
        <w:tc>
          <w:tcPr>
            <w:tcW w:w="467" w:type="pct"/>
            <w:tcBorders>
              <w:top w:val="single" w:sz="6" w:space="0" w:color="000000"/>
              <w:left w:val="single" w:sz="6" w:space="0" w:color="000000"/>
              <w:bottom w:val="single" w:sz="6" w:space="0" w:color="000000"/>
              <w:right w:val="single" w:sz="6" w:space="0" w:color="000000"/>
            </w:tcBorders>
            <w:hideMark/>
          </w:tcPr>
          <w:p w14:paraId="5ED1D5F2"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strong association</w:t>
            </w:r>
          </w:p>
        </w:tc>
        <w:tc>
          <w:tcPr>
            <w:tcW w:w="370" w:type="pct"/>
            <w:tcBorders>
              <w:top w:val="single" w:sz="6" w:space="0" w:color="000000"/>
              <w:left w:val="single" w:sz="6" w:space="0" w:color="000000"/>
              <w:bottom w:val="single" w:sz="6" w:space="0" w:color="000000"/>
              <w:right w:val="single" w:sz="6" w:space="0" w:color="000000"/>
            </w:tcBorders>
            <w:hideMark/>
          </w:tcPr>
          <w:p w14:paraId="33097F5B" w14:textId="77777777" w:rsidR="00B44DF7" w:rsidRPr="00401884" w:rsidRDefault="00B44DF7" w:rsidP="00B44DF7">
            <w:pPr>
              <w:rPr>
                <w:rFonts w:ascii="Times New Roman" w:hAnsi="Times New Roman" w:cs="Times New Roman"/>
                <w:sz w:val="24"/>
                <w:szCs w:val="24"/>
              </w:rPr>
            </w:pPr>
            <w:r w:rsidRPr="00401884">
              <w:rPr>
                <w:rFonts w:ascii="Cambria Math" w:hAnsi="Cambria Math" w:cs="Cambria Math"/>
                <w:sz w:val="24"/>
                <w:szCs w:val="24"/>
              </w:rPr>
              <w:t>⨁⨁⨁◯</w:t>
            </w:r>
            <w:r w:rsidRPr="00401884">
              <w:rPr>
                <w:rFonts w:ascii="Times New Roman" w:hAnsi="Times New Roman" w:cs="Times New Roman"/>
                <w:sz w:val="24"/>
                <w:szCs w:val="24"/>
              </w:rPr>
              <w:br/>
              <w:t>Moderate</w:t>
            </w:r>
          </w:p>
        </w:tc>
        <w:tc>
          <w:tcPr>
            <w:tcW w:w="413" w:type="pct"/>
            <w:tcBorders>
              <w:top w:val="single" w:sz="6" w:space="0" w:color="000000"/>
              <w:left w:val="single" w:sz="6" w:space="0" w:color="000000"/>
              <w:bottom w:val="single" w:sz="6" w:space="0" w:color="000000"/>
              <w:right w:val="single" w:sz="6" w:space="0" w:color="000000"/>
            </w:tcBorders>
            <w:hideMark/>
          </w:tcPr>
          <w:p w14:paraId="0E6782C1" w14:textId="77777777" w:rsidR="00B44DF7" w:rsidRPr="00401884" w:rsidRDefault="00B44DF7" w:rsidP="00B44DF7">
            <w:pPr>
              <w:rPr>
                <w:rFonts w:ascii="Times New Roman" w:hAnsi="Times New Roman" w:cs="Times New Roman"/>
                <w:sz w:val="24"/>
                <w:szCs w:val="24"/>
              </w:rPr>
            </w:pPr>
          </w:p>
        </w:tc>
        <w:tc>
          <w:tcPr>
            <w:tcW w:w="347" w:type="pct"/>
            <w:tcBorders>
              <w:top w:val="single" w:sz="6" w:space="0" w:color="000000"/>
              <w:left w:val="single" w:sz="6" w:space="0" w:color="000000"/>
              <w:bottom w:val="single" w:sz="6" w:space="0" w:color="000000"/>
              <w:right w:val="single" w:sz="6" w:space="0" w:color="000000"/>
            </w:tcBorders>
            <w:hideMark/>
          </w:tcPr>
          <w:p w14:paraId="340FDE89"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96</w:t>
            </w:r>
          </w:p>
        </w:tc>
        <w:tc>
          <w:tcPr>
            <w:tcW w:w="467" w:type="pct"/>
            <w:tcBorders>
              <w:top w:val="single" w:sz="6" w:space="0" w:color="000000"/>
              <w:left w:val="single" w:sz="6" w:space="0" w:color="000000"/>
              <w:bottom w:val="single" w:sz="6" w:space="0" w:color="000000"/>
              <w:right w:val="single" w:sz="6" w:space="0" w:color="000000"/>
            </w:tcBorders>
            <w:hideMark/>
          </w:tcPr>
          <w:p w14:paraId="5FD8FEFD"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w:t>
            </w:r>
          </w:p>
        </w:tc>
        <w:tc>
          <w:tcPr>
            <w:tcW w:w="413" w:type="pct"/>
            <w:tcBorders>
              <w:top w:val="single" w:sz="6" w:space="0" w:color="000000"/>
              <w:left w:val="single" w:sz="6" w:space="0" w:color="000000"/>
              <w:bottom w:val="single" w:sz="6" w:space="0" w:color="000000"/>
              <w:right w:val="single" w:sz="6" w:space="0" w:color="000000"/>
            </w:tcBorders>
            <w:hideMark/>
          </w:tcPr>
          <w:p w14:paraId="22BB2C38"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The mean residual graft proportion (%) was </w:t>
            </w:r>
            <w:r w:rsidRPr="00401884">
              <w:rPr>
                <w:rFonts w:ascii="Times New Roman" w:hAnsi="Times New Roman" w:cs="Times New Roman"/>
                <w:b/>
                <w:bCs/>
                <w:sz w:val="24"/>
                <w:szCs w:val="24"/>
              </w:rPr>
              <w:t>0</w:t>
            </w:r>
          </w:p>
        </w:tc>
        <w:tc>
          <w:tcPr>
            <w:tcW w:w="449" w:type="pct"/>
            <w:tcBorders>
              <w:top w:val="single" w:sz="6" w:space="0" w:color="000000"/>
              <w:left w:val="single" w:sz="6" w:space="0" w:color="000000"/>
              <w:bottom w:val="single" w:sz="6" w:space="0" w:color="000000"/>
              <w:right w:val="single" w:sz="6" w:space="0" w:color="000000"/>
            </w:tcBorders>
            <w:hideMark/>
          </w:tcPr>
          <w:p w14:paraId="019C20F0"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mean </w:t>
            </w:r>
            <w:r w:rsidRPr="00401884">
              <w:rPr>
                <w:rFonts w:ascii="Times New Roman" w:hAnsi="Times New Roman" w:cs="Times New Roman"/>
                <w:b/>
                <w:bCs/>
                <w:sz w:val="24"/>
                <w:szCs w:val="24"/>
              </w:rPr>
              <w:t>11.61 higher</w:t>
            </w:r>
            <w:r w:rsidRPr="00401884">
              <w:rPr>
                <w:rFonts w:ascii="Times New Roman" w:hAnsi="Times New Roman" w:cs="Times New Roman"/>
                <w:sz w:val="24"/>
                <w:szCs w:val="24"/>
              </w:rPr>
              <w:br/>
              <w:t>(9.05 higher to 14.17 higher)</w:t>
            </w:r>
          </w:p>
        </w:tc>
      </w:tr>
      <w:tr w:rsidR="00B44DF7" w:rsidRPr="00401884" w14:paraId="3CF68DA6" w14:textId="77777777" w:rsidTr="00734F61">
        <w:trPr>
          <w:cantSplit/>
          <w:trHeight w:val="377"/>
        </w:trPr>
        <w:tc>
          <w:tcPr>
            <w:tcW w:w="5000" w:type="pct"/>
            <w:gridSpan w:val="12"/>
            <w:tcBorders>
              <w:top w:val="nil"/>
              <w:left w:val="nil"/>
              <w:bottom w:val="nil"/>
              <w:right w:val="nil"/>
            </w:tcBorders>
            <w:hideMark/>
          </w:tcPr>
          <w:p w14:paraId="19D289A0"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b/>
                <w:bCs/>
                <w:sz w:val="24"/>
                <w:szCs w:val="24"/>
              </w:rPr>
              <w:t>Newly formed bone proportion (%) (follow-up: range 3 months to 6 months)</w:t>
            </w:r>
          </w:p>
        </w:tc>
      </w:tr>
      <w:tr w:rsidR="00B44DF7" w:rsidRPr="00401884" w14:paraId="4215436D" w14:textId="77777777" w:rsidTr="004A1B23">
        <w:trPr>
          <w:cantSplit/>
          <w:trHeight w:val="1360"/>
        </w:trPr>
        <w:tc>
          <w:tcPr>
            <w:tcW w:w="443" w:type="pct"/>
            <w:tcBorders>
              <w:top w:val="single" w:sz="6" w:space="0" w:color="000000"/>
              <w:left w:val="single" w:sz="6" w:space="0" w:color="000000"/>
              <w:bottom w:val="single" w:sz="6" w:space="0" w:color="000000"/>
              <w:right w:val="single" w:sz="6" w:space="0" w:color="000000"/>
            </w:tcBorders>
            <w:hideMark/>
          </w:tcPr>
          <w:p w14:paraId="59A500EE"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96</w:t>
            </w:r>
            <w:r w:rsidRPr="00401884">
              <w:rPr>
                <w:rFonts w:ascii="Times New Roman" w:hAnsi="Times New Roman" w:cs="Times New Roman"/>
                <w:sz w:val="24"/>
                <w:szCs w:val="24"/>
              </w:rPr>
              <w:br/>
              <w:t>(6 RCTs)</w:t>
            </w:r>
          </w:p>
        </w:tc>
        <w:tc>
          <w:tcPr>
            <w:tcW w:w="267" w:type="pct"/>
            <w:tcBorders>
              <w:top w:val="single" w:sz="6" w:space="0" w:color="000000"/>
              <w:left w:val="single" w:sz="6" w:space="0" w:color="000000"/>
              <w:bottom w:val="single" w:sz="6" w:space="0" w:color="000000"/>
              <w:right w:val="single" w:sz="6" w:space="0" w:color="000000"/>
            </w:tcBorders>
            <w:hideMark/>
          </w:tcPr>
          <w:p w14:paraId="2A218C52"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87" w:type="pct"/>
            <w:tcBorders>
              <w:top w:val="single" w:sz="6" w:space="0" w:color="000000"/>
              <w:left w:val="single" w:sz="6" w:space="0" w:color="000000"/>
              <w:bottom w:val="single" w:sz="6" w:space="0" w:color="000000"/>
              <w:right w:val="single" w:sz="6" w:space="0" w:color="000000"/>
            </w:tcBorders>
            <w:hideMark/>
          </w:tcPr>
          <w:p w14:paraId="6410E1CE"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c</w:t>
            </w:r>
            <w:proofErr w:type="spellEnd"/>
          </w:p>
        </w:tc>
        <w:tc>
          <w:tcPr>
            <w:tcW w:w="443" w:type="pct"/>
            <w:tcBorders>
              <w:top w:val="single" w:sz="6" w:space="0" w:color="000000"/>
              <w:left w:val="single" w:sz="6" w:space="0" w:color="000000"/>
              <w:bottom w:val="single" w:sz="6" w:space="0" w:color="000000"/>
              <w:right w:val="single" w:sz="6" w:space="0" w:color="000000"/>
            </w:tcBorders>
            <w:hideMark/>
          </w:tcPr>
          <w:p w14:paraId="76B388A1"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34" w:type="pct"/>
            <w:tcBorders>
              <w:top w:val="single" w:sz="6" w:space="0" w:color="000000"/>
              <w:left w:val="single" w:sz="6" w:space="0" w:color="000000"/>
              <w:bottom w:val="single" w:sz="6" w:space="0" w:color="000000"/>
              <w:right w:val="single" w:sz="6" w:space="0" w:color="000000"/>
            </w:tcBorders>
            <w:hideMark/>
          </w:tcPr>
          <w:p w14:paraId="608D7ECC"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b</w:t>
            </w:r>
            <w:proofErr w:type="spellEnd"/>
          </w:p>
        </w:tc>
        <w:tc>
          <w:tcPr>
            <w:tcW w:w="467" w:type="pct"/>
            <w:tcBorders>
              <w:top w:val="single" w:sz="6" w:space="0" w:color="000000"/>
              <w:left w:val="single" w:sz="6" w:space="0" w:color="000000"/>
              <w:bottom w:val="single" w:sz="6" w:space="0" w:color="000000"/>
              <w:right w:val="single" w:sz="6" w:space="0" w:color="000000"/>
            </w:tcBorders>
            <w:hideMark/>
          </w:tcPr>
          <w:p w14:paraId="2F46511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none</w:t>
            </w:r>
          </w:p>
        </w:tc>
        <w:tc>
          <w:tcPr>
            <w:tcW w:w="370" w:type="pct"/>
            <w:tcBorders>
              <w:top w:val="single" w:sz="6" w:space="0" w:color="000000"/>
              <w:left w:val="single" w:sz="6" w:space="0" w:color="000000"/>
              <w:bottom w:val="single" w:sz="6" w:space="0" w:color="000000"/>
              <w:right w:val="single" w:sz="6" w:space="0" w:color="000000"/>
            </w:tcBorders>
            <w:hideMark/>
          </w:tcPr>
          <w:p w14:paraId="37A2D327" w14:textId="77777777" w:rsidR="00B44DF7" w:rsidRPr="00401884" w:rsidRDefault="00B44DF7" w:rsidP="00B44DF7">
            <w:pPr>
              <w:rPr>
                <w:rFonts w:ascii="Times New Roman" w:hAnsi="Times New Roman" w:cs="Times New Roman"/>
                <w:sz w:val="24"/>
                <w:szCs w:val="24"/>
              </w:rPr>
            </w:pPr>
            <w:r w:rsidRPr="00401884">
              <w:rPr>
                <w:rFonts w:ascii="Cambria Math" w:hAnsi="Cambria Math" w:cs="Cambria Math"/>
                <w:sz w:val="24"/>
                <w:szCs w:val="24"/>
              </w:rPr>
              <w:t>⨁⨁◯◯</w:t>
            </w:r>
            <w:r w:rsidRPr="00401884">
              <w:rPr>
                <w:rFonts w:ascii="Times New Roman" w:hAnsi="Times New Roman" w:cs="Times New Roman"/>
                <w:sz w:val="24"/>
                <w:szCs w:val="24"/>
              </w:rPr>
              <w:br/>
              <w:t>Low</w:t>
            </w:r>
          </w:p>
        </w:tc>
        <w:tc>
          <w:tcPr>
            <w:tcW w:w="413" w:type="pct"/>
            <w:tcBorders>
              <w:top w:val="single" w:sz="6" w:space="0" w:color="000000"/>
              <w:left w:val="single" w:sz="6" w:space="0" w:color="000000"/>
              <w:bottom w:val="single" w:sz="6" w:space="0" w:color="000000"/>
              <w:right w:val="single" w:sz="6" w:space="0" w:color="000000"/>
            </w:tcBorders>
            <w:hideMark/>
          </w:tcPr>
          <w:p w14:paraId="7C8B3E2E" w14:textId="77777777" w:rsidR="00B44DF7" w:rsidRPr="00401884" w:rsidRDefault="00B44DF7" w:rsidP="00B44DF7">
            <w:pPr>
              <w:rPr>
                <w:rFonts w:ascii="Times New Roman" w:hAnsi="Times New Roman" w:cs="Times New Roman"/>
                <w:sz w:val="24"/>
                <w:szCs w:val="24"/>
              </w:rPr>
            </w:pPr>
          </w:p>
        </w:tc>
        <w:tc>
          <w:tcPr>
            <w:tcW w:w="347" w:type="pct"/>
            <w:tcBorders>
              <w:top w:val="single" w:sz="6" w:space="0" w:color="000000"/>
              <w:left w:val="single" w:sz="6" w:space="0" w:color="000000"/>
              <w:bottom w:val="single" w:sz="6" w:space="0" w:color="000000"/>
              <w:right w:val="single" w:sz="6" w:space="0" w:color="000000"/>
            </w:tcBorders>
            <w:hideMark/>
          </w:tcPr>
          <w:p w14:paraId="04DD61B3"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96</w:t>
            </w:r>
          </w:p>
        </w:tc>
        <w:tc>
          <w:tcPr>
            <w:tcW w:w="467" w:type="pct"/>
            <w:tcBorders>
              <w:top w:val="single" w:sz="6" w:space="0" w:color="000000"/>
              <w:left w:val="single" w:sz="6" w:space="0" w:color="000000"/>
              <w:bottom w:val="single" w:sz="6" w:space="0" w:color="000000"/>
              <w:right w:val="single" w:sz="6" w:space="0" w:color="000000"/>
            </w:tcBorders>
            <w:hideMark/>
          </w:tcPr>
          <w:p w14:paraId="3BF9D496"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w:t>
            </w:r>
          </w:p>
        </w:tc>
        <w:tc>
          <w:tcPr>
            <w:tcW w:w="413" w:type="pct"/>
            <w:tcBorders>
              <w:top w:val="single" w:sz="6" w:space="0" w:color="000000"/>
              <w:left w:val="single" w:sz="6" w:space="0" w:color="000000"/>
              <w:bottom w:val="single" w:sz="6" w:space="0" w:color="000000"/>
              <w:right w:val="single" w:sz="6" w:space="0" w:color="000000"/>
            </w:tcBorders>
            <w:hideMark/>
          </w:tcPr>
          <w:p w14:paraId="7A5D600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The mean newly formed bone proportion (%) was </w:t>
            </w:r>
            <w:r w:rsidRPr="00401884">
              <w:rPr>
                <w:rFonts w:ascii="Times New Roman" w:hAnsi="Times New Roman" w:cs="Times New Roman"/>
                <w:b/>
                <w:bCs/>
                <w:sz w:val="24"/>
                <w:szCs w:val="24"/>
              </w:rPr>
              <w:t>0</w:t>
            </w:r>
            <w:r w:rsidRPr="00401884">
              <w:rPr>
                <w:rFonts w:ascii="Times New Roman" w:hAnsi="Times New Roman" w:cs="Times New Roman"/>
                <w:sz w:val="24"/>
                <w:szCs w:val="24"/>
              </w:rPr>
              <w:t xml:space="preserve"> %</w:t>
            </w:r>
          </w:p>
        </w:tc>
        <w:tc>
          <w:tcPr>
            <w:tcW w:w="449" w:type="pct"/>
            <w:tcBorders>
              <w:top w:val="single" w:sz="6" w:space="0" w:color="000000"/>
              <w:left w:val="single" w:sz="6" w:space="0" w:color="000000"/>
              <w:bottom w:val="single" w:sz="6" w:space="0" w:color="000000"/>
              <w:right w:val="single" w:sz="6" w:space="0" w:color="000000"/>
            </w:tcBorders>
            <w:hideMark/>
          </w:tcPr>
          <w:p w14:paraId="6B3A993A"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MD </w:t>
            </w:r>
            <w:r w:rsidRPr="00401884">
              <w:rPr>
                <w:rFonts w:ascii="Times New Roman" w:hAnsi="Times New Roman" w:cs="Times New Roman"/>
                <w:b/>
                <w:bCs/>
                <w:sz w:val="24"/>
                <w:szCs w:val="24"/>
              </w:rPr>
              <w:t>40.23 % more</w:t>
            </w:r>
            <w:r w:rsidRPr="00401884">
              <w:rPr>
                <w:rFonts w:ascii="Times New Roman" w:hAnsi="Times New Roman" w:cs="Times New Roman"/>
                <w:sz w:val="24"/>
                <w:szCs w:val="24"/>
              </w:rPr>
              <w:br/>
              <w:t>(33.04 more to 47.42 more)</w:t>
            </w:r>
          </w:p>
        </w:tc>
      </w:tr>
      <w:tr w:rsidR="00B44DF7" w:rsidRPr="00401884" w14:paraId="5B338FDC" w14:textId="77777777" w:rsidTr="00734F61">
        <w:trPr>
          <w:cantSplit/>
          <w:trHeight w:val="377"/>
        </w:trPr>
        <w:tc>
          <w:tcPr>
            <w:tcW w:w="5000" w:type="pct"/>
            <w:gridSpan w:val="12"/>
            <w:tcBorders>
              <w:top w:val="nil"/>
              <w:left w:val="nil"/>
              <w:bottom w:val="nil"/>
              <w:right w:val="nil"/>
            </w:tcBorders>
            <w:hideMark/>
          </w:tcPr>
          <w:p w14:paraId="44C88217"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b/>
                <w:bCs/>
                <w:sz w:val="24"/>
                <w:szCs w:val="24"/>
              </w:rPr>
              <w:t>Connective tissue proportion (%) (follow-up: range 3 months to 6 months)</w:t>
            </w:r>
          </w:p>
        </w:tc>
      </w:tr>
      <w:tr w:rsidR="00B44DF7" w:rsidRPr="00401884" w14:paraId="5048ECAD" w14:textId="77777777" w:rsidTr="004A1B23">
        <w:trPr>
          <w:cantSplit/>
          <w:trHeight w:val="1007"/>
        </w:trPr>
        <w:tc>
          <w:tcPr>
            <w:tcW w:w="443" w:type="pct"/>
            <w:tcBorders>
              <w:top w:val="single" w:sz="6" w:space="0" w:color="000000"/>
              <w:left w:val="single" w:sz="6" w:space="0" w:color="000000"/>
              <w:bottom w:val="single" w:sz="6" w:space="0" w:color="000000"/>
              <w:right w:val="single" w:sz="6" w:space="0" w:color="000000"/>
            </w:tcBorders>
            <w:hideMark/>
          </w:tcPr>
          <w:p w14:paraId="6422CD27"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96</w:t>
            </w:r>
            <w:r w:rsidRPr="00401884">
              <w:rPr>
                <w:rFonts w:ascii="Times New Roman" w:hAnsi="Times New Roman" w:cs="Times New Roman"/>
                <w:sz w:val="24"/>
                <w:szCs w:val="24"/>
              </w:rPr>
              <w:br/>
              <w:t>(6 RCTs)</w:t>
            </w:r>
          </w:p>
        </w:tc>
        <w:tc>
          <w:tcPr>
            <w:tcW w:w="267" w:type="pct"/>
            <w:tcBorders>
              <w:top w:val="single" w:sz="6" w:space="0" w:color="000000"/>
              <w:left w:val="single" w:sz="6" w:space="0" w:color="000000"/>
              <w:bottom w:val="single" w:sz="6" w:space="0" w:color="000000"/>
              <w:right w:val="single" w:sz="6" w:space="0" w:color="000000"/>
            </w:tcBorders>
            <w:hideMark/>
          </w:tcPr>
          <w:p w14:paraId="26253007"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87" w:type="pct"/>
            <w:tcBorders>
              <w:top w:val="single" w:sz="6" w:space="0" w:color="000000"/>
              <w:left w:val="single" w:sz="6" w:space="0" w:color="000000"/>
              <w:bottom w:val="single" w:sz="6" w:space="0" w:color="000000"/>
              <w:right w:val="single" w:sz="6" w:space="0" w:color="000000"/>
            </w:tcBorders>
            <w:hideMark/>
          </w:tcPr>
          <w:p w14:paraId="7BB054BB"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c</w:t>
            </w:r>
            <w:proofErr w:type="spellEnd"/>
          </w:p>
        </w:tc>
        <w:tc>
          <w:tcPr>
            <w:tcW w:w="443" w:type="pct"/>
            <w:tcBorders>
              <w:top w:val="single" w:sz="6" w:space="0" w:color="000000"/>
              <w:left w:val="single" w:sz="6" w:space="0" w:color="000000"/>
              <w:bottom w:val="single" w:sz="6" w:space="0" w:color="000000"/>
              <w:right w:val="single" w:sz="6" w:space="0" w:color="000000"/>
            </w:tcBorders>
            <w:hideMark/>
          </w:tcPr>
          <w:p w14:paraId="36AF821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not serious</w:t>
            </w:r>
          </w:p>
        </w:tc>
        <w:tc>
          <w:tcPr>
            <w:tcW w:w="434" w:type="pct"/>
            <w:tcBorders>
              <w:top w:val="single" w:sz="6" w:space="0" w:color="000000"/>
              <w:left w:val="single" w:sz="6" w:space="0" w:color="000000"/>
              <w:bottom w:val="single" w:sz="6" w:space="0" w:color="000000"/>
              <w:right w:val="single" w:sz="6" w:space="0" w:color="000000"/>
            </w:tcBorders>
            <w:hideMark/>
          </w:tcPr>
          <w:p w14:paraId="061FA03A" w14:textId="77777777" w:rsidR="00B44DF7" w:rsidRPr="00401884" w:rsidRDefault="00B44DF7" w:rsidP="00B44DF7">
            <w:pPr>
              <w:rPr>
                <w:rFonts w:ascii="Times New Roman" w:hAnsi="Times New Roman" w:cs="Times New Roman"/>
                <w:sz w:val="24"/>
                <w:szCs w:val="24"/>
              </w:rPr>
            </w:pPr>
            <w:proofErr w:type="spellStart"/>
            <w:r w:rsidRPr="00401884">
              <w:rPr>
                <w:rFonts w:ascii="Times New Roman" w:hAnsi="Times New Roman" w:cs="Times New Roman"/>
                <w:sz w:val="24"/>
                <w:szCs w:val="24"/>
              </w:rPr>
              <w:t>serious</w:t>
            </w:r>
            <w:r w:rsidRPr="00401884">
              <w:rPr>
                <w:rFonts w:ascii="Times New Roman" w:hAnsi="Times New Roman" w:cs="Times New Roman"/>
                <w:sz w:val="24"/>
                <w:szCs w:val="24"/>
                <w:vertAlign w:val="superscript"/>
              </w:rPr>
              <w:t>b</w:t>
            </w:r>
            <w:proofErr w:type="spellEnd"/>
          </w:p>
        </w:tc>
        <w:tc>
          <w:tcPr>
            <w:tcW w:w="467" w:type="pct"/>
            <w:tcBorders>
              <w:top w:val="single" w:sz="6" w:space="0" w:color="000000"/>
              <w:left w:val="single" w:sz="6" w:space="0" w:color="000000"/>
              <w:bottom w:val="single" w:sz="6" w:space="0" w:color="000000"/>
              <w:right w:val="single" w:sz="6" w:space="0" w:color="000000"/>
            </w:tcBorders>
            <w:hideMark/>
          </w:tcPr>
          <w:p w14:paraId="0652970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none</w:t>
            </w:r>
          </w:p>
        </w:tc>
        <w:tc>
          <w:tcPr>
            <w:tcW w:w="370" w:type="pct"/>
            <w:tcBorders>
              <w:top w:val="single" w:sz="6" w:space="0" w:color="000000"/>
              <w:left w:val="single" w:sz="6" w:space="0" w:color="000000"/>
              <w:bottom w:val="single" w:sz="6" w:space="0" w:color="000000"/>
              <w:right w:val="single" w:sz="6" w:space="0" w:color="000000"/>
            </w:tcBorders>
            <w:hideMark/>
          </w:tcPr>
          <w:p w14:paraId="2979C097" w14:textId="77777777" w:rsidR="00B44DF7" w:rsidRPr="00401884" w:rsidRDefault="00B44DF7" w:rsidP="00B44DF7">
            <w:pPr>
              <w:rPr>
                <w:rFonts w:ascii="Times New Roman" w:hAnsi="Times New Roman" w:cs="Times New Roman"/>
                <w:sz w:val="24"/>
                <w:szCs w:val="24"/>
              </w:rPr>
            </w:pPr>
            <w:r w:rsidRPr="00401884">
              <w:rPr>
                <w:rFonts w:ascii="Cambria Math" w:hAnsi="Cambria Math" w:cs="Cambria Math"/>
                <w:sz w:val="24"/>
                <w:szCs w:val="24"/>
              </w:rPr>
              <w:t>⨁⨁◯◯</w:t>
            </w:r>
            <w:r w:rsidRPr="00401884">
              <w:rPr>
                <w:rFonts w:ascii="Times New Roman" w:hAnsi="Times New Roman" w:cs="Times New Roman"/>
                <w:sz w:val="24"/>
                <w:szCs w:val="24"/>
              </w:rPr>
              <w:br/>
              <w:t>Low</w:t>
            </w:r>
          </w:p>
        </w:tc>
        <w:tc>
          <w:tcPr>
            <w:tcW w:w="413" w:type="pct"/>
            <w:tcBorders>
              <w:top w:val="single" w:sz="6" w:space="0" w:color="000000"/>
              <w:left w:val="single" w:sz="6" w:space="0" w:color="000000"/>
              <w:bottom w:val="single" w:sz="6" w:space="0" w:color="000000"/>
              <w:right w:val="single" w:sz="6" w:space="0" w:color="000000"/>
            </w:tcBorders>
            <w:hideMark/>
          </w:tcPr>
          <w:p w14:paraId="3EDE25CA" w14:textId="77777777" w:rsidR="00B44DF7" w:rsidRPr="00401884" w:rsidRDefault="00B44DF7" w:rsidP="00B44DF7">
            <w:pPr>
              <w:rPr>
                <w:rFonts w:ascii="Times New Roman" w:hAnsi="Times New Roman" w:cs="Times New Roman"/>
                <w:sz w:val="24"/>
                <w:szCs w:val="24"/>
              </w:rPr>
            </w:pPr>
          </w:p>
        </w:tc>
        <w:tc>
          <w:tcPr>
            <w:tcW w:w="347" w:type="pct"/>
            <w:tcBorders>
              <w:top w:val="single" w:sz="6" w:space="0" w:color="000000"/>
              <w:left w:val="single" w:sz="6" w:space="0" w:color="000000"/>
              <w:bottom w:val="single" w:sz="6" w:space="0" w:color="000000"/>
              <w:right w:val="single" w:sz="6" w:space="0" w:color="000000"/>
            </w:tcBorders>
            <w:hideMark/>
          </w:tcPr>
          <w:p w14:paraId="6B5C946A"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96</w:t>
            </w:r>
          </w:p>
        </w:tc>
        <w:tc>
          <w:tcPr>
            <w:tcW w:w="467" w:type="pct"/>
            <w:tcBorders>
              <w:top w:val="single" w:sz="6" w:space="0" w:color="000000"/>
              <w:left w:val="single" w:sz="6" w:space="0" w:color="000000"/>
              <w:bottom w:val="single" w:sz="6" w:space="0" w:color="000000"/>
              <w:right w:val="single" w:sz="6" w:space="0" w:color="000000"/>
            </w:tcBorders>
            <w:hideMark/>
          </w:tcPr>
          <w:p w14:paraId="59B6A523"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w:t>
            </w:r>
          </w:p>
        </w:tc>
        <w:tc>
          <w:tcPr>
            <w:tcW w:w="413" w:type="pct"/>
            <w:tcBorders>
              <w:top w:val="single" w:sz="6" w:space="0" w:color="000000"/>
              <w:left w:val="single" w:sz="6" w:space="0" w:color="000000"/>
              <w:bottom w:val="single" w:sz="6" w:space="0" w:color="000000"/>
              <w:right w:val="single" w:sz="6" w:space="0" w:color="000000"/>
            </w:tcBorders>
            <w:hideMark/>
          </w:tcPr>
          <w:p w14:paraId="4EEA08A7"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The mean connective tissue proportion (%) was </w:t>
            </w:r>
            <w:r w:rsidRPr="00401884">
              <w:rPr>
                <w:rFonts w:ascii="Times New Roman" w:hAnsi="Times New Roman" w:cs="Times New Roman"/>
                <w:b/>
                <w:bCs/>
                <w:sz w:val="24"/>
                <w:szCs w:val="24"/>
              </w:rPr>
              <w:t>0</w:t>
            </w:r>
          </w:p>
        </w:tc>
        <w:tc>
          <w:tcPr>
            <w:tcW w:w="449" w:type="pct"/>
            <w:tcBorders>
              <w:top w:val="single" w:sz="6" w:space="0" w:color="000000"/>
              <w:left w:val="single" w:sz="6" w:space="0" w:color="000000"/>
              <w:bottom w:val="single" w:sz="6" w:space="0" w:color="000000"/>
              <w:right w:val="single" w:sz="6" w:space="0" w:color="000000"/>
            </w:tcBorders>
            <w:hideMark/>
          </w:tcPr>
          <w:p w14:paraId="035ADFD0"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mean </w:t>
            </w:r>
            <w:r w:rsidRPr="00401884">
              <w:rPr>
                <w:rFonts w:ascii="Times New Roman" w:hAnsi="Times New Roman" w:cs="Times New Roman"/>
                <w:b/>
                <w:bCs/>
                <w:sz w:val="24"/>
                <w:szCs w:val="24"/>
              </w:rPr>
              <w:t>45.39 higher</w:t>
            </w:r>
            <w:r w:rsidRPr="00401884">
              <w:rPr>
                <w:rFonts w:ascii="Times New Roman" w:hAnsi="Times New Roman" w:cs="Times New Roman"/>
                <w:sz w:val="24"/>
                <w:szCs w:val="24"/>
              </w:rPr>
              <w:br/>
              <w:t>(38.48 higher to 52.31 higher)</w:t>
            </w:r>
          </w:p>
        </w:tc>
      </w:tr>
    </w:tbl>
    <w:p w14:paraId="57CC1CE6" w14:textId="28F36905" w:rsidR="00401884" w:rsidRPr="00080B0B" w:rsidRDefault="004A1B23" w:rsidP="0092302E">
      <w:pPr>
        <w:pStyle w:val="Caption"/>
        <w:ind w:firstLine="60"/>
        <w:rPr>
          <w:rFonts w:ascii="Times New Roman" w:hAnsi="Times New Roman" w:cs="Times New Roman"/>
          <w:i w:val="0"/>
          <w:iCs w:val="0"/>
          <w:sz w:val="24"/>
          <w:szCs w:val="24"/>
        </w:rPr>
      </w:pPr>
      <w:r w:rsidRPr="004A1B23">
        <w:rPr>
          <w:rFonts w:ascii="Times New Roman" w:hAnsi="Times New Roman" w:cs="Times New Roman"/>
          <w:b/>
          <w:bCs/>
          <w:i w:val="0"/>
          <w:iCs w:val="0"/>
          <w:color w:val="000000" w:themeColor="text1"/>
          <w:sz w:val="24"/>
          <w:szCs w:val="24"/>
        </w:rPr>
        <w:lastRenderedPageBreak/>
        <w:t xml:space="preserve">Additional file 1: </w:t>
      </w:r>
      <w:r w:rsidR="00401884" w:rsidRPr="00401884">
        <w:rPr>
          <w:rFonts w:ascii="Times New Roman" w:hAnsi="Times New Roman" w:cs="Times New Roman"/>
          <w:b/>
          <w:bCs/>
          <w:i w:val="0"/>
          <w:iCs w:val="0"/>
          <w:color w:val="000000" w:themeColor="text1"/>
          <w:sz w:val="24"/>
          <w:szCs w:val="24"/>
        </w:rPr>
        <w:t xml:space="preserve">Appendix Table </w:t>
      </w:r>
      <w:r w:rsidR="0092302E">
        <w:rPr>
          <w:rFonts w:ascii="Times New Roman" w:hAnsi="Times New Roman" w:cs="Times New Roman"/>
          <w:b/>
          <w:bCs/>
          <w:i w:val="0"/>
          <w:iCs w:val="0"/>
          <w:color w:val="000000" w:themeColor="text1"/>
          <w:sz w:val="24"/>
          <w:szCs w:val="24"/>
        </w:rPr>
        <w:t>3</w:t>
      </w:r>
      <w:r w:rsidR="00401884" w:rsidRPr="00401884">
        <w:rPr>
          <w:rFonts w:ascii="Times New Roman" w:hAnsi="Times New Roman" w:cs="Times New Roman"/>
          <w:i w:val="0"/>
          <w:iCs w:val="0"/>
          <w:color w:val="000000" w:themeColor="text1"/>
          <w:sz w:val="24"/>
          <w:szCs w:val="24"/>
        </w:rPr>
        <w:t xml:space="preserve"> </w:t>
      </w:r>
      <w:r w:rsidR="00401884" w:rsidRPr="00401884">
        <w:rPr>
          <w:rFonts w:ascii="Times New Roman" w:hAnsi="Times New Roman" w:cs="Times New Roman"/>
          <w:i w:val="0"/>
          <w:iCs w:val="0"/>
          <w:color w:val="000000" w:themeColor="text1"/>
          <w:sz w:val="24"/>
          <w:szCs w:val="24"/>
          <w:lang w:val="hu-HU"/>
        </w:rPr>
        <w:t xml:space="preserve">Changes in alveolar ridge width </w:t>
      </w:r>
      <w:r w:rsidR="00401884" w:rsidRPr="00401884">
        <w:rPr>
          <w:rFonts w:ascii="Times New Roman" w:hAnsi="Times New Roman" w:cs="Times New Roman"/>
          <w:i w:val="0"/>
          <w:iCs w:val="0"/>
          <w:color w:val="000000" w:themeColor="text1"/>
          <w:sz w:val="24"/>
          <w:szCs w:val="24"/>
          <w:lang w:val="en-GB"/>
        </w:rPr>
        <w:t xml:space="preserve">(mean ± standard deviation [SD]). Raw data of </w:t>
      </w:r>
      <w:proofErr w:type="spellStart"/>
      <w:r w:rsidR="00401884" w:rsidRPr="00401884">
        <w:rPr>
          <w:rFonts w:ascii="Times New Roman" w:hAnsi="Times New Roman" w:cs="Times New Roman"/>
          <w:i w:val="0"/>
          <w:iCs w:val="0"/>
          <w:color w:val="000000" w:themeColor="text1"/>
          <w:sz w:val="24"/>
          <w:szCs w:val="24"/>
          <w:lang w:val="en-GB"/>
        </w:rPr>
        <w:t>Radoczy</w:t>
      </w:r>
      <w:proofErr w:type="spellEnd"/>
      <w:r w:rsidR="00401884" w:rsidRPr="00401884">
        <w:rPr>
          <w:rFonts w:ascii="Times New Roman" w:hAnsi="Times New Roman" w:cs="Times New Roman"/>
          <w:i w:val="0"/>
          <w:iCs w:val="0"/>
          <w:color w:val="000000" w:themeColor="text1"/>
          <w:sz w:val="24"/>
          <w:szCs w:val="24"/>
          <w:lang w:val="en-GB"/>
        </w:rPr>
        <w:t xml:space="preserve"> </w:t>
      </w:r>
      <w:proofErr w:type="spellStart"/>
      <w:r w:rsidR="00401884" w:rsidRPr="00401884">
        <w:rPr>
          <w:rFonts w:ascii="Times New Roman" w:hAnsi="Times New Roman" w:cs="Times New Roman"/>
          <w:i w:val="0"/>
          <w:iCs w:val="0"/>
          <w:color w:val="000000" w:themeColor="text1"/>
          <w:sz w:val="24"/>
          <w:szCs w:val="24"/>
          <w:lang w:val="en-GB"/>
        </w:rPr>
        <w:t>Drajko</w:t>
      </w:r>
      <w:proofErr w:type="spellEnd"/>
      <w:r w:rsidR="00401884" w:rsidRPr="00401884">
        <w:rPr>
          <w:rFonts w:ascii="Times New Roman" w:hAnsi="Times New Roman" w:cs="Times New Roman"/>
          <w:i w:val="0"/>
          <w:iCs w:val="0"/>
          <w:color w:val="000000" w:themeColor="text1"/>
          <w:sz w:val="24"/>
          <w:szCs w:val="24"/>
          <w:lang w:val="en-GB"/>
        </w:rPr>
        <w:t xml:space="preserve"> et al. was also used (measurement at the </w:t>
      </w:r>
      <w:proofErr w:type="spellStart"/>
      <w:r w:rsidR="00401884" w:rsidRPr="00401884">
        <w:rPr>
          <w:rFonts w:ascii="Times New Roman" w:hAnsi="Times New Roman" w:cs="Times New Roman"/>
          <w:i w:val="0"/>
          <w:iCs w:val="0"/>
          <w:color w:val="000000" w:themeColor="text1"/>
          <w:sz w:val="24"/>
          <w:szCs w:val="24"/>
          <w:lang w:val="en-GB"/>
        </w:rPr>
        <w:t>crestal</w:t>
      </w:r>
      <w:proofErr w:type="spellEnd"/>
      <w:r w:rsidR="00401884" w:rsidRPr="00401884">
        <w:rPr>
          <w:rFonts w:ascii="Times New Roman" w:hAnsi="Times New Roman" w:cs="Times New Roman"/>
          <w:i w:val="0"/>
          <w:iCs w:val="0"/>
          <w:color w:val="000000" w:themeColor="text1"/>
          <w:sz w:val="24"/>
          <w:szCs w:val="24"/>
          <w:lang w:val="en-GB"/>
        </w:rPr>
        <w:t xml:space="preserve"> level).</w:t>
      </w:r>
    </w:p>
    <w:p w14:paraId="4C7D7753" w14:textId="77777777" w:rsidR="00401884" w:rsidRPr="00080B0B" w:rsidRDefault="00401884" w:rsidP="00401884">
      <w:pPr>
        <w:rPr>
          <w:rFonts w:ascii="Times New Roman" w:hAnsi="Times New Roman" w:cs="Times New Roman"/>
          <w:sz w:val="24"/>
          <w:szCs w:val="24"/>
          <w:lang w:val="en-US"/>
        </w:rPr>
      </w:pPr>
    </w:p>
    <w:tbl>
      <w:tblPr>
        <w:tblpPr w:leftFromText="180" w:rightFromText="180" w:vertAnchor="text" w:tblpY="36"/>
        <w:tblW w:w="8216" w:type="dxa"/>
        <w:tblLook w:val="04A0" w:firstRow="1" w:lastRow="0" w:firstColumn="1" w:lastColumn="0" w:noHBand="0" w:noVBand="1"/>
      </w:tblPr>
      <w:tblGrid>
        <w:gridCol w:w="3090"/>
        <w:gridCol w:w="2647"/>
        <w:gridCol w:w="2479"/>
      </w:tblGrid>
      <w:tr w:rsidR="00401884" w:rsidRPr="00080B0B" w14:paraId="2D031108" w14:textId="77777777" w:rsidTr="00097117">
        <w:trPr>
          <w:trHeight w:val="275"/>
        </w:trPr>
        <w:tc>
          <w:tcPr>
            <w:tcW w:w="8216" w:type="dxa"/>
            <w:gridSpan w:val="3"/>
            <w:tcBorders>
              <w:top w:val="nil"/>
              <w:left w:val="nil"/>
              <w:bottom w:val="nil"/>
              <w:right w:val="nil"/>
            </w:tcBorders>
            <w:shd w:val="clear" w:color="auto" w:fill="auto"/>
            <w:noWrap/>
            <w:vAlign w:val="bottom"/>
            <w:hideMark/>
          </w:tcPr>
          <w:p w14:paraId="045787D8"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Measurement at the </w:t>
            </w:r>
            <w:proofErr w:type="spellStart"/>
            <w:r w:rsidRPr="00080B0B">
              <w:rPr>
                <w:rFonts w:ascii="Times New Roman" w:eastAsia="Times New Roman" w:hAnsi="Times New Roman" w:cs="Times New Roman"/>
                <w:b/>
                <w:bCs/>
                <w:color w:val="000000"/>
                <w:sz w:val="24"/>
                <w:szCs w:val="24"/>
                <w:lang w:eastAsia="en-GB"/>
              </w:rPr>
              <w:t>crestal</w:t>
            </w:r>
            <w:proofErr w:type="spellEnd"/>
            <w:r w:rsidRPr="00080B0B">
              <w:rPr>
                <w:rFonts w:ascii="Times New Roman" w:eastAsia="Times New Roman" w:hAnsi="Times New Roman" w:cs="Times New Roman"/>
                <w:b/>
                <w:bCs/>
                <w:color w:val="000000"/>
                <w:sz w:val="24"/>
                <w:szCs w:val="24"/>
                <w:lang w:eastAsia="en-GB"/>
              </w:rPr>
              <w:t xml:space="preserve"> level</w:t>
            </w:r>
          </w:p>
        </w:tc>
      </w:tr>
      <w:tr w:rsidR="00401884" w:rsidRPr="00080B0B" w14:paraId="49DE8A99" w14:textId="77777777" w:rsidTr="00097117">
        <w:trPr>
          <w:trHeight w:val="267"/>
        </w:trPr>
        <w:tc>
          <w:tcPr>
            <w:tcW w:w="3090" w:type="dxa"/>
            <w:tcBorders>
              <w:top w:val="nil"/>
              <w:left w:val="nil"/>
              <w:bottom w:val="single" w:sz="12" w:space="0" w:color="auto"/>
              <w:right w:val="nil"/>
            </w:tcBorders>
            <w:shd w:val="clear" w:color="auto" w:fill="auto"/>
            <w:noWrap/>
            <w:vAlign w:val="center"/>
            <w:hideMark/>
          </w:tcPr>
          <w:p w14:paraId="69B13626"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Author and year</w:t>
            </w:r>
          </w:p>
        </w:tc>
        <w:tc>
          <w:tcPr>
            <w:tcW w:w="2647" w:type="dxa"/>
            <w:tcBorders>
              <w:top w:val="nil"/>
              <w:left w:val="nil"/>
              <w:bottom w:val="single" w:sz="12" w:space="0" w:color="auto"/>
              <w:right w:val="nil"/>
            </w:tcBorders>
            <w:shd w:val="clear" w:color="auto" w:fill="auto"/>
            <w:noWrap/>
            <w:vAlign w:val="center"/>
            <w:hideMark/>
          </w:tcPr>
          <w:p w14:paraId="4E772C44"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mean difference</w:t>
            </w:r>
          </w:p>
        </w:tc>
        <w:tc>
          <w:tcPr>
            <w:tcW w:w="2478" w:type="dxa"/>
            <w:tcBorders>
              <w:top w:val="nil"/>
              <w:left w:val="nil"/>
              <w:bottom w:val="single" w:sz="12" w:space="0" w:color="auto"/>
              <w:right w:val="nil"/>
            </w:tcBorders>
            <w:shd w:val="clear" w:color="auto" w:fill="auto"/>
            <w:noWrap/>
            <w:vAlign w:val="center"/>
            <w:hideMark/>
          </w:tcPr>
          <w:p w14:paraId="4CEA0C16"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SD </w:t>
            </w:r>
          </w:p>
        </w:tc>
      </w:tr>
      <w:tr w:rsidR="00401884" w:rsidRPr="00080B0B" w14:paraId="19E12E82" w14:textId="77777777" w:rsidTr="00097117">
        <w:trPr>
          <w:trHeight w:val="525"/>
        </w:trPr>
        <w:tc>
          <w:tcPr>
            <w:tcW w:w="3090" w:type="dxa"/>
            <w:tcBorders>
              <w:top w:val="nil"/>
              <w:left w:val="nil"/>
              <w:bottom w:val="single" w:sz="4" w:space="0" w:color="auto"/>
              <w:right w:val="nil"/>
            </w:tcBorders>
            <w:shd w:val="clear" w:color="auto" w:fill="auto"/>
            <w:vAlign w:val="center"/>
            <w:hideMark/>
          </w:tcPr>
          <w:p w14:paraId="7977EAEB"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I. W. Um et al.</w:t>
            </w:r>
            <w:r w:rsidRPr="00080B0B">
              <w:rPr>
                <w:rFonts w:ascii="Times New Roman" w:eastAsia="Times New Roman" w:hAnsi="Times New Roman" w:cs="Times New Roman"/>
                <w:b/>
                <w:bCs/>
                <w:color w:val="000000"/>
                <w:sz w:val="24"/>
                <w:szCs w:val="24"/>
                <w:lang w:eastAsia="en-GB"/>
              </w:rPr>
              <w:br/>
              <w:t>2019</w:t>
            </w:r>
          </w:p>
        </w:tc>
        <w:tc>
          <w:tcPr>
            <w:tcW w:w="2647" w:type="dxa"/>
            <w:tcBorders>
              <w:top w:val="nil"/>
              <w:left w:val="nil"/>
              <w:bottom w:val="single" w:sz="4" w:space="0" w:color="auto"/>
              <w:right w:val="nil"/>
            </w:tcBorders>
            <w:shd w:val="clear" w:color="auto" w:fill="auto"/>
            <w:noWrap/>
            <w:vAlign w:val="center"/>
            <w:hideMark/>
          </w:tcPr>
          <w:p w14:paraId="087C2353"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-0.67</w:t>
            </w:r>
          </w:p>
        </w:tc>
        <w:tc>
          <w:tcPr>
            <w:tcW w:w="2478" w:type="dxa"/>
            <w:tcBorders>
              <w:top w:val="nil"/>
              <w:left w:val="nil"/>
              <w:bottom w:val="single" w:sz="4" w:space="0" w:color="auto"/>
              <w:right w:val="nil"/>
            </w:tcBorders>
            <w:shd w:val="clear" w:color="auto" w:fill="auto"/>
            <w:noWrap/>
            <w:vAlign w:val="center"/>
            <w:hideMark/>
          </w:tcPr>
          <w:p w14:paraId="1D63D4A3"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0.89</w:t>
            </w:r>
          </w:p>
        </w:tc>
      </w:tr>
      <w:tr w:rsidR="00401884" w:rsidRPr="00080B0B" w14:paraId="41D4AF8A" w14:textId="77777777" w:rsidTr="00097117">
        <w:trPr>
          <w:trHeight w:val="516"/>
        </w:trPr>
        <w:tc>
          <w:tcPr>
            <w:tcW w:w="3090" w:type="dxa"/>
            <w:tcBorders>
              <w:top w:val="single" w:sz="4" w:space="0" w:color="auto"/>
              <w:left w:val="nil"/>
              <w:bottom w:val="single" w:sz="4" w:space="0" w:color="auto"/>
              <w:right w:val="nil"/>
            </w:tcBorders>
            <w:shd w:val="clear" w:color="auto" w:fill="auto"/>
            <w:vAlign w:val="center"/>
            <w:hideMark/>
          </w:tcPr>
          <w:p w14:paraId="6EC1FB07"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C. P. Joshi et al. </w:t>
            </w:r>
            <w:r w:rsidRPr="00080B0B">
              <w:rPr>
                <w:rFonts w:ascii="Times New Roman" w:eastAsia="Times New Roman" w:hAnsi="Times New Roman" w:cs="Times New Roman"/>
                <w:b/>
                <w:bCs/>
                <w:color w:val="000000"/>
                <w:sz w:val="24"/>
                <w:szCs w:val="24"/>
                <w:lang w:eastAsia="en-GB"/>
              </w:rPr>
              <w:br/>
              <w:t>2016</w:t>
            </w:r>
          </w:p>
        </w:tc>
        <w:tc>
          <w:tcPr>
            <w:tcW w:w="2647" w:type="dxa"/>
            <w:tcBorders>
              <w:top w:val="single" w:sz="4" w:space="0" w:color="auto"/>
              <w:left w:val="nil"/>
              <w:bottom w:val="single" w:sz="4" w:space="0" w:color="auto"/>
              <w:right w:val="nil"/>
            </w:tcBorders>
            <w:shd w:val="clear" w:color="auto" w:fill="auto"/>
            <w:noWrap/>
            <w:vAlign w:val="center"/>
            <w:hideMark/>
          </w:tcPr>
          <w:p w14:paraId="22C83887"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-0.15</w:t>
            </w:r>
          </w:p>
        </w:tc>
        <w:tc>
          <w:tcPr>
            <w:tcW w:w="2478" w:type="dxa"/>
            <w:tcBorders>
              <w:top w:val="single" w:sz="4" w:space="0" w:color="auto"/>
              <w:left w:val="nil"/>
              <w:bottom w:val="single" w:sz="4" w:space="0" w:color="auto"/>
              <w:right w:val="nil"/>
            </w:tcBorders>
            <w:shd w:val="clear" w:color="auto" w:fill="auto"/>
            <w:noWrap/>
            <w:vAlign w:val="center"/>
            <w:hideMark/>
          </w:tcPr>
          <w:p w14:paraId="762D459E"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0.08</w:t>
            </w:r>
          </w:p>
        </w:tc>
      </w:tr>
      <w:tr w:rsidR="00401884" w:rsidRPr="00080B0B" w14:paraId="5A4367A9" w14:textId="77777777" w:rsidTr="00097117">
        <w:trPr>
          <w:trHeight w:val="516"/>
        </w:trPr>
        <w:tc>
          <w:tcPr>
            <w:tcW w:w="3090" w:type="dxa"/>
            <w:tcBorders>
              <w:top w:val="nil"/>
              <w:left w:val="nil"/>
              <w:bottom w:val="single" w:sz="4" w:space="0" w:color="auto"/>
              <w:right w:val="nil"/>
            </w:tcBorders>
            <w:shd w:val="clear" w:color="auto" w:fill="auto"/>
            <w:vAlign w:val="center"/>
            <w:hideMark/>
          </w:tcPr>
          <w:p w14:paraId="175F25C4"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A. </w:t>
            </w:r>
            <w:proofErr w:type="spellStart"/>
            <w:r w:rsidRPr="00080B0B">
              <w:rPr>
                <w:rFonts w:ascii="Times New Roman" w:eastAsia="Times New Roman" w:hAnsi="Times New Roman" w:cs="Times New Roman"/>
                <w:b/>
                <w:bCs/>
                <w:color w:val="000000"/>
                <w:sz w:val="24"/>
                <w:szCs w:val="24"/>
                <w:lang w:eastAsia="en-GB"/>
              </w:rPr>
              <w:t>Dwivedi</w:t>
            </w:r>
            <w:proofErr w:type="spellEnd"/>
            <w:r w:rsidRPr="00080B0B">
              <w:rPr>
                <w:rFonts w:ascii="Times New Roman" w:eastAsia="Times New Roman" w:hAnsi="Times New Roman" w:cs="Times New Roman"/>
                <w:b/>
                <w:bCs/>
                <w:color w:val="000000"/>
                <w:sz w:val="24"/>
                <w:szCs w:val="24"/>
                <w:lang w:eastAsia="en-GB"/>
              </w:rPr>
              <w:t xml:space="preserve"> et al., </w:t>
            </w:r>
            <w:r w:rsidRPr="00080B0B">
              <w:rPr>
                <w:rFonts w:ascii="Times New Roman" w:eastAsia="Times New Roman" w:hAnsi="Times New Roman" w:cs="Times New Roman"/>
                <w:b/>
                <w:bCs/>
                <w:color w:val="000000"/>
                <w:sz w:val="24"/>
                <w:szCs w:val="24"/>
                <w:lang w:eastAsia="en-GB"/>
              </w:rPr>
              <w:br/>
              <w:t>2020</w:t>
            </w:r>
          </w:p>
        </w:tc>
        <w:tc>
          <w:tcPr>
            <w:tcW w:w="2647" w:type="dxa"/>
            <w:tcBorders>
              <w:top w:val="nil"/>
              <w:left w:val="nil"/>
              <w:bottom w:val="single" w:sz="4" w:space="0" w:color="auto"/>
              <w:right w:val="nil"/>
            </w:tcBorders>
            <w:shd w:val="clear" w:color="auto" w:fill="auto"/>
            <w:noWrap/>
            <w:vAlign w:val="center"/>
            <w:hideMark/>
          </w:tcPr>
          <w:p w14:paraId="38388182"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-0.68</w:t>
            </w:r>
          </w:p>
        </w:tc>
        <w:tc>
          <w:tcPr>
            <w:tcW w:w="2478" w:type="dxa"/>
            <w:tcBorders>
              <w:top w:val="nil"/>
              <w:left w:val="nil"/>
              <w:bottom w:val="single" w:sz="4" w:space="0" w:color="auto"/>
              <w:right w:val="nil"/>
            </w:tcBorders>
            <w:shd w:val="clear" w:color="auto" w:fill="auto"/>
            <w:noWrap/>
            <w:vAlign w:val="center"/>
            <w:hideMark/>
          </w:tcPr>
          <w:p w14:paraId="6ACD1FA2"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1.05</w:t>
            </w:r>
          </w:p>
        </w:tc>
      </w:tr>
      <w:tr w:rsidR="00401884" w:rsidRPr="00080B0B" w14:paraId="34617FC2" w14:textId="77777777" w:rsidTr="00097117">
        <w:trPr>
          <w:trHeight w:val="774"/>
        </w:trPr>
        <w:tc>
          <w:tcPr>
            <w:tcW w:w="3090" w:type="dxa"/>
            <w:tcBorders>
              <w:top w:val="nil"/>
              <w:left w:val="nil"/>
              <w:bottom w:val="single" w:sz="4" w:space="0" w:color="auto"/>
              <w:right w:val="nil"/>
            </w:tcBorders>
            <w:shd w:val="clear" w:color="auto" w:fill="auto"/>
            <w:vAlign w:val="center"/>
            <w:hideMark/>
          </w:tcPr>
          <w:p w14:paraId="66ECA81E"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Z. </w:t>
            </w:r>
            <w:proofErr w:type="spellStart"/>
            <w:r w:rsidRPr="00080B0B">
              <w:rPr>
                <w:rFonts w:ascii="Times New Roman" w:eastAsia="Times New Roman" w:hAnsi="Times New Roman" w:cs="Times New Roman"/>
                <w:b/>
                <w:bCs/>
                <w:color w:val="000000"/>
                <w:sz w:val="24"/>
                <w:szCs w:val="24"/>
                <w:lang w:eastAsia="en-GB"/>
              </w:rPr>
              <w:t>Radoczy-Drajko</w:t>
            </w:r>
            <w:proofErr w:type="spellEnd"/>
            <w:r w:rsidRPr="00080B0B">
              <w:rPr>
                <w:rFonts w:ascii="Times New Roman" w:eastAsia="Times New Roman" w:hAnsi="Times New Roman" w:cs="Times New Roman"/>
                <w:b/>
                <w:bCs/>
                <w:color w:val="000000"/>
                <w:sz w:val="24"/>
                <w:szCs w:val="24"/>
                <w:lang w:eastAsia="en-GB"/>
              </w:rPr>
              <w:t xml:space="preserve"> et al. </w:t>
            </w:r>
            <w:r w:rsidRPr="00080B0B">
              <w:rPr>
                <w:rFonts w:ascii="Times New Roman" w:eastAsia="Times New Roman" w:hAnsi="Times New Roman" w:cs="Times New Roman"/>
                <w:b/>
                <w:bCs/>
                <w:color w:val="000000"/>
                <w:sz w:val="24"/>
                <w:szCs w:val="24"/>
                <w:lang w:eastAsia="en-GB"/>
              </w:rPr>
              <w:br/>
              <w:t>2021</w:t>
            </w:r>
          </w:p>
        </w:tc>
        <w:tc>
          <w:tcPr>
            <w:tcW w:w="2647" w:type="dxa"/>
            <w:tcBorders>
              <w:top w:val="nil"/>
              <w:left w:val="nil"/>
              <w:bottom w:val="single" w:sz="4" w:space="0" w:color="auto"/>
              <w:right w:val="nil"/>
            </w:tcBorders>
            <w:shd w:val="clear" w:color="auto" w:fill="auto"/>
            <w:noWrap/>
            <w:vAlign w:val="center"/>
            <w:hideMark/>
          </w:tcPr>
          <w:p w14:paraId="1FFA6C0E"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-0.69</w:t>
            </w:r>
          </w:p>
        </w:tc>
        <w:tc>
          <w:tcPr>
            <w:tcW w:w="2478" w:type="dxa"/>
            <w:tcBorders>
              <w:top w:val="nil"/>
              <w:left w:val="nil"/>
              <w:bottom w:val="single" w:sz="4" w:space="0" w:color="auto"/>
              <w:right w:val="nil"/>
            </w:tcBorders>
            <w:shd w:val="clear" w:color="auto" w:fill="auto"/>
            <w:noWrap/>
            <w:vAlign w:val="center"/>
            <w:hideMark/>
          </w:tcPr>
          <w:p w14:paraId="651010CD"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1.64</w:t>
            </w:r>
          </w:p>
        </w:tc>
      </w:tr>
      <w:tr w:rsidR="00401884" w:rsidRPr="00080B0B" w14:paraId="314E6207" w14:textId="77777777" w:rsidTr="00097117">
        <w:trPr>
          <w:trHeight w:val="605"/>
        </w:trPr>
        <w:tc>
          <w:tcPr>
            <w:tcW w:w="3090" w:type="dxa"/>
            <w:tcBorders>
              <w:top w:val="nil"/>
              <w:left w:val="nil"/>
              <w:bottom w:val="single" w:sz="12" w:space="0" w:color="auto"/>
              <w:right w:val="nil"/>
            </w:tcBorders>
            <w:shd w:val="clear" w:color="auto" w:fill="auto"/>
            <w:noWrap/>
            <w:vAlign w:val="center"/>
            <w:hideMark/>
          </w:tcPr>
          <w:p w14:paraId="1B6F15E9"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effect size</w:t>
            </w:r>
          </w:p>
        </w:tc>
        <w:tc>
          <w:tcPr>
            <w:tcW w:w="2647" w:type="dxa"/>
            <w:tcBorders>
              <w:top w:val="nil"/>
              <w:left w:val="nil"/>
              <w:bottom w:val="single" w:sz="12" w:space="0" w:color="auto"/>
              <w:right w:val="nil"/>
            </w:tcBorders>
            <w:shd w:val="clear" w:color="auto" w:fill="auto"/>
            <w:noWrap/>
            <w:vAlign w:val="center"/>
            <w:hideMark/>
          </w:tcPr>
          <w:p w14:paraId="0FA85CB8"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- 0.46</w:t>
            </w:r>
          </w:p>
        </w:tc>
        <w:tc>
          <w:tcPr>
            <w:tcW w:w="2478" w:type="dxa"/>
            <w:tcBorders>
              <w:top w:val="nil"/>
              <w:left w:val="nil"/>
              <w:bottom w:val="single" w:sz="12" w:space="0" w:color="auto"/>
              <w:right w:val="nil"/>
            </w:tcBorders>
            <w:shd w:val="clear" w:color="auto" w:fill="auto"/>
            <w:noWrap/>
            <w:vAlign w:val="center"/>
            <w:hideMark/>
          </w:tcPr>
          <w:p w14:paraId="48F9C6DA"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CI [-0.81; -0.10]</w:t>
            </w:r>
          </w:p>
        </w:tc>
      </w:tr>
      <w:tr w:rsidR="00401884" w:rsidRPr="00080B0B" w14:paraId="4EA9DF48" w14:textId="77777777" w:rsidTr="00097117">
        <w:trPr>
          <w:trHeight w:val="267"/>
        </w:trPr>
        <w:tc>
          <w:tcPr>
            <w:tcW w:w="3090" w:type="dxa"/>
            <w:tcBorders>
              <w:top w:val="nil"/>
              <w:left w:val="nil"/>
              <w:bottom w:val="nil"/>
              <w:right w:val="nil"/>
            </w:tcBorders>
            <w:shd w:val="clear" w:color="auto" w:fill="auto"/>
            <w:noWrap/>
            <w:vAlign w:val="center"/>
            <w:hideMark/>
          </w:tcPr>
          <w:p w14:paraId="27136F4D"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w:t>
            </w:r>
          </w:p>
        </w:tc>
        <w:tc>
          <w:tcPr>
            <w:tcW w:w="2647" w:type="dxa"/>
            <w:tcBorders>
              <w:top w:val="nil"/>
              <w:left w:val="nil"/>
              <w:bottom w:val="nil"/>
              <w:right w:val="nil"/>
            </w:tcBorders>
            <w:shd w:val="clear" w:color="auto" w:fill="auto"/>
            <w:noWrap/>
            <w:vAlign w:val="center"/>
            <w:hideMark/>
          </w:tcPr>
          <w:p w14:paraId="2FA19EC3"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p>
        </w:tc>
        <w:tc>
          <w:tcPr>
            <w:tcW w:w="2478" w:type="dxa"/>
            <w:tcBorders>
              <w:top w:val="nil"/>
              <w:left w:val="nil"/>
              <w:bottom w:val="nil"/>
              <w:right w:val="nil"/>
            </w:tcBorders>
            <w:shd w:val="clear" w:color="auto" w:fill="auto"/>
            <w:noWrap/>
            <w:vAlign w:val="center"/>
            <w:hideMark/>
          </w:tcPr>
          <w:p w14:paraId="665464BF" w14:textId="77777777" w:rsidR="00401884" w:rsidRPr="00080B0B" w:rsidRDefault="00401884" w:rsidP="00097117">
            <w:pPr>
              <w:spacing w:after="0" w:line="240" w:lineRule="auto"/>
              <w:jc w:val="center"/>
              <w:rPr>
                <w:rFonts w:ascii="Times New Roman" w:eastAsia="Times New Roman" w:hAnsi="Times New Roman" w:cs="Times New Roman"/>
                <w:sz w:val="24"/>
                <w:szCs w:val="24"/>
                <w:lang w:eastAsia="en-GB"/>
              </w:rPr>
            </w:pPr>
          </w:p>
        </w:tc>
      </w:tr>
      <w:tr w:rsidR="00401884" w:rsidRPr="00080B0B" w14:paraId="063A3111" w14:textId="77777777" w:rsidTr="00097117">
        <w:trPr>
          <w:trHeight w:val="258"/>
        </w:trPr>
        <w:tc>
          <w:tcPr>
            <w:tcW w:w="8216" w:type="dxa"/>
            <w:gridSpan w:val="3"/>
            <w:tcBorders>
              <w:top w:val="nil"/>
              <w:left w:val="nil"/>
              <w:bottom w:val="single" w:sz="4" w:space="0" w:color="auto"/>
              <w:right w:val="nil"/>
            </w:tcBorders>
            <w:shd w:val="clear" w:color="auto" w:fill="auto"/>
            <w:vAlign w:val="center"/>
            <w:hideMark/>
          </w:tcPr>
          <w:p w14:paraId="65E7BC93"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Measurement 1 mm apical to the </w:t>
            </w:r>
            <w:proofErr w:type="spellStart"/>
            <w:r w:rsidRPr="00080B0B">
              <w:rPr>
                <w:rFonts w:ascii="Times New Roman" w:eastAsia="Times New Roman" w:hAnsi="Times New Roman" w:cs="Times New Roman"/>
                <w:b/>
                <w:bCs/>
                <w:color w:val="000000"/>
                <w:sz w:val="24"/>
                <w:szCs w:val="24"/>
                <w:lang w:eastAsia="en-GB"/>
              </w:rPr>
              <w:t>crestal</w:t>
            </w:r>
            <w:proofErr w:type="spellEnd"/>
            <w:r w:rsidRPr="00080B0B">
              <w:rPr>
                <w:rFonts w:ascii="Times New Roman" w:eastAsia="Times New Roman" w:hAnsi="Times New Roman" w:cs="Times New Roman"/>
                <w:b/>
                <w:bCs/>
                <w:color w:val="000000"/>
                <w:sz w:val="24"/>
                <w:szCs w:val="24"/>
                <w:lang w:eastAsia="en-GB"/>
              </w:rPr>
              <w:t xml:space="preserve"> level</w:t>
            </w:r>
          </w:p>
        </w:tc>
      </w:tr>
      <w:tr w:rsidR="00401884" w:rsidRPr="00080B0B" w14:paraId="06D223A4" w14:textId="77777777" w:rsidTr="00097117">
        <w:trPr>
          <w:trHeight w:val="774"/>
        </w:trPr>
        <w:tc>
          <w:tcPr>
            <w:tcW w:w="3090" w:type="dxa"/>
            <w:tcBorders>
              <w:top w:val="nil"/>
              <w:left w:val="nil"/>
              <w:bottom w:val="single" w:sz="4" w:space="0" w:color="auto"/>
              <w:right w:val="nil"/>
            </w:tcBorders>
            <w:shd w:val="clear" w:color="auto" w:fill="auto"/>
            <w:vAlign w:val="center"/>
            <w:hideMark/>
          </w:tcPr>
          <w:p w14:paraId="01790E9B"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Z. </w:t>
            </w:r>
            <w:proofErr w:type="spellStart"/>
            <w:r w:rsidRPr="00080B0B">
              <w:rPr>
                <w:rFonts w:ascii="Times New Roman" w:eastAsia="Times New Roman" w:hAnsi="Times New Roman" w:cs="Times New Roman"/>
                <w:b/>
                <w:bCs/>
                <w:color w:val="000000"/>
                <w:sz w:val="24"/>
                <w:szCs w:val="24"/>
                <w:lang w:eastAsia="en-GB"/>
              </w:rPr>
              <w:t>Radoczy-Drajko</w:t>
            </w:r>
            <w:proofErr w:type="spellEnd"/>
            <w:r w:rsidRPr="00080B0B">
              <w:rPr>
                <w:rFonts w:ascii="Times New Roman" w:eastAsia="Times New Roman" w:hAnsi="Times New Roman" w:cs="Times New Roman"/>
                <w:b/>
                <w:bCs/>
                <w:color w:val="000000"/>
                <w:sz w:val="24"/>
                <w:szCs w:val="24"/>
                <w:lang w:eastAsia="en-GB"/>
              </w:rPr>
              <w:t xml:space="preserve"> et al. </w:t>
            </w:r>
            <w:r w:rsidRPr="00080B0B">
              <w:rPr>
                <w:rFonts w:ascii="Times New Roman" w:eastAsia="Times New Roman" w:hAnsi="Times New Roman" w:cs="Times New Roman"/>
                <w:b/>
                <w:bCs/>
                <w:color w:val="000000"/>
                <w:sz w:val="24"/>
                <w:szCs w:val="24"/>
                <w:lang w:eastAsia="en-GB"/>
              </w:rPr>
              <w:br/>
              <w:t>2021</w:t>
            </w:r>
          </w:p>
        </w:tc>
        <w:tc>
          <w:tcPr>
            <w:tcW w:w="2647" w:type="dxa"/>
            <w:tcBorders>
              <w:top w:val="nil"/>
              <w:left w:val="nil"/>
              <w:bottom w:val="single" w:sz="4" w:space="0" w:color="auto"/>
              <w:right w:val="nil"/>
            </w:tcBorders>
            <w:shd w:val="clear" w:color="auto" w:fill="auto"/>
            <w:noWrap/>
            <w:vAlign w:val="center"/>
            <w:hideMark/>
          </w:tcPr>
          <w:p w14:paraId="1C31F0FB"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-1.68</w:t>
            </w:r>
          </w:p>
        </w:tc>
        <w:tc>
          <w:tcPr>
            <w:tcW w:w="2478" w:type="dxa"/>
            <w:tcBorders>
              <w:top w:val="nil"/>
              <w:left w:val="nil"/>
              <w:bottom w:val="single" w:sz="4" w:space="0" w:color="auto"/>
              <w:right w:val="nil"/>
            </w:tcBorders>
            <w:shd w:val="clear" w:color="auto" w:fill="auto"/>
            <w:noWrap/>
            <w:vAlign w:val="center"/>
            <w:hideMark/>
          </w:tcPr>
          <w:p w14:paraId="42F68827"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1.60</w:t>
            </w:r>
          </w:p>
        </w:tc>
      </w:tr>
      <w:tr w:rsidR="00401884" w:rsidRPr="00080B0B" w14:paraId="3DA84B25" w14:textId="77777777" w:rsidTr="00097117">
        <w:trPr>
          <w:trHeight w:val="516"/>
        </w:trPr>
        <w:tc>
          <w:tcPr>
            <w:tcW w:w="3090" w:type="dxa"/>
            <w:tcBorders>
              <w:top w:val="nil"/>
              <w:left w:val="nil"/>
              <w:bottom w:val="single" w:sz="4" w:space="0" w:color="auto"/>
              <w:right w:val="nil"/>
            </w:tcBorders>
            <w:shd w:val="clear" w:color="auto" w:fill="auto"/>
            <w:vAlign w:val="center"/>
            <w:hideMark/>
          </w:tcPr>
          <w:p w14:paraId="46ADEFBE"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A. </w:t>
            </w:r>
            <w:proofErr w:type="spellStart"/>
            <w:r w:rsidRPr="00080B0B">
              <w:rPr>
                <w:rFonts w:ascii="Times New Roman" w:eastAsia="Times New Roman" w:hAnsi="Times New Roman" w:cs="Times New Roman"/>
                <w:b/>
                <w:bCs/>
                <w:color w:val="000000"/>
                <w:sz w:val="24"/>
                <w:szCs w:val="24"/>
                <w:lang w:eastAsia="en-GB"/>
              </w:rPr>
              <w:t>Elfana</w:t>
            </w:r>
            <w:proofErr w:type="spellEnd"/>
            <w:r w:rsidRPr="00080B0B">
              <w:rPr>
                <w:rFonts w:ascii="Times New Roman" w:eastAsia="Times New Roman" w:hAnsi="Times New Roman" w:cs="Times New Roman"/>
                <w:b/>
                <w:bCs/>
                <w:color w:val="000000"/>
                <w:sz w:val="24"/>
                <w:szCs w:val="24"/>
                <w:lang w:eastAsia="en-GB"/>
              </w:rPr>
              <w:t xml:space="preserve"> et al., </w:t>
            </w:r>
            <w:r w:rsidRPr="00080B0B">
              <w:rPr>
                <w:rFonts w:ascii="Times New Roman" w:eastAsia="Times New Roman" w:hAnsi="Times New Roman" w:cs="Times New Roman"/>
                <w:b/>
                <w:bCs/>
                <w:color w:val="000000"/>
                <w:sz w:val="24"/>
                <w:szCs w:val="24"/>
                <w:lang w:eastAsia="en-GB"/>
              </w:rPr>
              <w:br/>
              <w:t>2021</w:t>
            </w:r>
          </w:p>
        </w:tc>
        <w:tc>
          <w:tcPr>
            <w:tcW w:w="2647" w:type="dxa"/>
            <w:tcBorders>
              <w:top w:val="nil"/>
              <w:left w:val="nil"/>
              <w:bottom w:val="single" w:sz="4" w:space="0" w:color="auto"/>
              <w:right w:val="nil"/>
            </w:tcBorders>
            <w:shd w:val="clear" w:color="auto" w:fill="auto"/>
            <w:noWrap/>
            <w:vAlign w:val="center"/>
            <w:hideMark/>
          </w:tcPr>
          <w:p w14:paraId="19D32976"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-1.02</w:t>
            </w:r>
          </w:p>
        </w:tc>
        <w:tc>
          <w:tcPr>
            <w:tcW w:w="2478" w:type="dxa"/>
            <w:tcBorders>
              <w:top w:val="nil"/>
              <w:left w:val="nil"/>
              <w:bottom w:val="single" w:sz="4" w:space="0" w:color="auto"/>
              <w:right w:val="nil"/>
            </w:tcBorders>
            <w:shd w:val="clear" w:color="auto" w:fill="auto"/>
            <w:noWrap/>
            <w:vAlign w:val="center"/>
            <w:hideMark/>
          </w:tcPr>
          <w:p w14:paraId="54EA5AC0"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0.45</w:t>
            </w:r>
          </w:p>
        </w:tc>
      </w:tr>
      <w:tr w:rsidR="00401884" w:rsidRPr="00080B0B" w14:paraId="1BED321D" w14:textId="77777777" w:rsidTr="00097117">
        <w:trPr>
          <w:trHeight w:val="516"/>
        </w:trPr>
        <w:tc>
          <w:tcPr>
            <w:tcW w:w="3090" w:type="dxa"/>
            <w:tcBorders>
              <w:top w:val="nil"/>
              <w:left w:val="nil"/>
              <w:bottom w:val="single" w:sz="4" w:space="0" w:color="auto"/>
              <w:right w:val="nil"/>
            </w:tcBorders>
            <w:shd w:val="clear" w:color="auto" w:fill="auto"/>
            <w:vAlign w:val="center"/>
            <w:hideMark/>
          </w:tcPr>
          <w:p w14:paraId="7C57AAA5"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 xml:space="preserve">A. </w:t>
            </w:r>
            <w:proofErr w:type="spellStart"/>
            <w:r w:rsidRPr="00080B0B">
              <w:rPr>
                <w:rFonts w:ascii="Times New Roman" w:eastAsia="Times New Roman" w:hAnsi="Times New Roman" w:cs="Times New Roman"/>
                <w:b/>
                <w:bCs/>
                <w:color w:val="000000"/>
                <w:sz w:val="24"/>
                <w:szCs w:val="24"/>
                <w:lang w:eastAsia="en-GB"/>
              </w:rPr>
              <w:t>Elfana</w:t>
            </w:r>
            <w:proofErr w:type="spellEnd"/>
            <w:r w:rsidRPr="00080B0B">
              <w:rPr>
                <w:rFonts w:ascii="Times New Roman" w:eastAsia="Times New Roman" w:hAnsi="Times New Roman" w:cs="Times New Roman"/>
                <w:b/>
                <w:bCs/>
                <w:color w:val="000000"/>
                <w:sz w:val="24"/>
                <w:szCs w:val="24"/>
                <w:lang w:eastAsia="en-GB"/>
              </w:rPr>
              <w:t xml:space="preserve"> et al., </w:t>
            </w:r>
            <w:r w:rsidRPr="00080B0B">
              <w:rPr>
                <w:rFonts w:ascii="Times New Roman" w:eastAsia="Times New Roman" w:hAnsi="Times New Roman" w:cs="Times New Roman"/>
                <w:b/>
                <w:bCs/>
                <w:color w:val="000000"/>
                <w:sz w:val="24"/>
                <w:szCs w:val="24"/>
                <w:lang w:eastAsia="en-GB"/>
              </w:rPr>
              <w:br/>
              <w:t>2021</w:t>
            </w:r>
          </w:p>
        </w:tc>
        <w:tc>
          <w:tcPr>
            <w:tcW w:w="2647" w:type="dxa"/>
            <w:tcBorders>
              <w:top w:val="nil"/>
              <w:left w:val="nil"/>
              <w:bottom w:val="single" w:sz="4" w:space="0" w:color="auto"/>
              <w:right w:val="nil"/>
            </w:tcBorders>
            <w:shd w:val="clear" w:color="auto" w:fill="auto"/>
            <w:noWrap/>
            <w:vAlign w:val="center"/>
            <w:hideMark/>
          </w:tcPr>
          <w:p w14:paraId="4A3A84D6"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-0.85</w:t>
            </w:r>
          </w:p>
        </w:tc>
        <w:tc>
          <w:tcPr>
            <w:tcW w:w="2478" w:type="dxa"/>
            <w:tcBorders>
              <w:top w:val="nil"/>
              <w:left w:val="nil"/>
              <w:bottom w:val="single" w:sz="4" w:space="0" w:color="auto"/>
              <w:right w:val="nil"/>
            </w:tcBorders>
            <w:shd w:val="clear" w:color="auto" w:fill="auto"/>
            <w:noWrap/>
            <w:vAlign w:val="center"/>
            <w:hideMark/>
          </w:tcPr>
          <w:p w14:paraId="4206DA30"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0.45</w:t>
            </w:r>
          </w:p>
        </w:tc>
      </w:tr>
      <w:tr w:rsidR="00401884" w:rsidRPr="00080B0B" w14:paraId="796D8CAE" w14:textId="77777777" w:rsidTr="00097117">
        <w:trPr>
          <w:trHeight w:val="516"/>
        </w:trPr>
        <w:tc>
          <w:tcPr>
            <w:tcW w:w="3090" w:type="dxa"/>
            <w:tcBorders>
              <w:top w:val="nil"/>
              <w:left w:val="nil"/>
              <w:bottom w:val="single" w:sz="4" w:space="0" w:color="auto"/>
              <w:right w:val="nil"/>
            </w:tcBorders>
            <w:shd w:val="clear" w:color="auto" w:fill="auto"/>
            <w:vAlign w:val="center"/>
            <w:hideMark/>
          </w:tcPr>
          <w:p w14:paraId="75A851BB"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val="de-AT" w:eastAsia="en-GB"/>
              </w:rPr>
            </w:pPr>
            <w:r w:rsidRPr="00080B0B">
              <w:rPr>
                <w:rFonts w:ascii="Times New Roman" w:eastAsia="Times New Roman" w:hAnsi="Times New Roman" w:cs="Times New Roman"/>
                <w:b/>
                <w:bCs/>
                <w:color w:val="000000"/>
                <w:sz w:val="24"/>
                <w:szCs w:val="24"/>
                <w:lang w:val="de-AT" w:eastAsia="en-GB"/>
              </w:rPr>
              <w:t>G. U. Jung et al.,</w:t>
            </w:r>
            <w:r w:rsidRPr="00080B0B">
              <w:rPr>
                <w:rFonts w:ascii="Times New Roman" w:eastAsia="Times New Roman" w:hAnsi="Times New Roman" w:cs="Times New Roman"/>
                <w:b/>
                <w:bCs/>
                <w:color w:val="000000"/>
                <w:sz w:val="24"/>
                <w:szCs w:val="24"/>
                <w:lang w:val="de-AT" w:eastAsia="en-GB"/>
              </w:rPr>
              <w:br/>
              <w:t xml:space="preserve">2018 </w:t>
            </w:r>
          </w:p>
        </w:tc>
        <w:tc>
          <w:tcPr>
            <w:tcW w:w="2647" w:type="dxa"/>
            <w:tcBorders>
              <w:top w:val="nil"/>
              <w:left w:val="nil"/>
              <w:bottom w:val="single" w:sz="4" w:space="0" w:color="auto"/>
              <w:right w:val="nil"/>
            </w:tcBorders>
            <w:shd w:val="clear" w:color="auto" w:fill="auto"/>
            <w:noWrap/>
            <w:vAlign w:val="center"/>
            <w:hideMark/>
          </w:tcPr>
          <w:p w14:paraId="555472E9"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-0.78</w:t>
            </w:r>
          </w:p>
        </w:tc>
        <w:tc>
          <w:tcPr>
            <w:tcW w:w="2478" w:type="dxa"/>
            <w:tcBorders>
              <w:top w:val="nil"/>
              <w:left w:val="nil"/>
              <w:bottom w:val="single" w:sz="4" w:space="0" w:color="auto"/>
              <w:right w:val="nil"/>
            </w:tcBorders>
            <w:shd w:val="clear" w:color="auto" w:fill="auto"/>
            <w:noWrap/>
            <w:vAlign w:val="center"/>
            <w:hideMark/>
          </w:tcPr>
          <w:p w14:paraId="23C937C7" w14:textId="77777777" w:rsidR="00401884" w:rsidRPr="00080B0B" w:rsidRDefault="00401884" w:rsidP="00097117">
            <w:pPr>
              <w:spacing w:after="0" w:line="240" w:lineRule="auto"/>
              <w:jc w:val="center"/>
              <w:rPr>
                <w:rFonts w:ascii="Times New Roman" w:eastAsia="Times New Roman" w:hAnsi="Times New Roman" w:cs="Times New Roman"/>
                <w:color w:val="000000"/>
                <w:sz w:val="24"/>
                <w:szCs w:val="24"/>
                <w:lang w:eastAsia="en-GB"/>
              </w:rPr>
            </w:pPr>
            <w:r w:rsidRPr="00080B0B">
              <w:rPr>
                <w:rFonts w:ascii="Times New Roman" w:eastAsia="Times New Roman" w:hAnsi="Times New Roman" w:cs="Times New Roman"/>
                <w:color w:val="000000"/>
                <w:sz w:val="24"/>
                <w:szCs w:val="24"/>
                <w:lang w:eastAsia="en-GB"/>
              </w:rPr>
              <w:t>1.69</w:t>
            </w:r>
          </w:p>
        </w:tc>
      </w:tr>
      <w:tr w:rsidR="00401884" w:rsidRPr="00080B0B" w14:paraId="50D8C009" w14:textId="77777777" w:rsidTr="00097117">
        <w:trPr>
          <w:trHeight w:val="489"/>
        </w:trPr>
        <w:tc>
          <w:tcPr>
            <w:tcW w:w="3090" w:type="dxa"/>
            <w:tcBorders>
              <w:top w:val="nil"/>
              <w:left w:val="nil"/>
              <w:bottom w:val="single" w:sz="12" w:space="0" w:color="auto"/>
              <w:right w:val="nil"/>
            </w:tcBorders>
            <w:shd w:val="clear" w:color="auto" w:fill="auto"/>
            <w:noWrap/>
            <w:vAlign w:val="center"/>
            <w:hideMark/>
          </w:tcPr>
          <w:p w14:paraId="7ABAE2AC"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effect size</w:t>
            </w:r>
          </w:p>
        </w:tc>
        <w:tc>
          <w:tcPr>
            <w:tcW w:w="2647" w:type="dxa"/>
            <w:tcBorders>
              <w:top w:val="nil"/>
              <w:left w:val="nil"/>
              <w:bottom w:val="single" w:sz="12" w:space="0" w:color="auto"/>
              <w:right w:val="nil"/>
            </w:tcBorders>
            <w:shd w:val="clear" w:color="auto" w:fill="auto"/>
            <w:noWrap/>
            <w:vAlign w:val="center"/>
            <w:hideMark/>
          </w:tcPr>
          <w:p w14:paraId="6E96DD3D"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val="en-US" w:eastAsia="en-GB"/>
              </w:rPr>
              <w:t>-0.95 mm</w:t>
            </w:r>
          </w:p>
        </w:tc>
        <w:tc>
          <w:tcPr>
            <w:tcW w:w="2478" w:type="dxa"/>
            <w:tcBorders>
              <w:top w:val="nil"/>
              <w:left w:val="nil"/>
              <w:bottom w:val="single" w:sz="12" w:space="0" w:color="auto"/>
              <w:right w:val="nil"/>
            </w:tcBorders>
            <w:shd w:val="clear" w:color="auto" w:fill="auto"/>
            <w:noWrap/>
            <w:vAlign w:val="center"/>
            <w:hideMark/>
          </w:tcPr>
          <w:p w14:paraId="2CB257A3"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CI [-1.15; -0.76]</w:t>
            </w:r>
          </w:p>
        </w:tc>
      </w:tr>
      <w:tr w:rsidR="00401884" w:rsidRPr="00080B0B" w14:paraId="3BDA8C9B" w14:textId="77777777" w:rsidTr="00097117">
        <w:trPr>
          <w:trHeight w:val="418"/>
        </w:trPr>
        <w:tc>
          <w:tcPr>
            <w:tcW w:w="3090" w:type="dxa"/>
            <w:tcBorders>
              <w:top w:val="nil"/>
              <w:left w:val="nil"/>
              <w:bottom w:val="nil"/>
              <w:right w:val="nil"/>
            </w:tcBorders>
            <w:shd w:val="clear" w:color="auto" w:fill="auto"/>
            <w:noWrap/>
            <w:vAlign w:val="center"/>
            <w:hideMark/>
          </w:tcPr>
          <w:p w14:paraId="264BFF79"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overall effect size</w:t>
            </w:r>
          </w:p>
        </w:tc>
        <w:tc>
          <w:tcPr>
            <w:tcW w:w="2647" w:type="dxa"/>
            <w:tcBorders>
              <w:top w:val="nil"/>
              <w:left w:val="nil"/>
              <w:bottom w:val="nil"/>
              <w:right w:val="nil"/>
            </w:tcBorders>
            <w:shd w:val="clear" w:color="auto" w:fill="auto"/>
            <w:noWrap/>
            <w:vAlign w:val="center"/>
            <w:hideMark/>
          </w:tcPr>
          <w:p w14:paraId="4C949581"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val="en-US" w:eastAsia="en-GB"/>
              </w:rPr>
              <w:t>-0.72 mm</w:t>
            </w:r>
          </w:p>
        </w:tc>
        <w:tc>
          <w:tcPr>
            <w:tcW w:w="2478" w:type="dxa"/>
            <w:tcBorders>
              <w:top w:val="nil"/>
              <w:left w:val="nil"/>
              <w:bottom w:val="nil"/>
              <w:right w:val="nil"/>
            </w:tcBorders>
            <w:shd w:val="clear" w:color="auto" w:fill="auto"/>
            <w:noWrap/>
            <w:vAlign w:val="center"/>
            <w:hideMark/>
          </w:tcPr>
          <w:p w14:paraId="7B3859D0" w14:textId="77777777" w:rsidR="00401884" w:rsidRPr="00080B0B" w:rsidRDefault="00401884" w:rsidP="00097117">
            <w:pPr>
              <w:spacing w:after="0" w:line="240" w:lineRule="auto"/>
              <w:jc w:val="center"/>
              <w:rPr>
                <w:rFonts w:ascii="Times New Roman" w:eastAsia="Times New Roman" w:hAnsi="Times New Roman" w:cs="Times New Roman"/>
                <w:b/>
                <w:bCs/>
                <w:color w:val="000000"/>
                <w:sz w:val="24"/>
                <w:szCs w:val="24"/>
                <w:lang w:eastAsia="en-GB"/>
              </w:rPr>
            </w:pPr>
            <w:r w:rsidRPr="00080B0B">
              <w:rPr>
                <w:rFonts w:ascii="Times New Roman" w:eastAsia="Times New Roman" w:hAnsi="Times New Roman" w:cs="Times New Roman"/>
                <w:b/>
                <w:bCs/>
                <w:color w:val="000000"/>
                <w:sz w:val="24"/>
                <w:szCs w:val="24"/>
                <w:lang w:eastAsia="en-GB"/>
              </w:rPr>
              <w:t>CI [-1.03; -0.42]</w:t>
            </w:r>
          </w:p>
        </w:tc>
      </w:tr>
    </w:tbl>
    <w:p w14:paraId="4A50DC84" w14:textId="77777777" w:rsidR="00401884" w:rsidRPr="00080B0B" w:rsidRDefault="00401884" w:rsidP="00401884">
      <w:pPr>
        <w:rPr>
          <w:rFonts w:ascii="Times New Roman" w:hAnsi="Times New Roman" w:cs="Times New Roman"/>
          <w:sz w:val="24"/>
          <w:szCs w:val="24"/>
          <w:lang w:val="en-US"/>
        </w:rPr>
      </w:pPr>
    </w:p>
    <w:p w14:paraId="1B28955D" w14:textId="77777777" w:rsidR="00401884" w:rsidRPr="00080B0B" w:rsidRDefault="00401884" w:rsidP="00401884">
      <w:pPr>
        <w:rPr>
          <w:rFonts w:ascii="Times New Roman" w:hAnsi="Times New Roman" w:cs="Times New Roman"/>
          <w:sz w:val="24"/>
          <w:szCs w:val="24"/>
        </w:rPr>
      </w:pPr>
      <w:r w:rsidRPr="00080B0B">
        <w:rPr>
          <w:rFonts w:ascii="Times New Roman" w:hAnsi="Times New Roman" w:cs="Times New Roman"/>
          <w:sz w:val="24"/>
          <w:szCs w:val="24"/>
        </w:rPr>
        <w:br w:type="page"/>
      </w:r>
    </w:p>
    <w:p w14:paraId="7EF6C95A" w14:textId="564C1005" w:rsidR="00401884" w:rsidRPr="00401884" w:rsidRDefault="004A1B23" w:rsidP="00401884">
      <w:pPr>
        <w:pStyle w:val="Caption"/>
        <w:ind w:left="-851" w:firstLine="851"/>
        <w:rPr>
          <w:rFonts w:ascii="Times New Roman" w:hAnsi="Times New Roman" w:cs="Times New Roman"/>
          <w:i w:val="0"/>
          <w:iCs w:val="0"/>
          <w:color w:val="000000" w:themeColor="text1"/>
          <w:sz w:val="24"/>
          <w:szCs w:val="24"/>
          <w:lang w:val="hu-HU"/>
        </w:rPr>
      </w:pPr>
      <w:r w:rsidRPr="004A1B23">
        <w:rPr>
          <w:rFonts w:ascii="Times New Roman" w:hAnsi="Times New Roman" w:cs="Times New Roman"/>
          <w:b/>
          <w:bCs/>
          <w:i w:val="0"/>
          <w:iCs w:val="0"/>
          <w:color w:val="000000" w:themeColor="text1"/>
          <w:sz w:val="24"/>
          <w:szCs w:val="24"/>
        </w:rPr>
        <w:lastRenderedPageBreak/>
        <w:t xml:space="preserve">Additional file 1: </w:t>
      </w:r>
      <w:r w:rsidR="00401884" w:rsidRPr="00401884">
        <w:rPr>
          <w:rFonts w:ascii="Times New Roman" w:hAnsi="Times New Roman" w:cs="Times New Roman"/>
          <w:b/>
          <w:bCs/>
          <w:i w:val="0"/>
          <w:iCs w:val="0"/>
          <w:color w:val="000000" w:themeColor="text1"/>
          <w:sz w:val="24"/>
          <w:szCs w:val="24"/>
        </w:rPr>
        <w:t xml:space="preserve">Appendix Table </w:t>
      </w:r>
      <w:r w:rsidR="0092302E">
        <w:rPr>
          <w:rFonts w:ascii="Times New Roman" w:hAnsi="Times New Roman" w:cs="Times New Roman"/>
          <w:b/>
          <w:bCs/>
          <w:i w:val="0"/>
          <w:iCs w:val="0"/>
          <w:color w:val="000000" w:themeColor="text1"/>
          <w:sz w:val="24"/>
          <w:szCs w:val="24"/>
        </w:rPr>
        <w:t xml:space="preserve">4 </w:t>
      </w:r>
      <w:r w:rsidR="00401884" w:rsidRPr="00401884">
        <w:rPr>
          <w:rFonts w:ascii="Times New Roman" w:hAnsi="Times New Roman" w:cs="Times New Roman"/>
          <w:i w:val="0"/>
          <w:iCs w:val="0"/>
          <w:color w:val="000000" w:themeColor="text1"/>
          <w:sz w:val="24"/>
          <w:szCs w:val="24"/>
          <w:lang w:val="hu-HU"/>
        </w:rPr>
        <w:t xml:space="preserve">Histological outcomes </w:t>
      </w:r>
      <w:r w:rsidR="00401884" w:rsidRPr="00401884">
        <w:rPr>
          <w:rFonts w:ascii="Times New Roman" w:hAnsi="Times New Roman" w:cs="Times New Roman"/>
          <w:i w:val="0"/>
          <w:iCs w:val="0"/>
          <w:color w:val="000000" w:themeColor="text1"/>
          <w:sz w:val="24"/>
          <w:szCs w:val="24"/>
          <w:lang w:val="en-GB"/>
        </w:rPr>
        <w:t>(mean ± standard deviation [SD])</w:t>
      </w:r>
      <w:r w:rsidR="0092302E">
        <w:rPr>
          <w:rFonts w:ascii="Times New Roman" w:hAnsi="Times New Roman" w:cs="Times New Roman"/>
          <w:i w:val="0"/>
          <w:iCs w:val="0"/>
          <w:color w:val="000000" w:themeColor="text1"/>
          <w:sz w:val="24"/>
          <w:szCs w:val="24"/>
          <w:lang w:val="en-GB"/>
        </w:rPr>
        <w:t>.</w:t>
      </w:r>
    </w:p>
    <w:tbl>
      <w:tblPr>
        <w:tblW w:w="14480" w:type="dxa"/>
        <w:tblLook w:val="04A0" w:firstRow="1" w:lastRow="0" w:firstColumn="1" w:lastColumn="0" w:noHBand="0" w:noVBand="1"/>
      </w:tblPr>
      <w:tblGrid>
        <w:gridCol w:w="2977"/>
        <w:gridCol w:w="2018"/>
        <w:gridCol w:w="1255"/>
        <w:gridCol w:w="1898"/>
        <w:gridCol w:w="1333"/>
        <w:gridCol w:w="1921"/>
        <w:gridCol w:w="1260"/>
        <w:gridCol w:w="1818"/>
      </w:tblGrid>
      <w:tr w:rsidR="00401884" w:rsidRPr="00080B0B" w14:paraId="2AF65C08" w14:textId="77777777" w:rsidTr="00097117">
        <w:trPr>
          <w:trHeight w:val="228"/>
        </w:trPr>
        <w:tc>
          <w:tcPr>
            <w:tcW w:w="2977" w:type="dxa"/>
            <w:tcBorders>
              <w:top w:val="nil"/>
              <w:left w:val="nil"/>
              <w:bottom w:val="nil"/>
              <w:right w:val="nil"/>
            </w:tcBorders>
            <w:shd w:val="clear" w:color="auto" w:fill="auto"/>
            <w:noWrap/>
            <w:vAlign w:val="bottom"/>
            <w:hideMark/>
          </w:tcPr>
          <w:p w14:paraId="5C978737" w14:textId="77777777" w:rsidR="00401884" w:rsidRPr="00401884" w:rsidRDefault="00401884" w:rsidP="00097117">
            <w:pPr>
              <w:spacing w:after="0" w:line="240" w:lineRule="auto"/>
              <w:rPr>
                <w:rFonts w:ascii="Times New Roman" w:eastAsia="Times New Roman" w:hAnsi="Times New Roman" w:cs="Times New Roman"/>
                <w:sz w:val="20"/>
                <w:szCs w:val="20"/>
                <w:lang w:eastAsia="en-GB"/>
              </w:rPr>
            </w:pPr>
          </w:p>
        </w:tc>
        <w:tc>
          <w:tcPr>
            <w:tcW w:w="2018" w:type="dxa"/>
            <w:vMerge w:val="restart"/>
            <w:tcBorders>
              <w:top w:val="nil"/>
              <w:left w:val="nil"/>
              <w:bottom w:val="single" w:sz="4" w:space="0" w:color="auto"/>
              <w:right w:val="nil"/>
            </w:tcBorders>
            <w:shd w:val="clear" w:color="auto" w:fill="auto"/>
            <w:noWrap/>
            <w:vAlign w:val="center"/>
            <w:hideMark/>
          </w:tcPr>
          <w:p w14:paraId="3C2B3D32"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Author and year</w:t>
            </w:r>
          </w:p>
        </w:tc>
        <w:tc>
          <w:tcPr>
            <w:tcW w:w="3153" w:type="dxa"/>
            <w:gridSpan w:val="2"/>
            <w:tcBorders>
              <w:top w:val="nil"/>
              <w:left w:val="nil"/>
              <w:bottom w:val="single" w:sz="4" w:space="0" w:color="auto"/>
              <w:right w:val="nil"/>
            </w:tcBorders>
            <w:shd w:val="clear" w:color="auto" w:fill="auto"/>
            <w:noWrap/>
            <w:vAlign w:val="center"/>
            <w:hideMark/>
          </w:tcPr>
          <w:p w14:paraId="61D77670"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 Residual graft (%)</w:t>
            </w:r>
          </w:p>
        </w:tc>
        <w:tc>
          <w:tcPr>
            <w:tcW w:w="3254" w:type="dxa"/>
            <w:gridSpan w:val="2"/>
            <w:tcBorders>
              <w:top w:val="nil"/>
              <w:left w:val="nil"/>
              <w:bottom w:val="single" w:sz="4" w:space="0" w:color="auto"/>
              <w:right w:val="nil"/>
            </w:tcBorders>
            <w:shd w:val="clear" w:color="auto" w:fill="auto"/>
            <w:noWrap/>
            <w:vAlign w:val="center"/>
            <w:hideMark/>
          </w:tcPr>
          <w:p w14:paraId="21E78746"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Newly formed bone (%)</w:t>
            </w:r>
          </w:p>
        </w:tc>
        <w:tc>
          <w:tcPr>
            <w:tcW w:w="3078" w:type="dxa"/>
            <w:gridSpan w:val="2"/>
            <w:tcBorders>
              <w:top w:val="nil"/>
              <w:left w:val="nil"/>
              <w:bottom w:val="single" w:sz="4" w:space="0" w:color="auto"/>
              <w:right w:val="nil"/>
            </w:tcBorders>
            <w:shd w:val="clear" w:color="auto" w:fill="auto"/>
            <w:noWrap/>
            <w:vAlign w:val="center"/>
            <w:hideMark/>
          </w:tcPr>
          <w:p w14:paraId="4A3D4113"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Connective tissue (%)</w:t>
            </w:r>
          </w:p>
        </w:tc>
      </w:tr>
      <w:tr w:rsidR="00401884" w:rsidRPr="00080B0B" w14:paraId="6A35126A" w14:textId="77777777" w:rsidTr="00097117">
        <w:trPr>
          <w:trHeight w:val="228"/>
        </w:trPr>
        <w:tc>
          <w:tcPr>
            <w:tcW w:w="2977" w:type="dxa"/>
            <w:tcBorders>
              <w:top w:val="nil"/>
              <w:left w:val="nil"/>
              <w:bottom w:val="single" w:sz="4" w:space="0" w:color="auto"/>
              <w:right w:val="nil"/>
            </w:tcBorders>
            <w:shd w:val="clear" w:color="auto" w:fill="auto"/>
            <w:noWrap/>
            <w:vAlign w:val="bottom"/>
            <w:hideMark/>
          </w:tcPr>
          <w:p w14:paraId="4835687C"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2018" w:type="dxa"/>
            <w:vMerge/>
            <w:tcBorders>
              <w:top w:val="nil"/>
              <w:left w:val="nil"/>
              <w:bottom w:val="single" w:sz="4" w:space="0" w:color="auto"/>
              <w:right w:val="nil"/>
            </w:tcBorders>
            <w:vAlign w:val="center"/>
            <w:hideMark/>
          </w:tcPr>
          <w:p w14:paraId="43F6451F"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1255" w:type="dxa"/>
            <w:tcBorders>
              <w:top w:val="nil"/>
              <w:left w:val="nil"/>
              <w:bottom w:val="single" w:sz="4" w:space="0" w:color="auto"/>
              <w:right w:val="nil"/>
            </w:tcBorders>
            <w:shd w:val="clear" w:color="auto" w:fill="auto"/>
            <w:noWrap/>
            <w:vAlign w:val="center"/>
            <w:hideMark/>
          </w:tcPr>
          <w:p w14:paraId="59C69B90"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mean </w:t>
            </w:r>
          </w:p>
        </w:tc>
        <w:tc>
          <w:tcPr>
            <w:tcW w:w="1898" w:type="dxa"/>
            <w:tcBorders>
              <w:top w:val="nil"/>
              <w:left w:val="nil"/>
              <w:bottom w:val="single" w:sz="4" w:space="0" w:color="auto"/>
              <w:right w:val="nil"/>
            </w:tcBorders>
            <w:shd w:val="clear" w:color="auto" w:fill="auto"/>
            <w:noWrap/>
            <w:vAlign w:val="center"/>
            <w:hideMark/>
          </w:tcPr>
          <w:p w14:paraId="334AD355"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SD</w:t>
            </w:r>
          </w:p>
        </w:tc>
        <w:tc>
          <w:tcPr>
            <w:tcW w:w="1333" w:type="dxa"/>
            <w:tcBorders>
              <w:top w:val="nil"/>
              <w:left w:val="nil"/>
              <w:bottom w:val="single" w:sz="4" w:space="0" w:color="auto"/>
              <w:right w:val="nil"/>
            </w:tcBorders>
            <w:shd w:val="clear" w:color="auto" w:fill="auto"/>
            <w:noWrap/>
            <w:vAlign w:val="center"/>
            <w:hideMark/>
          </w:tcPr>
          <w:p w14:paraId="589A2C8F"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mean</w:t>
            </w:r>
          </w:p>
        </w:tc>
        <w:tc>
          <w:tcPr>
            <w:tcW w:w="1921" w:type="dxa"/>
            <w:tcBorders>
              <w:top w:val="nil"/>
              <w:left w:val="nil"/>
              <w:bottom w:val="single" w:sz="4" w:space="0" w:color="auto"/>
              <w:right w:val="nil"/>
            </w:tcBorders>
            <w:shd w:val="clear" w:color="auto" w:fill="auto"/>
            <w:noWrap/>
            <w:vAlign w:val="center"/>
            <w:hideMark/>
          </w:tcPr>
          <w:p w14:paraId="2DAC4B22"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SD</w:t>
            </w:r>
          </w:p>
        </w:tc>
        <w:tc>
          <w:tcPr>
            <w:tcW w:w="1260" w:type="dxa"/>
            <w:tcBorders>
              <w:top w:val="nil"/>
              <w:left w:val="nil"/>
              <w:bottom w:val="single" w:sz="4" w:space="0" w:color="auto"/>
              <w:right w:val="nil"/>
            </w:tcBorders>
            <w:shd w:val="clear" w:color="auto" w:fill="auto"/>
            <w:noWrap/>
            <w:vAlign w:val="center"/>
            <w:hideMark/>
          </w:tcPr>
          <w:p w14:paraId="45CB2161"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mean</w:t>
            </w:r>
          </w:p>
        </w:tc>
        <w:tc>
          <w:tcPr>
            <w:tcW w:w="1817" w:type="dxa"/>
            <w:tcBorders>
              <w:top w:val="nil"/>
              <w:left w:val="nil"/>
              <w:bottom w:val="single" w:sz="4" w:space="0" w:color="auto"/>
              <w:right w:val="nil"/>
            </w:tcBorders>
            <w:shd w:val="clear" w:color="auto" w:fill="auto"/>
            <w:noWrap/>
            <w:vAlign w:val="center"/>
            <w:hideMark/>
          </w:tcPr>
          <w:p w14:paraId="1CCC71C3"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SD</w:t>
            </w:r>
          </w:p>
        </w:tc>
      </w:tr>
      <w:tr w:rsidR="00401884" w:rsidRPr="00080B0B" w14:paraId="26DFBC7E" w14:textId="77777777" w:rsidTr="00097117">
        <w:trPr>
          <w:trHeight w:val="228"/>
        </w:trPr>
        <w:tc>
          <w:tcPr>
            <w:tcW w:w="2977" w:type="dxa"/>
            <w:vMerge w:val="restart"/>
            <w:tcBorders>
              <w:top w:val="nil"/>
              <w:left w:val="nil"/>
              <w:bottom w:val="single" w:sz="4" w:space="0" w:color="auto"/>
              <w:right w:val="nil"/>
            </w:tcBorders>
            <w:shd w:val="clear" w:color="auto" w:fill="auto"/>
            <w:textDirection w:val="btLr"/>
            <w:vAlign w:val="center"/>
            <w:hideMark/>
          </w:tcPr>
          <w:p w14:paraId="11105EC7"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Demineralized </w:t>
            </w:r>
            <w:r w:rsidRPr="00401884">
              <w:rPr>
                <w:rFonts w:ascii="Times New Roman" w:eastAsia="Times New Roman" w:hAnsi="Times New Roman" w:cs="Times New Roman"/>
                <w:b/>
                <w:bCs/>
                <w:color w:val="000000"/>
                <w:sz w:val="20"/>
                <w:szCs w:val="20"/>
                <w:lang w:eastAsia="en-GB"/>
              </w:rPr>
              <w:br/>
            </w:r>
          </w:p>
        </w:tc>
        <w:tc>
          <w:tcPr>
            <w:tcW w:w="2018" w:type="dxa"/>
            <w:tcBorders>
              <w:top w:val="nil"/>
              <w:left w:val="nil"/>
              <w:bottom w:val="nil"/>
              <w:right w:val="nil"/>
            </w:tcBorders>
            <w:shd w:val="clear" w:color="auto" w:fill="auto"/>
            <w:noWrap/>
            <w:vAlign w:val="center"/>
            <w:hideMark/>
          </w:tcPr>
          <w:p w14:paraId="3C10ABD8"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w:t>
            </w:r>
          </w:p>
        </w:tc>
        <w:tc>
          <w:tcPr>
            <w:tcW w:w="1255" w:type="dxa"/>
            <w:tcBorders>
              <w:top w:val="nil"/>
              <w:left w:val="nil"/>
              <w:bottom w:val="nil"/>
              <w:right w:val="nil"/>
            </w:tcBorders>
            <w:shd w:val="clear" w:color="auto" w:fill="auto"/>
            <w:noWrap/>
            <w:vAlign w:val="bottom"/>
            <w:hideMark/>
          </w:tcPr>
          <w:p w14:paraId="669D561B"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898" w:type="dxa"/>
            <w:tcBorders>
              <w:top w:val="nil"/>
              <w:left w:val="nil"/>
              <w:bottom w:val="nil"/>
              <w:right w:val="nil"/>
            </w:tcBorders>
            <w:shd w:val="clear" w:color="auto" w:fill="auto"/>
            <w:noWrap/>
            <w:vAlign w:val="bottom"/>
            <w:hideMark/>
          </w:tcPr>
          <w:p w14:paraId="3CFD4571"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333" w:type="dxa"/>
            <w:tcBorders>
              <w:top w:val="nil"/>
              <w:left w:val="nil"/>
              <w:bottom w:val="nil"/>
              <w:right w:val="nil"/>
            </w:tcBorders>
            <w:shd w:val="clear" w:color="auto" w:fill="auto"/>
            <w:noWrap/>
            <w:vAlign w:val="bottom"/>
            <w:hideMark/>
          </w:tcPr>
          <w:p w14:paraId="5B5DCEA6"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921" w:type="dxa"/>
            <w:tcBorders>
              <w:top w:val="nil"/>
              <w:left w:val="nil"/>
              <w:bottom w:val="nil"/>
              <w:right w:val="nil"/>
            </w:tcBorders>
            <w:shd w:val="clear" w:color="auto" w:fill="auto"/>
            <w:noWrap/>
            <w:vAlign w:val="bottom"/>
            <w:hideMark/>
          </w:tcPr>
          <w:p w14:paraId="38CDA4E6"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260" w:type="dxa"/>
            <w:tcBorders>
              <w:top w:val="nil"/>
              <w:left w:val="nil"/>
              <w:bottom w:val="nil"/>
              <w:right w:val="nil"/>
            </w:tcBorders>
            <w:shd w:val="clear" w:color="auto" w:fill="auto"/>
            <w:noWrap/>
            <w:vAlign w:val="bottom"/>
            <w:hideMark/>
          </w:tcPr>
          <w:p w14:paraId="443BE94A"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817" w:type="dxa"/>
            <w:tcBorders>
              <w:top w:val="nil"/>
              <w:left w:val="nil"/>
              <w:bottom w:val="nil"/>
              <w:right w:val="nil"/>
            </w:tcBorders>
            <w:shd w:val="clear" w:color="auto" w:fill="auto"/>
            <w:noWrap/>
            <w:vAlign w:val="bottom"/>
            <w:hideMark/>
          </w:tcPr>
          <w:p w14:paraId="49719EA3" w14:textId="77777777" w:rsidR="00401884" w:rsidRPr="00401884" w:rsidRDefault="00401884" w:rsidP="00097117">
            <w:pPr>
              <w:spacing w:after="0" w:line="240" w:lineRule="auto"/>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r>
      <w:tr w:rsidR="00401884" w:rsidRPr="00080B0B" w14:paraId="26236E9A" w14:textId="77777777" w:rsidTr="00097117">
        <w:trPr>
          <w:trHeight w:val="456"/>
        </w:trPr>
        <w:tc>
          <w:tcPr>
            <w:tcW w:w="2977" w:type="dxa"/>
            <w:vMerge/>
            <w:tcBorders>
              <w:top w:val="nil"/>
              <w:left w:val="nil"/>
              <w:bottom w:val="single" w:sz="4" w:space="0" w:color="auto"/>
              <w:right w:val="nil"/>
            </w:tcBorders>
            <w:vAlign w:val="center"/>
            <w:hideMark/>
          </w:tcPr>
          <w:p w14:paraId="704EE91D"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2018" w:type="dxa"/>
            <w:tcBorders>
              <w:top w:val="nil"/>
              <w:left w:val="nil"/>
              <w:bottom w:val="single" w:sz="4" w:space="0" w:color="auto"/>
              <w:right w:val="nil"/>
            </w:tcBorders>
            <w:shd w:val="clear" w:color="auto" w:fill="auto"/>
            <w:vAlign w:val="center"/>
            <w:hideMark/>
          </w:tcPr>
          <w:p w14:paraId="1E51F858"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I. W. Um et al.</w:t>
            </w:r>
            <w:r w:rsidRPr="00401884">
              <w:rPr>
                <w:rFonts w:ascii="Times New Roman" w:eastAsia="Times New Roman" w:hAnsi="Times New Roman" w:cs="Times New Roman"/>
                <w:b/>
                <w:bCs/>
                <w:color w:val="000000"/>
                <w:sz w:val="20"/>
                <w:szCs w:val="20"/>
                <w:lang w:eastAsia="en-GB"/>
              </w:rPr>
              <w:br/>
              <w:t>2019</w:t>
            </w:r>
          </w:p>
        </w:tc>
        <w:tc>
          <w:tcPr>
            <w:tcW w:w="1255" w:type="dxa"/>
            <w:tcBorders>
              <w:top w:val="nil"/>
              <w:left w:val="nil"/>
              <w:bottom w:val="single" w:sz="4" w:space="0" w:color="auto"/>
              <w:right w:val="nil"/>
            </w:tcBorders>
            <w:shd w:val="clear" w:color="auto" w:fill="auto"/>
            <w:noWrap/>
            <w:vAlign w:val="center"/>
            <w:hideMark/>
          </w:tcPr>
          <w:p w14:paraId="49B116B8"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16.15</w:t>
            </w:r>
          </w:p>
        </w:tc>
        <w:tc>
          <w:tcPr>
            <w:tcW w:w="1898" w:type="dxa"/>
            <w:tcBorders>
              <w:top w:val="nil"/>
              <w:left w:val="nil"/>
              <w:bottom w:val="single" w:sz="4" w:space="0" w:color="auto"/>
              <w:right w:val="nil"/>
            </w:tcBorders>
            <w:shd w:val="clear" w:color="auto" w:fill="auto"/>
            <w:noWrap/>
            <w:vAlign w:val="center"/>
            <w:hideMark/>
          </w:tcPr>
          <w:p w14:paraId="29C16703"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17.70</w:t>
            </w:r>
          </w:p>
        </w:tc>
        <w:tc>
          <w:tcPr>
            <w:tcW w:w="1333" w:type="dxa"/>
            <w:tcBorders>
              <w:top w:val="nil"/>
              <w:left w:val="nil"/>
              <w:bottom w:val="single" w:sz="4" w:space="0" w:color="auto"/>
              <w:right w:val="nil"/>
            </w:tcBorders>
            <w:shd w:val="clear" w:color="auto" w:fill="auto"/>
            <w:noWrap/>
            <w:vAlign w:val="center"/>
            <w:hideMark/>
          </w:tcPr>
          <w:p w14:paraId="7B99B394"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29.75</w:t>
            </w:r>
          </w:p>
        </w:tc>
        <w:tc>
          <w:tcPr>
            <w:tcW w:w="1921" w:type="dxa"/>
            <w:tcBorders>
              <w:top w:val="nil"/>
              <w:left w:val="nil"/>
              <w:bottom w:val="single" w:sz="4" w:space="0" w:color="auto"/>
              <w:right w:val="nil"/>
            </w:tcBorders>
            <w:shd w:val="clear" w:color="auto" w:fill="auto"/>
            <w:noWrap/>
            <w:vAlign w:val="center"/>
            <w:hideMark/>
          </w:tcPr>
          <w:p w14:paraId="528B3EA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12.62</w:t>
            </w:r>
          </w:p>
        </w:tc>
        <w:tc>
          <w:tcPr>
            <w:tcW w:w="1260" w:type="dxa"/>
            <w:tcBorders>
              <w:top w:val="nil"/>
              <w:left w:val="nil"/>
              <w:bottom w:val="single" w:sz="4" w:space="0" w:color="auto"/>
              <w:right w:val="nil"/>
            </w:tcBorders>
            <w:shd w:val="clear" w:color="auto" w:fill="auto"/>
            <w:noWrap/>
            <w:vAlign w:val="center"/>
            <w:hideMark/>
          </w:tcPr>
          <w:p w14:paraId="42EEAF1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35.87</w:t>
            </w:r>
          </w:p>
        </w:tc>
        <w:tc>
          <w:tcPr>
            <w:tcW w:w="1817" w:type="dxa"/>
            <w:tcBorders>
              <w:top w:val="nil"/>
              <w:left w:val="nil"/>
              <w:bottom w:val="single" w:sz="4" w:space="0" w:color="auto"/>
              <w:right w:val="nil"/>
            </w:tcBorders>
            <w:shd w:val="clear" w:color="auto" w:fill="auto"/>
            <w:noWrap/>
            <w:vAlign w:val="center"/>
            <w:hideMark/>
          </w:tcPr>
          <w:p w14:paraId="59BF977D"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17.10</w:t>
            </w:r>
          </w:p>
        </w:tc>
      </w:tr>
      <w:tr w:rsidR="00401884" w:rsidRPr="00080B0B" w14:paraId="50FBBE78" w14:textId="77777777" w:rsidTr="00097117">
        <w:trPr>
          <w:trHeight w:val="456"/>
        </w:trPr>
        <w:tc>
          <w:tcPr>
            <w:tcW w:w="2977" w:type="dxa"/>
            <w:vMerge/>
            <w:tcBorders>
              <w:top w:val="nil"/>
              <w:left w:val="nil"/>
              <w:bottom w:val="single" w:sz="4" w:space="0" w:color="auto"/>
              <w:right w:val="nil"/>
            </w:tcBorders>
            <w:vAlign w:val="center"/>
            <w:hideMark/>
          </w:tcPr>
          <w:p w14:paraId="3856DBC5"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2018" w:type="dxa"/>
            <w:tcBorders>
              <w:top w:val="nil"/>
              <w:left w:val="nil"/>
              <w:bottom w:val="single" w:sz="4" w:space="0" w:color="auto"/>
              <w:right w:val="nil"/>
            </w:tcBorders>
            <w:shd w:val="clear" w:color="auto" w:fill="auto"/>
            <w:vAlign w:val="center"/>
            <w:hideMark/>
          </w:tcPr>
          <w:p w14:paraId="7739D587"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val="de-AT" w:eastAsia="en-GB"/>
              </w:rPr>
            </w:pPr>
            <w:r w:rsidRPr="00401884">
              <w:rPr>
                <w:rFonts w:ascii="Times New Roman" w:eastAsia="Times New Roman" w:hAnsi="Times New Roman" w:cs="Times New Roman"/>
                <w:b/>
                <w:bCs/>
                <w:color w:val="000000"/>
                <w:sz w:val="20"/>
                <w:szCs w:val="20"/>
                <w:lang w:val="de-AT" w:eastAsia="en-GB"/>
              </w:rPr>
              <w:t>G. U. Jung et al.,</w:t>
            </w:r>
            <w:r w:rsidRPr="00401884">
              <w:rPr>
                <w:rFonts w:ascii="Times New Roman" w:eastAsia="Times New Roman" w:hAnsi="Times New Roman" w:cs="Times New Roman"/>
                <w:b/>
                <w:bCs/>
                <w:color w:val="000000"/>
                <w:sz w:val="20"/>
                <w:szCs w:val="20"/>
                <w:lang w:val="de-AT" w:eastAsia="en-GB"/>
              </w:rPr>
              <w:br/>
              <w:t xml:space="preserve">2018 </w:t>
            </w:r>
          </w:p>
        </w:tc>
        <w:tc>
          <w:tcPr>
            <w:tcW w:w="1255" w:type="dxa"/>
            <w:tcBorders>
              <w:top w:val="nil"/>
              <w:left w:val="nil"/>
              <w:bottom w:val="single" w:sz="4" w:space="0" w:color="auto"/>
              <w:right w:val="nil"/>
            </w:tcBorders>
            <w:shd w:val="clear" w:color="auto" w:fill="auto"/>
            <w:noWrap/>
            <w:vAlign w:val="center"/>
            <w:hideMark/>
          </w:tcPr>
          <w:p w14:paraId="00C1886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10.72</w:t>
            </w:r>
          </w:p>
        </w:tc>
        <w:tc>
          <w:tcPr>
            <w:tcW w:w="1898" w:type="dxa"/>
            <w:tcBorders>
              <w:top w:val="nil"/>
              <w:left w:val="nil"/>
              <w:bottom w:val="single" w:sz="4" w:space="0" w:color="auto"/>
              <w:right w:val="nil"/>
            </w:tcBorders>
            <w:shd w:val="clear" w:color="auto" w:fill="auto"/>
            <w:noWrap/>
            <w:vAlign w:val="center"/>
            <w:hideMark/>
          </w:tcPr>
          <w:p w14:paraId="1B9A30FB"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9.83</w:t>
            </w:r>
          </w:p>
        </w:tc>
        <w:tc>
          <w:tcPr>
            <w:tcW w:w="1333" w:type="dxa"/>
            <w:tcBorders>
              <w:top w:val="nil"/>
              <w:left w:val="nil"/>
              <w:bottom w:val="single" w:sz="4" w:space="0" w:color="auto"/>
              <w:right w:val="nil"/>
            </w:tcBorders>
            <w:shd w:val="clear" w:color="auto" w:fill="auto"/>
            <w:noWrap/>
            <w:vAlign w:val="center"/>
            <w:hideMark/>
          </w:tcPr>
          <w:p w14:paraId="0555E00F"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32.88</w:t>
            </w:r>
          </w:p>
        </w:tc>
        <w:tc>
          <w:tcPr>
            <w:tcW w:w="1921" w:type="dxa"/>
            <w:tcBorders>
              <w:top w:val="nil"/>
              <w:left w:val="nil"/>
              <w:bottom w:val="single" w:sz="4" w:space="0" w:color="auto"/>
              <w:right w:val="nil"/>
            </w:tcBorders>
            <w:shd w:val="clear" w:color="auto" w:fill="auto"/>
            <w:noWrap/>
            <w:vAlign w:val="center"/>
            <w:hideMark/>
          </w:tcPr>
          <w:p w14:paraId="4A815A61"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14.48</w:t>
            </w:r>
          </w:p>
        </w:tc>
        <w:tc>
          <w:tcPr>
            <w:tcW w:w="1260" w:type="dxa"/>
            <w:tcBorders>
              <w:top w:val="nil"/>
              <w:left w:val="nil"/>
              <w:bottom w:val="single" w:sz="4" w:space="0" w:color="auto"/>
              <w:right w:val="nil"/>
            </w:tcBorders>
            <w:shd w:val="clear" w:color="auto" w:fill="auto"/>
            <w:noWrap/>
            <w:vAlign w:val="center"/>
            <w:hideMark/>
          </w:tcPr>
          <w:p w14:paraId="5F7522E6"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56.40</w:t>
            </w:r>
          </w:p>
        </w:tc>
        <w:tc>
          <w:tcPr>
            <w:tcW w:w="1817" w:type="dxa"/>
            <w:tcBorders>
              <w:top w:val="nil"/>
              <w:left w:val="nil"/>
              <w:bottom w:val="single" w:sz="4" w:space="0" w:color="auto"/>
              <w:right w:val="nil"/>
            </w:tcBorders>
            <w:shd w:val="clear" w:color="auto" w:fill="auto"/>
            <w:noWrap/>
            <w:vAlign w:val="center"/>
            <w:hideMark/>
          </w:tcPr>
          <w:p w14:paraId="2BC8CA0A"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8.58</w:t>
            </w:r>
          </w:p>
        </w:tc>
      </w:tr>
      <w:tr w:rsidR="00401884" w:rsidRPr="00080B0B" w14:paraId="64A3A9C6" w14:textId="77777777" w:rsidTr="00097117">
        <w:trPr>
          <w:trHeight w:val="597"/>
        </w:trPr>
        <w:tc>
          <w:tcPr>
            <w:tcW w:w="2977" w:type="dxa"/>
            <w:vMerge/>
            <w:tcBorders>
              <w:top w:val="nil"/>
              <w:left w:val="nil"/>
              <w:bottom w:val="single" w:sz="4" w:space="0" w:color="auto"/>
              <w:right w:val="nil"/>
            </w:tcBorders>
            <w:vAlign w:val="center"/>
            <w:hideMark/>
          </w:tcPr>
          <w:p w14:paraId="64C6DD74"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2018" w:type="dxa"/>
            <w:tcBorders>
              <w:top w:val="nil"/>
              <w:left w:val="nil"/>
              <w:bottom w:val="nil"/>
              <w:right w:val="nil"/>
            </w:tcBorders>
            <w:shd w:val="clear" w:color="auto" w:fill="auto"/>
            <w:vAlign w:val="center"/>
            <w:hideMark/>
          </w:tcPr>
          <w:p w14:paraId="3C2A9F81"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val="de-AT" w:eastAsia="en-GB"/>
              </w:rPr>
            </w:pPr>
            <w:r w:rsidRPr="00401884">
              <w:rPr>
                <w:rFonts w:ascii="Times New Roman" w:eastAsia="Times New Roman" w:hAnsi="Times New Roman" w:cs="Times New Roman"/>
                <w:b/>
                <w:bCs/>
                <w:color w:val="000000"/>
                <w:sz w:val="20"/>
                <w:szCs w:val="20"/>
                <w:lang w:val="de-AT" w:eastAsia="en-GB"/>
              </w:rPr>
              <w:t>K. M. Pang et al.,</w:t>
            </w:r>
            <w:r w:rsidRPr="00401884">
              <w:rPr>
                <w:rFonts w:ascii="Times New Roman" w:eastAsia="Times New Roman" w:hAnsi="Times New Roman" w:cs="Times New Roman"/>
                <w:b/>
                <w:bCs/>
                <w:color w:val="000000"/>
                <w:sz w:val="20"/>
                <w:szCs w:val="20"/>
                <w:lang w:val="de-AT" w:eastAsia="en-GB"/>
              </w:rPr>
              <w:br/>
              <w:t xml:space="preserve">2017 </w:t>
            </w:r>
          </w:p>
        </w:tc>
        <w:tc>
          <w:tcPr>
            <w:tcW w:w="1255" w:type="dxa"/>
            <w:tcBorders>
              <w:top w:val="nil"/>
              <w:left w:val="nil"/>
              <w:bottom w:val="nil"/>
              <w:right w:val="nil"/>
            </w:tcBorders>
            <w:shd w:val="clear" w:color="auto" w:fill="auto"/>
            <w:noWrap/>
            <w:vAlign w:val="center"/>
            <w:hideMark/>
          </w:tcPr>
          <w:p w14:paraId="4A35F513"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8.95</w:t>
            </w:r>
          </w:p>
        </w:tc>
        <w:tc>
          <w:tcPr>
            <w:tcW w:w="1898" w:type="dxa"/>
            <w:tcBorders>
              <w:top w:val="nil"/>
              <w:left w:val="nil"/>
              <w:bottom w:val="nil"/>
              <w:right w:val="nil"/>
            </w:tcBorders>
            <w:shd w:val="clear" w:color="auto" w:fill="auto"/>
            <w:noWrap/>
            <w:vAlign w:val="center"/>
            <w:hideMark/>
          </w:tcPr>
          <w:p w14:paraId="1307B23F"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17.70</w:t>
            </w:r>
          </w:p>
        </w:tc>
        <w:tc>
          <w:tcPr>
            <w:tcW w:w="1333" w:type="dxa"/>
            <w:tcBorders>
              <w:top w:val="nil"/>
              <w:left w:val="nil"/>
              <w:bottom w:val="nil"/>
              <w:right w:val="nil"/>
            </w:tcBorders>
            <w:shd w:val="clear" w:color="auto" w:fill="auto"/>
            <w:noWrap/>
            <w:vAlign w:val="center"/>
            <w:hideMark/>
          </w:tcPr>
          <w:p w14:paraId="294DD449"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31.24</w:t>
            </w:r>
          </w:p>
        </w:tc>
        <w:tc>
          <w:tcPr>
            <w:tcW w:w="1921" w:type="dxa"/>
            <w:tcBorders>
              <w:top w:val="nil"/>
              <w:left w:val="nil"/>
              <w:bottom w:val="nil"/>
              <w:right w:val="nil"/>
            </w:tcBorders>
            <w:shd w:val="clear" w:color="auto" w:fill="auto"/>
            <w:noWrap/>
            <w:vAlign w:val="center"/>
            <w:hideMark/>
          </w:tcPr>
          <w:p w14:paraId="29D5AD3E"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13.87</w:t>
            </w:r>
          </w:p>
        </w:tc>
        <w:tc>
          <w:tcPr>
            <w:tcW w:w="1260" w:type="dxa"/>
            <w:tcBorders>
              <w:top w:val="nil"/>
              <w:left w:val="nil"/>
              <w:bottom w:val="nil"/>
              <w:right w:val="nil"/>
            </w:tcBorders>
            <w:shd w:val="clear" w:color="auto" w:fill="auto"/>
            <w:noWrap/>
            <w:vAlign w:val="center"/>
            <w:hideMark/>
          </w:tcPr>
          <w:p w14:paraId="0563EA4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59.81</w:t>
            </w:r>
          </w:p>
        </w:tc>
        <w:tc>
          <w:tcPr>
            <w:tcW w:w="1817" w:type="dxa"/>
            <w:tcBorders>
              <w:top w:val="nil"/>
              <w:left w:val="nil"/>
              <w:bottom w:val="nil"/>
              <w:right w:val="nil"/>
            </w:tcBorders>
            <w:shd w:val="clear" w:color="auto" w:fill="auto"/>
            <w:noWrap/>
            <w:vAlign w:val="center"/>
            <w:hideMark/>
          </w:tcPr>
          <w:p w14:paraId="651EAB6F"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15.50</w:t>
            </w:r>
          </w:p>
        </w:tc>
      </w:tr>
      <w:tr w:rsidR="00401884" w:rsidRPr="00080B0B" w14:paraId="14AB4B90" w14:textId="77777777" w:rsidTr="00097117">
        <w:trPr>
          <w:trHeight w:val="471"/>
        </w:trPr>
        <w:tc>
          <w:tcPr>
            <w:tcW w:w="2977" w:type="dxa"/>
            <w:tcBorders>
              <w:top w:val="single" w:sz="12" w:space="0" w:color="auto"/>
              <w:left w:val="nil"/>
              <w:bottom w:val="single" w:sz="12" w:space="0" w:color="auto"/>
              <w:right w:val="nil"/>
            </w:tcBorders>
            <w:shd w:val="clear" w:color="auto" w:fill="auto"/>
            <w:vAlign w:val="center"/>
            <w:hideMark/>
          </w:tcPr>
          <w:p w14:paraId="75B4F2B5"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effect size</w:t>
            </w:r>
          </w:p>
        </w:tc>
        <w:tc>
          <w:tcPr>
            <w:tcW w:w="2018" w:type="dxa"/>
            <w:tcBorders>
              <w:top w:val="single" w:sz="12" w:space="0" w:color="auto"/>
              <w:left w:val="nil"/>
              <w:bottom w:val="single" w:sz="12" w:space="0" w:color="auto"/>
              <w:right w:val="nil"/>
            </w:tcBorders>
            <w:shd w:val="clear" w:color="auto" w:fill="auto"/>
            <w:noWrap/>
            <w:vAlign w:val="center"/>
            <w:hideMark/>
          </w:tcPr>
          <w:p w14:paraId="39D00B88"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255" w:type="dxa"/>
            <w:tcBorders>
              <w:top w:val="single" w:sz="12" w:space="0" w:color="auto"/>
              <w:left w:val="nil"/>
              <w:bottom w:val="single" w:sz="12" w:space="0" w:color="auto"/>
              <w:right w:val="nil"/>
            </w:tcBorders>
            <w:shd w:val="clear" w:color="auto" w:fill="auto"/>
            <w:noWrap/>
            <w:vAlign w:val="center"/>
            <w:hideMark/>
          </w:tcPr>
          <w:p w14:paraId="7D572AF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9.55 % </w:t>
            </w:r>
          </w:p>
        </w:tc>
        <w:tc>
          <w:tcPr>
            <w:tcW w:w="1898" w:type="dxa"/>
            <w:tcBorders>
              <w:top w:val="single" w:sz="12" w:space="0" w:color="auto"/>
              <w:left w:val="nil"/>
              <w:bottom w:val="single" w:sz="12" w:space="0" w:color="auto"/>
              <w:right w:val="nil"/>
            </w:tcBorders>
            <w:shd w:val="clear" w:color="auto" w:fill="auto"/>
            <w:vAlign w:val="center"/>
            <w:hideMark/>
          </w:tcPr>
          <w:p w14:paraId="1417EEF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[ 7.19; 11.91]</w:t>
            </w:r>
          </w:p>
        </w:tc>
        <w:tc>
          <w:tcPr>
            <w:tcW w:w="1333" w:type="dxa"/>
            <w:tcBorders>
              <w:top w:val="single" w:sz="12" w:space="0" w:color="auto"/>
              <w:left w:val="nil"/>
              <w:bottom w:val="single" w:sz="12" w:space="0" w:color="auto"/>
              <w:right w:val="nil"/>
            </w:tcBorders>
            <w:shd w:val="clear" w:color="auto" w:fill="auto"/>
            <w:noWrap/>
            <w:vAlign w:val="center"/>
            <w:hideMark/>
          </w:tcPr>
          <w:p w14:paraId="753669CA"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31.17% </w:t>
            </w:r>
          </w:p>
        </w:tc>
        <w:tc>
          <w:tcPr>
            <w:tcW w:w="1921" w:type="dxa"/>
            <w:tcBorders>
              <w:top w:val="single" w:sz="12" w:space="0" w:color="auto"/>
              <w:left w:val="nil"/>
              <w:bottom w:val="single" w:sz="12" w:space="0" w:color="auto"/>
              <w:right w:val="nil"/>
            </w:tcBorders>
            <w:shd w:val="clear" w:color="auto" w:fill="auto"/>
            <w:vAlign w:val="center"/>
            <w:hideMark/>
          </w:tcPr>
          <w:p w14:paraId="43856D3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[ 26.99; 35.35]</w:t>
            </w:r>
          </w:p>
        </w:tc>
        <w:tc>
          <w:tcPr>
            <w:tcW w:w="1260" w:type="dxa"/>
            <w:tcBorders>
              <w:top w:val="single" w:sz="12" w:space="0" w:color="auto"/>
              <w:left w:val="nil"/>
              <w:bottom w:val="single" w:sz="12" w:space="0" w:color="auto"/>
              <w:right w:val="nil"/>
            </w:tcBorders>
            <w:shd w:val="clear" w:color="auto" w:fill="auto"/>
            <w:noWrap/>
            <w:vAlign w:val="center"/>
            <w:hideMark/>
          </w:tcPr>
          <w:p w14:paraId="70BB69C9"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51.29% </w:t>
            </w:r>
          </w:p>
        </w:tc>
        <w:tc>
          <w:tcPr>
            <w:tcW w:w="1817" w:type="dxa"/>
            <w:tcBorders>
              <w:top w:val="single" w:sz="12" w:space="0" w:color="auto"/>
              <w:left w:val="nil"/>
              <w:bottom w:val="single" w:sz="12" w:space="0" w:color="auto"/>
              <w:right w:val="nil"/>
            </w:tcBorders>
            <w:shd w:val="clear" w:color="auto" w:fill="auto"/>
            <w:vAlign w:val="center"/>
            <w:hideMark/>
          </w:tcPr>
          <w:p w14:paraId="60D6348F"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[ 37.29; 65.29]</w:t>
            </w:r>
          </w:p>
        </w:tc>
      </w:tr>
      <w:tr w:rsidR="00401884" w:rsidRPr="00080B0B" w14:paraId="058C2741" w14:textId="77777777" w:rsidTr="00097117">
        <w:trPr>
          <w:trHeight w:val="235"/>
        </w:trPr>
        <w:tc>
          <w:tcPr>
            <w:tcW w:w="2977" w:type="dxa"/>
            <w:tcBorders>
              <w:top w:val="nil"/>
              <w:left w:val="nil"/>
              <w:bottom w:val="nil"/>
              <w:right w:val="nil"/>
            </w:tcBorders>
            <w:shd w:val="clear" w:color="auto" w:fill="auto"/>
            <w:noWrap/>
            <w:vAlign w:val="bottom"/>
            <w:hideMark/>
          </w:tcPr>
          <w:p w14:paraId="0A7E7F39"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p>
        </w:tc>
        <w:tc>
          <w:tcPr>
            <w:tcW w:w="2018" w:type="dxa"/>
            <w:tcBorders>
              <w:top w:val="nil"/>
              <w:left w:val="nil"/>
              <w:bottom w:val="nil"/>
              <w:right w:val="nil"/>
            </w:tcBorders>
            <w:shd w:val="clear" w:color="auto" w:fill="auto"/>
            <w:vAlign w:val="center"/>
            <w:hideMark/>
          </w:tcPr>
          <w:p w14:paraId="31E3721E" w14:textId="77777777" w:rsidR="00401884" w:rsidRPr="00401884" w:rsidRDefault="00401884" w:rsidP="00097117">
            <w:pPr>
              <w:spacing w:after="0" w:line="240" w:lineRule="auto"/>
              <w:rPr>
                <w:rFonts w:ascii="Times New Roman" w:eastAsia="Times New Roman" w:hAnsi="Times New Roman" w:cs="Times New Roman"/>
                <w:sz w:val="20"/>
                <w:szCs w:val="20"/>
                <w:lang w:eastAsia="en-GB"/>
              </w:rPr>
            </w:pPr>
          </w:p>
        </w:tc>
        <w:tc>
          <w:tcPr>
            <w:tcW w:w="1255" w:type="dxa"/>
            <w:tcBorders>
              <w:top w:val="nil"/>
              <w:left w:val="nil"/>
              <w:bottom w:val="nil"/>
              <w:right w:val="nil"/>
            </w:tcBorders>
            <w:shd w:val="clear" w:color="auto" w:fill="auto"/>
            <w:noWrap/>
            <w:vAlign w:val="center"/>
            <w:hideMark/>
          </w:tcPr>
          <w:p w14:paraId="7D9DBC84"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898" w:type="dxa"/>
            <w:tcBorders>
              <w:top w:val="nil"/>
              <w:left w:val="nil"/>
              <w:bottom w:val="nil"/>
              <w:right w:val="nil"/>
            </w:tcBorders>
            <w:shd w:val="clear" w:color="auto" w:fill="auto"/>
            <w:noWrap/>
            <w:vAlign w:val="center"/>
            <w:hideMark/>
          </w:tcPr>
          <w:p w14:paraId="27560911"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333" w:type="dxa"/>
            <w:tcBorders>
              <w:top w:val="nil"/>
              <w:left w:val="nil"/>
              <w:bottom w:val="nil"/>
              <w:right w:val="nil"/>
            </w:tcBorders>
            <w:shd w:val="clear" w:color="auto" w:fill="auto"/>
            <w:noWrap/>
            <w:vAlign w:val="center"/>
            <w:hideMark/>
          </w:tcPr>
          <w:p w14:paraId="2AA6A76B"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921" w:type="dxa"/>
            <w:tcBorders>
              <w:top w:val="nil"/>
              <w:left w:val="nil"/>
              <w:bottom w:val="nil"/>
              <w:right w:val="nil"/>
            </w:tcBorders>
            <w:shd w:val="clear" w:color="auto" w:fill="auto"/>
            <w:noWrap/>
            <w:vAlign w:val="center"/>
            <w:hideMark/>
          </w:tcPr>
          <w:p w14:paraId="56719055"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center"/>
            <w:hideMark/>
          </w:tcPr>
          <w:p w14:paraId="5DBAEC43"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817" w:type="dxa"/>
            <w:tcBorders>
              <w:top w:val="nil"/>
              <w:left w:val="nil"/>
              <w:bottom w:val="nil"/>
              <w:right w:val="nil"/>
            </w:tcBorders>
            <w:shd w:val="clear" w:color="auto" w:fill="auto"/>
            <w:noWrap/>
            <w:vAlign w:val="center"/>
            <w:hideMark/>
          </w:tcPr>
          <w:p w14:paraId="6706A8F2"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r>
      <w:tr w:rsidR="00401884" w:rsidRPr="00080B0B" w14:paraId="4B431594" w14:textId="77777777" w:rsidTr="00097117">
        <w:trPr>
          <w:trHeight w:val="684"/>
        </w:trPr>
        <w:tc>
          <w:tcPr>
            <w:tcW w:w="2977" w:type="dxa"/>
            <w:vMerge w:val="restart"/>
            <w:tcBorders>
              <w:top w:val="nil"/>
              <w:left w:val="nil"/>
              <w:bottom w:val="single" w:sz="4" w:space="0" w:color="auto"/>
              <w:right w:val="nil"/>
            </w:tcBorders>
            <w:shd w:val="clear" w:color="auto" w:fill="auto"/>
            <w:textDirection w:val="btLr"/>
            <w:vAlign w:val="center"/>
            <w:hideMark/>
          </w:tcPr>
          <w:p w14:paraId="6CCAAC32"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Partially-demineralized </w:t>
            </w:r>
            <w:r w:rsidRPr="00401884">
              <w:rPr>
                <w:rFonts w:ascii="Times New Roman" w:eastAsia="Times New Roman" w:hAnsi="Times New Roman" w:cs="Times New Roman"/>
                <w:b/>
                <w:bCs/>
                <w:color w:val="000000"/>
                <w:sz w:val="20"/>
                <w:szCs w:val="20"/>
                <w:lang w:eastAsia="en-GB"/>
              </w:rPr>
              <w:br/>
            </w:r>
          </w:p>
        </w:tc>
        <w:tc>
          <w:tcPr>
            <w:tcW w:w="2018" w:type="dxa"/>
            <w:tcBorders>
              <w:top w:val="nil"/>
              <w:left w:val="nil"/>
              <w:bottom w:val="single" w:sz="4" w:space="0" w:color="auto"/>
              <w:right w:val="nil"/>
            </w:tcBorders>
            <w:shd w:val="clear" w:color="auto" w:fill="auto"/>
            <w:vAlign w:val="center"/>
            <w:hideMark/>
          </w:tcPr>
          <w:p w14:paraId="363CF439"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Z. </w:t>
            </w:r>
            <w:proofErr w:type="spellStart"/>
            <w:r w:rsidRPr="00401884">
              <w:rPr>
                <w:rFonts w:ascii="Times New Roman" w:eastAsia="Times New Roman" w:hAnsi="Times New Roman" w:cs="Times New Roman"/>
                <w:b/>
                <w:bCs/>
                <w:color w:val="000000"/>
                <w:sz w:val="20"/>
                <w:szCs w:val="20"/>
                <w:lang w:eastAsia="en-GB"/>
              </w:rPr>
              <w:t>Radoczy-Drajko</w:t>
            </w:r>
            <w:proofErr w:type="spellEnd"/>
            <w:r w:rsidRPr="00401884">
              <w:rPr>
                <w:rFonts w:ascii="Times New Roman" w:eastAsia="Times New Roman" w:hAnsi="Times New Roman" w:cs="Times New Roman"/>
                <w:b/>
                <w:bCs/>
                <w:color w:val="000000"/>
                <w:sz w:val="20"/>
                <w:szCs w:val="20"/>
                <w:lang w:eastAsia="en-GB"/>
              </w:rPr>
              <w:t xml:space="preserve"> et al. </w:t>
            </w:r>
            <w:r w:rsidRPr="00401884">
              <w:rPr>
                <w:rFonts w:ascii="Times New Roman" w:eastAsia="Times New Roman" w:hAnsi="Times New Roman" w:cs="Times New Roman"/>
                <w:b/>
                <w:bCs/>
                <w:color w:val="000000"/>
                <w:sz w:val="20"/>
                <w:szCs w:val="20"/>
                <w:lang w:eastAsia="en-GB"/>
              </w:rPr>
              <w:br/>
              <w:t>2021</w:t>
            </w:r>
          </w:p>
        </w:tc>
        <w:tc>
          <w:tcPr>
            <w:tcW w:w="1255" w:type="dxa"/>
            <w:tcBorders>
              <w:top w:val="nil"/>
              <w:left w:val="nil"/>
              <w:bottom w:val="single" w:sz="4" w:space="0" w:color="auto"/>
              <w:right w:val="nil"/>
            </w:tcBorders>
            <w:shd w:val="clear" w:color="auto" w:fill="auto"/>
            <w:noWrap/>
            <w:vAlign w:val="center"/>
            <w:hideMark/>
          </w:tcPr>
          <w:p w14:paraId="5B720480"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7.44</w:t>
            </w:r>
          </w:p>
        </w:tc>
        <w:tc>
          <w:tcPr>
            <w:tcW w:w="1898" w:type="dxa"/>
            <w:tcBorders>
              <w:top w:val="nil"/>
              <w:left w:val="nil"/>
              <w:bottom w:val="single" w:sz="4" w:space="0" w:color="auto"/>
              <w:right w:val="nil"/>
            </w:tcBorders>
            <w:shd w:val="clear" w:color="auto" w:fill="auto"/>
            <w:noWrap/>
            <w:vAlign w:val="center"/>
            <w:hideMark/>
          </w:tcPr>
          <w:p w14:paraId="40237B84"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6.64</w:t>
            </w:r>
          </w:p>
        </w:tc>
        <w:tc>
          <w:tcPr>
            <w:tcW w:w="1333" w:type="dxa"/>
            <w:tcBorders>
              <w:top w:val="nil"/>
              <w:left w:val="nil"/>
              <w:bottom w:val="single" w:sz="4" w:space="0" w:color="auto"/>
              <w:right w:val="nil"/>
            </w:tcBorders>
            <w:shd w:val="clear" w:color="auto" w:fill="auto"/>
            <w:noWrap/>
            <w:vAlign w:val="center"/>
            <w:hideMark/>
          </w:tcPr>
          <w:p w14:paraId="2C4648B4"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55.67</w:t>
            </w:r>
          </w:p>
        </w:tc>
        <w:tc>
          <w:tcPr>
            <w:tcW w:w="1921" w:type="dxa"/>
            <w:tcBorders>
              <w:top w:val="nil"/>
              <w:left w:val="nil"/>
              <w:bottom w:val="single" w:sz="4" w:space="0" w:color="auto"/>
              <w:right w:val="nil"/>
            </w:tcBorders>
            <w:shd w:val="clear" w:color="auto" w:fill="auto"/>
            <w:noWrap/>
            <w:vAlign w:val="center"/>
            <w:hideMark/>
          </w:tcPr>
          <w:p w14:paraId="1F5FDB63"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15.11</w:t>
            </w:r>
          </w:p>
        </w:tc>
        <w:tc>
          <w:tcPr>
            <w:tcW w:w="1260" w:type="dxa"/>
            <w:tcBorders>
              <w:top w:val="nil"/>
              <w:left w:val="nil"/>
              <w:bottom w:val="single" w:sz="4" w:space="0" w:color="auto"/>
              <w:right w:val="nil"/>
            </w:tcBorders>
            <w:shd w:val="clear" w:color="auto" w:fill="auto"/>
            <w:noWrap/>
            <w:vAlign w:val="center"/>
            <w:hideMark/>
          </w:tcPr>
          <w:p w14:paraId="3B702F1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36.89</w:t>
            </w:r>
          </w:p>
        </w:tc>
        <w:tc>
          <w:tcPr>
            <w:tcW w:w="1817" w:type="dxa"/>
            <w:tcBorders>
              <w:top w:val="nil"/>
              <w:left w:val="nil"/>
              <w:bottom w:val="single" w:sz="4" w:space="0" w:color="auto"/>
              <w:right w:val="nil"/>
            </w:tcBorders>
            <w:shd w:val="clear" w:color="auto" w:fill="auto"/>
            <w:noWrap/>
            <w:vAlign w:val="center"/>
            <w:hideMark/>
          </w:tcPr>
          <w:p w14:paraId="59CA91AA"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13.96</w:t>
            </w:r>
          </w:p>
        </w:tc>
      </w:tr>
      <w:tr w:rsidR="00401884" w:rsidRPr="00080B0B" w14:paraId="02D84413" w14:textId="77777777" w:rsidTr="00097117">
        <w:trPr>
          <w:trHeight w:val="1124"/>
        </w:trPr>
        <w:tc>
          <w:tcPr>
            <w:tcW w:w="2977" w:type="dxa"/>
            <w:vMerge/>
            <w:tcBorders>
              <w:top w:val="nil"/>
              <w:left w:val="nil"/>
              <w:bottom w:val="single" w:sz="4" w:space="0" w:color="auto"/>
              <w:right w:val="nil"/>
            </w:tcBorders>
            <w:vAlign w:val="center"/>
            <w:hideMark/>
          </w:tcPr>
          <w:p w14:paraId="679F9B0A"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2018" w:type="dxa"/>
            <w:tcBorders>
              <w:top w:val="nil"/>
              <w:left w:val="nil"/>
              <w:bottom w:val="nil"/>
              <w:right w:val="nil"/>
            </w:tcBorders>
            <w:shd w:val="clear" w:color="auto" w:fill="auto"/>
            <w:vAlign w:val="center"/>
            <w:hideMark/>
          </w:tcPr>
          <w:p w14:paraId="710BCB63"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A. </w:t>
            </w:r>
            <w:proofErr w:type="spellStart"/>
            <w:r w:rsidRPr="00401884">
              <w:rPr>
                <w:rFonts w:ascii="Times New Roman" w:eastAsia="Times New Roman" w:hAnsi="Times New Roman" w:cs="Times New Roman"/>
                <w:b/>
                <w:bCs/>
                <w:color w:val="000000"/>
                <w:sz w:val="20"/>
                <w:szCs w:val="20"/>
                <w:lang w:eastAsia="en-GB"/>
              </w:rPr>
              <w:t>Elfana</w:t>
            </w:r>
            <w:proofErr w:type="spellEnd"/>
            <w:r w:rsidRPr="00401884">
              <w:rPr>
                <w:rFonts w:ascii="Times New Roman" w:eastAsia="Times New Roman" w:hAnsi="Times New Roman" w:cs="Times New Roman"/>
                <w:b/>
                <w:bCs/>
                <w:color w:val="000000"/>
                <w:sz w:val="20"/>
                <w:szCs w:val="20"/>
                <w:lang w:eastAsia="en-GB"/>
              </w:rPr>
              <w:t xml:space="preserve"> et al., </w:t>
            </w:r>
            <w:r w:rsidRPr="00401884">
              <w:rPr>
                <w:rFonts w:ascii="Times New Roman" w:eastAsia="Times New Roman" w:hAnsi="Times New Roman" w:cs="Times New Roman"/>
                <w:b/>
                <w:bCs/>
                <w:color w:val="000000"/>
                <w:sz w:val="20"/>
                <w:szCs w:val="20"/>
                <w:lang w:eastAsia="en-GB"/>
              </w:rPr>
              <w:br/>
              <w:t>2021</w:t>
            </w:r>
          </w:p>
        </w:tc>
        <w:tc>
          <w:tcPr>
            <w:tcW w:w="1255" w:type="dxa"/>
            <w:tcBorders>
              <w:top w:val="nil"/>
              <w:left w:val="nil"/>
              <w:bottom w:val="nil"/>
              <w:right w:val="nil"/>
            </w:tcBorders>
            <w:shd w:val="clear" w:color="auto" w:fill="auto"/>
            <w:noWrap/>
            <w:vAlign w:val="center"/>
            <w:hideMark/>
          </w:tcPr>
          <w:p w14:paraId="6C867F5C"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11.45</w:t>
            </w:r>
          </w:p>
        </w:tc>
        <w:tc>
          <w:tcPr>
            <w:tcW w:w="1898" w:type="dxa"/>
            <w:tcBorders>
              <w:top w:val="nil"/>
              <w:left w:val="nil"/>
              <w:bottom w:val="nil"/>
              <w:right w:val="nil"/>
            </w:tcBorders>
            <w:shd w:val="clear" w:color="auto" w:fill="auto"/>
            <w:noWrap/>
            <w:vAlign w:val="center"/>
            <w:hideMark/>
          </w:tcPr>
          <w:p w14:paraId="7ED0E9EC"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4.13</w:t>
            </w:r>
          </w:p>
        </w:tc>
        <w:tc>
          <w:tcPr>
            <w:tcW w:w="1333" w:type="dxa"/>
            <w:tcBorders>
              <w:top w:val="nil"/>
              <w:left w:val="nil"/>
              <w:bottom w:val="nil"/>
              <w:right w:val="nil"/>
            </w:tcBorders>
            <w:shd w:val="clear" w:color="auto" w:fill="auto"/>
            <w:noWrap/>
            <w:vAlign w:val="center"/>
            <w:hideMark/>
          </w:tcPr>
          <w:p w14:paraId="2FAB0C87"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48.40</w:t>
            </w:r>
          </w:p>
        </w:tc>
        <w:tc>
          <w:tcPr>
            <w:tcW w:w="1921" w:type="dxa"/>
            <w:tcBorders>
              <w:top w:val="nil"/>
              <w:left w:val="nil"/>
              <w:bottom w:val="nil"/>
              <w:right w:val="nil"/>
            </w:tcBorders>
            <w:shd w:val="clear" w:color="auto" w:fill="auto"/>
            <w:noWrap/>
            <w:vAlign w:val="center"/>
            <w:hideMark/>
          </w:tcPr>
          <w:p w14:paraId="500C7261"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11.56</w:t>
            </w:r>
          </w:p>
        </w:tc>
        <w:tc>
          <w:tcPr>
            <w:tcW w:w="1260" w:type="dxa"/>
            <w:tcBorders>
              <w:top w:val="nil"/>
              <w:left w:val="nil"/>
              <w:bottom w:val="nil"/>
              <w:right w:val="nil"/>
            </w:tcBorders>
            <w:shd w:val="clear" w:color="auto" w:fill="auto"/>
            <w:noWrap/>
            <w:vAlign w:val="center"/>
            <w:hideMark/>
          </w:tcPr>
          <w:p w14:paraId="088CDD31"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40.15</w:t>
            </w:r>
          </w:p>
        </w:tc>
        <w:tc>
          <w:tcPr>
            <w:tcW w:w="1817" w:type="dxa"/>
            <w:tcBorders>
              <w:top w:val="nil"/>
              <w:left w:val="nil"/>
              <w:bottom w:val="nil"/>
              <w:right w:val="nil"/>
            </w:tcBorders>
            <w:shd w:val="clear" w:color="auto" w:fill="auto"/>
            <w:noWrap/>
            <w:vAlign w:val="center"/>
            <w:hideMark/>
          </w:tcPr>
          <w:p w14:paraId="1F0E4E2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7.73</w:t>
            </w:r>
          </w:p>
        </w:tc>
      </w:tr>
      <w:tr w:rsidR="00401884" w:rsidRPr="00080B0B" w14:paraId="10BC053F" w14:textId="77777777" w:rsidTr="00097117">
        <w:trPr>
          <w:trHeight w:val="471"/>
        </w:trPr>
        <w:tc>
          <w:tcPr>
            <w:tcW w:w="2977" w:type="dxa"/>
            <w:tcBorders>
              <w:top w:val="single" w:sz="12" w:space="0" w:color="auto"/>
              <w:left w:val="nil"/>
              <w:bottom w:val="single" w:sz="12" w:space="0" w:color="auto"/>
              <w:right w:val="nil"/>
            </w:tcBorders>
            <w:shd w:val="clear" w:color="auto" w:fill="auto"/>
            <w:vAlign w:val="center"/>
            <w:hideMark/>
          </w:tcPr>
          <w:p w14:paraId="3DB83896"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effect size</w:t>
            </w:r>
          </w:p>
        </w:tc>
        <w:tc>
          <w:tcPr>
            <w:tcW w:w="2018" w:type="dxa"/>
            <w:tcBorders>
              <w:top w:val="single" w:sz="12" w:space="0" w:color="auto"/>
              <w:left w:val="nil"/>
              <w:bottom w:val="single" w:sz="12" w:space="0" w:color="auto"/>
              <w:right w:val="nil"/>
            </w:tcBorders>
            <w:shd w:val="clear" w:color="auto" w:fill="auto"/>
            <w:noWrap/>
            <w:vAlign w:val="center"/>
            <w:hideMark/>
          </w:tcPr>
          <w:p w14:paraId="5F5FA85C"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255" w:type="dxa"/>
            <w:tcBorders>
              <w:top w:val="single" w:sz="12" w:space="0" w:color="auto"/>
              <w:left w:val="nil"/>
              <w:bottom w:val="single" w:sz="12" w:space="0" w:color="auto"/>
              <w:right w:val="nil"/>
            </w:tcBorders>
            <w:shd w:val="clear" w:color="auto" w:fill="auto"/>
            <w:noWrap/>
            <w:vAlign w:val="center"/>
            <w:hideMark/>
          </w:tcPr>
          <w:p w14:paraId="73CAC868"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9.84% </w:t>
            </w:r>
          </w:p>
        </w:tc>
        <w:tc>
          <w:tcPr>
            <w:tcW w:w="1898" w:type="dxa"/>
            <w:tcBorders>
              <w:top w:val="single" w:sz="12" w:space="0" w:color="auto"/>
              <w:left w:val="nil"/>
              <w:bottom w:val="single" w:sz="12" w:space="0" w:color="auto"/>
              <w:right w:val="nil"/>
            </w:tcBorders>
            <w:shd w:val="clear" w:color="auto" w:fill="auto"/>
            <w:vAlign w:val="center"/>
            <w:hideMark/>
          </w:tcPr>
          <w:p w14:paraId="457728B4"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95% CI</w:t>
            </w:r>
            <w:r w:rsidRPr="00401884">
              <w:rPr>
                <w:rFonts w:ascii="Times New Roman" w:eastAsia="Times New Roman" w:hAnsi="Times New Roman" w:cs="Times New Roman"/>
                <w:color w:val="000000"/>
                <w:sz w:val="20"/>
                <w:szCs w:val="20"/>
                <w:lang w:eastAsia="en-GB"/>
              </w:rPr>
              <w:br/>
              <w:t xml:space="preserve"> [ 5.99; 13.69]</w:t>
            </w:r>
          </w:p>
        </w:tc>
        <w:tc>
          <w:tcPr>
            <w:tcW w:w="1333" w:type="dxa"/>
            <w:tcBorders>
              <w:top w:val="single" w:sz="12" w:space="0" w:color="auto"/>
              <w:left w:val="nil"/>
              <w:bottom w:val="single" w:sz="12" w:space="0" w:color="auto"/>
              <w:right w:val="nil"/>
            </w:tcBorders>
            <w:shd w:val="clear" w:color="auto" w:fill="auto"/>
            <w:noWrap/>
            <w:vAlign w:val="center"/>
            <w:hideMark/>
          </w:tcPr>
          <w:p w14:paraId="07616307"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51.21% </w:t>
            </w:r>
          </w:p>
        </w:tc>
        <w:tc>
          <w:tcPr>
            <w:tcW w:w="1921" w:type="dxa"/>
            <w:tcBorders>
              <w:top w:val="single" w:sz="12" w:space="0" w:color="auto"/>
              <w:left w:val="nil"/>
              <w:bottom w:val="single" w:sz="12" w:space="0" w:color="auto"/>
              <w:right w:val="nil"/>
            </w:tcBorders>
            <w:shd w:val="clear" w:color="auto" w:fill="auto"/>
            <w:vAlign w:val="center"/>
            <w:hideMark/>
          </w:tcPr>
          <w:p w14:paraId="3E20AAA8"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[ 44.27; 58.15]</w:t>
            </w:r>
          </w:p>
        </w:tc>
        <w:tc>
          <w:tcPr>
            <w:tcW w:w="1260" w:type="dxa"/>
            <w:tcBorders>
              <w:top w:val="single" w:sz="12" w:space="0" w:color="auto"/>
              <w:left w:val="nil"/>
              <w:bottom w:val="single" w:sz="12" w:space="0" w:color="auto"/>
              <w:right w:val="nil"/>
            </w:tcBorders>
            <w:shd w:val="clear" w:color="auto" w:fill="auto"/>
            <w:noWrap/>
            <w:vAlign w:val="center"/>
            <w:hideMark/>
          </w:tcPr>
          <w:p w14:paraId="063FC1D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39.44% </w:t>
            </w:r>
          </w:p>
        </w:tc>
        <w:tc>
          <w:tcPr>
            <w:tcW w:w="1817" w:type="dxa"/>
            <w:tcBorders>
              <w:top w:val="single" w:sz="12" w:space="0" w:color="auto"/>
              <w:left w:val="nil"/>
              <w:bottom w:val="single" w:sz="12" w:space="0" w:color="auto"/>
              <w:right w:val="nil"/>
            </w:tcBorders>
            <w:shd w:val="clear" w:color="auto" w:fill="auto"/>
            <w:vAlign w:val="center"/>
            <w:hideMark/>
          </w:tcPr>
          <w:p w14:paraId="56FBB0D7"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[ 35.20; 43.69]</w:t>
            </w:r>
          </w:p>
        </w:tc>
      </w:tr>
      <w:tr w:rsidR="00401884" w:rsidRPr="00080B0B" w14:paraId="1858BD2B" w14:textId="77777777" w:rsidTr="00097117">
        <w:trPr>
          <w:trHeight w:val="235"/>
        </w:trPr>
        <w:tc>
          <w:tcPr>
            <w:tcW w:w="2977" w:type="dxa"/>
            <w:tcBorders>
              <w:top w:val="nil"/>
              <w:left w:val="nil"/>
              <w:bottom w:val="nil"/>
              <w:right w:val="nil"/>
            </w:tcBorders>
            <w:shd w:val="clear" w:color="auto" w:fill="auto"/>
            <w:noWrap/>
            <w:vAlign w:val="bottom"/>
            <w:hideMark/>
          </w:tcPr>
          <w:p w14:paraId="1821ECE6"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p>
        </w:tc>
        <w:tc>
          <w:tcPr>
            <w:tcW w:w="2018" w:type="dxa"/>
            <w:tcBorders>
              <w:top w:val="nil"/>
              <w:left w:val="nil"/>
              <w:bottom w:val="nil"/>
              <w:right w:val="nil"/>
            </w:tcBorders>
            <w:shd w:val="clear" w:color="auto" w:fill="auto"/>
            <w:vAlign w:val="center"/>
            <w:hideMark/>
          </w:tcPr>
          <w:p w14:paraId="6889F112" w14:textId="77777777" w:rsidR="00401884" w:rsidRPr="00401884" w:rsidRDefault="00401884" w:rsidP="00097117">
            <w:pPr>
              <w:spacing w:after="0" w:line="240" w:lineRule="auto"/>
              <w:rPr>
                <w:rFonts w:ascii="Times New Roman" w:eastAsia="Times New Roman" w:hAnsi="Times New Roman" w:cs="Times New Roman"/>
                <w:sz w:val="20"/>
                <w:szCs w:val="20"/>
                <w:lang w:eastAsia="en-GB"/>
              </w:rPr>
            </w:pPr>
          </w:p>
        </w:tc>
        <w:tc>
          <w:tcPr>
            <w:tcW w:w="1255" w:type="dxa"/>
            <w:tcBorders>
              <w:top w:val="nil"/>
              <w:left w:val="nil"/>
              <w:bottom w:val="nil"/>
              <w:right w:val="nil"/>
            </w:tcBorders>
            <w:shd w:val="clear" w:color="auto" w:fill="auto"/>
            <w:noWrap/>
            <w:vAlign w:val="center"/>
            <w:hideMark/>
          </w:tcPr>
          <w:p w14:paraId="0EF21E40"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898" w:type="dxa"/>
            <w:tcBorders>
              <w:top w:val="nil"/>
              <w:left w:val="nil"/>
              <w:bottom w:val="nil"/>
              <w:right w:val="nil"/>
            </w:tcBorders>
            <w:shd w:val="clear" w:color="auto" w:fill="auto"/>
            <w:vAlign w:val="center"/>
            <w:hideMark/>
          </w:tcPr>
          <w:p w14:paraId="797F4780"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333" w:type="dxa"/>
            <w:tcBorders>
              <w:top w:val="nil"/>
              <w:left w:val="nil"/>
              <w:bottom w:val="nil"/>
              <w:right w:val="nil"/>
            </w:tcBorders>
            <w:shd w:val="clear" w:color="auto" w:fill="auto"/>
            <w:noWrap/>
            <w:vAlign w:val="center"/>
            <w:hideMark/>
          </w:tcPr>
          <w:p w14:paraId="22E6F9EE"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921" w:type="dxa"/>
            <w:tcBorders>
              <w:top w:val="nil"/>
              <w:left w:val="nil"/>
              <w:bottom w:val="nil"/>
              <w:right w:val="nil"/>
            </w:tcBorders>
            <w:shd w:val="clear" w:color="auto" w:fill="auto"/>
            <w:noWrap/>
            <w:vAlign w:val="center"/>
            <w:hideMark/>
          </w:tcPr>
          <w:p w14:paraId="120EDFD4"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center"/>
            <w:hideMark/>
          </w:tcPr>
          <w:p w14:paraId="5FAD7C9D"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c>
          <w:tcPr>
            <w:tcW w:w="1817" w:type="dxa"/>
            <w:tcBorders>
              <w:top w:val="nil"/>
              <w:left w:val="nil"/>
              <w:bottom w:val="nil"/>
              <w:right w:val="nil"/>
            </w:tcBorders>
            <w:shd w:val="clear" w:color="auto" w:fill="auto"/>
            <w:noWrap/>
            <w:vAlign w:val="center"/>
            <w:hideMark/>
          </w:tcPr>
          <w:p w14:paraId="1D928082" w14:textId="77777777" w:rsidR="00401884" w:rsidRPr="00401884" w:rsidRDefault="00401884" w:rsidP="00097117">
            <w:pPr>
              <w:spacing w:after="0" w:line="240" w:lineRule="auto"/>
              <w:jc w:val="center"/>
              <w:rPr>
                <w:rFonts w:ascii="Times New Roman" w:eastAsia="Times New Roman" w:hAnsi="Times New Roman" w:cs="Times New Roman"/>
                <w:sz w:val="20"/>
                <w:szCs w:val="20"/>
                <w:lang w:eastAsia="en-GB"/>
              </w:rPr>
            </w:pPr>
          </w:p>
        </w:tc>
      </w:tr>
      <w:tr w:rsidR="00401884" w:rsidRPr="00080B0B" w14:paraId="1B821B7B" w14:textId="77777777" w:rsidTr="00097117">
        <w:trPr>
          <w:trHeight w:val="456"/>
        </w:trPr>
        <w:tc>
          <w:tcPr>
            <w:tcW w:w="2977" w:type="dxa"/>
            <w:vMerge w:val="restart"/>
            <w:tcBorders>
              <w:top w:val="nil"/>
              <w:left w:val="nil"/>
              <w:bottom w:val="single" w:sz="4" w:space="0" w:color="auto"/>
              <w:right w:val="nil"/>
            </w:tcBorders>
            <w:shd w:val="clear" w:color="auto" w:fill="auto"/>
            <w:textDirection w:val="btLr"/>
            <w:vAlign w:val="center"/>
            <w:hideMark/>
          </w:tcPr>
          <w:p w14:paraId="1F5DC81B"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Un--demineralized</w:t>
            </w:r>
            <w:r w:rsidRPr="00401884">
              <w:rPr>
                <w:rFonts w:ascii="Times New Roman" w:eastAsia="Times New Roman" w:hAnsi="Times New Roman" w:cs="Times New Roman"/>
                <w:b/>
                <w:bCs/>
                <w:color w:val="000000"/>
                <w:sz w:val="20"/>
                <w:szCs w:val="20"/>
                <w:lang w:eastAsia="en-GB"/>
              </w:rPr>
              <w:br/>
            </w:r>
          </w:p>
        </w:tc>
        <w:tc>
          <w:tcPr>
            <w:tcW w:w="2018" w:type="dxa"/>
            <w:tcBorders>
              <w:top w:val="nil"/>
              <w:left w:val="nil"/>
              <w:bottom w:val="single" w:sz="4" w:space="0" w:color="auto"/>
              <w:right w:val="nil"/>
            </w:tcBorders>
            <w:shd w:val="clear" w:color="auto" w:fill="auto"/>
            <w:vAlign w:val="center"/>
            <w:hideMark/>
          </w:tcPr>
          <w:p w14:paraId="6BD27119"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A. Santos et al., </w:t>
            </w:r>
            <w:r w:rsidRPr="00401884">
              <w:rPr>
                <w:rFonts w:ascii="Times New Roman" w:eastAsia="Times New Roman" w:hAnsi="Times New Roman" w:cs="Times New Roman"/>
                <w:b/>
                <w:bCs/>
                <w:color w:val="000000"/>
                <w:sz w:val="20"/>
                <w:szCs w:val="20"/>
                <w:lang w:eastAsia="en-GB"/>
              </w:rPr>
              <w:br/>
              <w:t>2021</w:t>
            </w:r>
          </w:p>
        </w:tc>
        <w:tc>
          <w:tcPr>
            <w:tcW w:w="1255" w:type="dxa"/>
            <w:tcBorders>
              <w:top w:val="nil"/>
              <w:left w:val="nil"/>
              <w:bottom w:val="single" w:sz="4" w:space="0" w:color="auto"/>
              <w:right w:val="nil"/>
            </w:tcBorders>
            <w:shd w:val="clear" w:color="auto" w:fill="auto"/>
            <w:noWrap/>
            <w:vAlign w:val="center"/>
            <w:hideMark/>
          </w:tcPr>
          <w:p w14:paraId="0349BC41"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12.20</w:t>
            </w:r>
          </w:p>
        </w:tc>
        <w:tc>
          <w:tcPr>
            <w:tcW w:w="1898" w:type="dxa"/>
            <w:tcBorders>
              <w:top w:val="nil"/>
              <w:left w:val="nil"/>
              <w:bottom w:val="single" w:sz="4" w:space="0" w:color="auto"/>
              <w:right w:val="nil"/>
            </w:tcBorders>
            <w:shd w:val="clear" w:color="auto" w:fill="auto"/>
            <w:noWrap/>
            <w:vAlign w:val="center"/>
            <w:hideMark/>
          </w:tcPr>
          <w:p w14:paraId="3EC7B9F1"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7.70</w:t>
            </w:r>
          </w:p>
        </w:tc>
        <w:tc>
          <w:tcPr>
            <w:tcW w:w="1333" w:type="dxa"/>
            <w:tcBorders>
              <w:top w:val="nil"/>
              <w:left w:val="nil"/>
              <w:bottom w:val="single" w:sz="4" w:space="0" w:color="auto"/>
              <w:right w:val="nil"/>
            </w:tcBorders>
            <w:shd w:val="clear" w:color="auto" w:fill="auto"/>
            <w:noWrap/>
            <w:vAlign w:val="center"/>
            <w:hideMark/>
          </w:tcPr>
          <w:p w14:paraId="0F353277"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47.30</w:t>
            </w:r>
          </w:p>
        </w:tc>
        <w:tc>
          <w:tcPr>
            <w:tcW w:w="1921" w:type="dxa"/>
            <w:tcBorders>
              <w:top w:val="nil"/>
              <w:left w:val="nil"/>
              <w:bottom w:val="single" w:sz="4" w:space="0" w:color="auto"/>
              <w:right w:val="nil"/>
            </w:tcBorders>
            <w:shd w:val="clear" w:color="auto" w:fill="auto"/>
            <w:noWrap/>
            <w:vAlign w:val="center"/>
            <w:hideMark/>
          </w:tcPr>
          <w:p w14:paraId="06DDB688"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14.80</w:t>
            </w:r>
          </w:p>
        </w:tc>
        <w:tc>
          <w:tcPr>
            <w:tcW w:w="1260" w:type="dxa"/>
            <w:tcBorders>
              <w:top w:val="nil"/>
              <w:left w:val="nil"/>
              <w:bottom w:val="single" w:sz="4" w:space="0" w:color="auto"/>
              <w:right w:val="nil"/>
            </w:tcBorders>
            <w:shd w:val="clear" w:color="auto" w:fill="auto"/>
            <w:noWrap/>
            <w:vAlign w:val="center"/>
            <w:hideMark/>
          </w:tcPr>
          <w:p w14:paraId="02B034D6"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40.50</w:t>
            </w:r>
          </w:p>
        </w:tc>
        <w:tc>
          <w:tcPr>
            <w:tcW w:w="1817" w:type="dxa"/>
            <w:tcBorders>
              <w:top w:val="nil"/>
              <w:left w:val="nil"/>
              <w:bottom w:val="single" w:sz="4" w:space="0" w:color="auto"/>
              <w:right w:val="nil"/>
            </w:tcBorders>
            <w:shd w:val="clear" w:color="auto" w:fill="auto"/>
            <w:noWrap/>
            <w:vAlign w:val="center"/>
            <w:hideMark/>
          </w:tcPr>
          <w:p w14:paraId="3CE79669"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17.60</w:t>
            </w:r>
          </w:p>
        </w:tc>
      </w:tr>
      <w:tr w:rsidR="00401884" w:rsidRPr="00080B0B" w14:paraId="06972A33" w14:textId="77777777" w:rsidTr="00097117">
        <w:trPr>
          <w:trHeight w:val="570"/>
        </w:trPr>
        <w:tc>
          <w:tcPr>
            <w:tcW w:w="2977" w:type="dxa"/>
            <w:vMerge/>
            <w:tcBorders>
              <w:top w:val="nil"/>
              <w:left w:val="nil"/>
              <w:bottom w:val="single" w:sz="4" w:space="0" w:color="auto"/>
              <w:right w:val="nil"/>
            </w:tcBorders>
            <w:vAlign w:val="center"/>
            <w:hideMark/>
          </w:tcPr>
          <w:p w14:paraId="69650649" w14:textId="77777777" w:rsidR="00401884" w:rsidRPr="00401884" w:rsidRDefault="00401884" w:rsidP="00097117">
            <w:pPr>
              <w:spacing w:after="0" w:line="240" w:lineRule="auto"/>
              <w:rPr>
                <w:rFonts w:ascii="Times New Roman" w:eastAsia="Times New Roman" w:hAnsi="Times New Roman" w:cs="Times New Roman"/>
                <w:b/>
                <w:bCs/>
                <w:color w:val="000000"/>
                <w:sz w:val="20"/>
                <w:szCs w:val="20"/>
                <w:lang w:eastAsia="en-GB"/>
              </w:rPr>
            </w:pPr>
          </w:p>
        </w:tc>
        <w:tc>
          <w:tcPr>
            <w:tcW w:w="2018" w:type="dxa"/>
            <w:tcBorders>
              <w:top w:val="nil"/>
              <w:left w:val="nil"/>
              <w:bottom w:val="nil"/>
              <w:right w:val="nil"/>
            </w:tcBorders>
            <w:shd w:val="clear" w:color="auto" w:fill="auto"/>
            <w:vAlign w:val="center"/>
            <w:hideMark/>
          </w:tcPr>
          <w:p w14:paraId="63AF1F18"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A. </w:t>
            </w:r>
            <w:proofErr w:type="spellStart"/>
            <w:r w:rsidRPr="00401884">
              <w:rPr>
                <w:rFonts w:ascii="Times New Roman" w:eastAsia="Times New Roman" w:hAnsi="Times New Roman" w:cs="Times New Roman"/>
                <w:b/>
                <w:bCs/>
                <w:color w:val="000000"/>
                <w:sz w:val="20"/>
                <w:szCs w:val="20"/>
                <w:lang w:eastAsia="en-GB"/>
              </w:rPr>
              <w:t>Elfana</w:t>
            </w:r>
            <w:proofErr w:type="spellEnd"/>
            <w:r w:rsidRPr="00401884">
              <w:rPr>
                <w:rFonts w:ascii="Times New Roman" w:eastAsia="Times New Roman" w:hAnsi="Times New Roman" w:cs="Times New Roman"/>
                <w:b/>
                <w:bCs/>
                <w:color w:val="000000"/>
                <w:sz w:val="20"/>
                <w:szCs w:val="20"/>
                <w:lang w:eastAsia="en-GB"/>
              </w:rPr>
              <w:t xml:space="preserve"> et al., </w:t>
            </w:r>
            <w:r w:rsidRPr="00401884">
              <w:rPr>
                <w:rFonts w:ascii="Times New Roman" w:eastAsia="Times New Roman" w:hAnsi="Times New Roman" w:cs="Times New Roman"/>
                <w:b/>
                <w:bCs/>
                <w:color w:val="000000"/>
                <w:sz w:val="20"/>
                <w:szCs w:val="20"/>
                <w:lang w:eastAsia="en-GB"/>
              </w:rPr>
              <w:br/>
              <w:t>2021</w:t>
            </w:r>
          </w:p>
        </w:tc>
        <w:tc>
          <w:tcPr>
            <w:tcW w:w="1255" w:type="dxa"/>
            <w:tcBorders>
              <w:top w:val="nil"/>
              <w:left w:val="nil"/>
              <w:bottom w:val="nil"/>
              <w:right w:val="nil"/>
            </w:tcBorders>
            <w:shd w:val="clear" w:color="auto" w:fill="auto"/>
            <w:noWrap/>
            <w:vAlign w:val="center"/>
            <w:hideMark/>
          </w:tcPr>
          <w:p w14:paraId="5048D03B"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17.05</w:t>
            </w:r>
          </w:p>
        </w:tc>
        <w:tc>
          <w:tcPr>
            <w:tcW w:w="1898" w:type="dxa"/>
            <w:tcBorders>
              <w:top w:val="nil"/>
              <w:left w:val="nil"/>
              <w:bottom w:val="nil"/>
              <w:right w:val="nil"/>
            </w:tcBorders>
            <w:shd w:val="clear" w:color="auto" w:fill="auto"/>
            <w:noWrap/>
            <w:vAlign w:val="center"/>
            <w:hideMark/>
          </w:tcPr>
          <w:p w14:paraId="14695296"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5.58</w:t>
            </w:r>
          </w:p>
        </w:tc>
        <w:tc>
          <w:tcPr>
            <w:tcW w:w="1333" w:type="dxa"/>
            <w:tcBorders>
              <w:top w:val="nil"/>
              <w:left w:val="nil"/>
              <w:bottom w:val="nil"/>
              <w:right w:val="nil"/>
            </w:tcBorders>
            <w:shd w:val="clear" w:color="auto" w:fill="auto"/>
            <w:noWrap/>
            <w:vAlign w:val="center"/>
            <w:hideMark/>
          </w:tcPr>
          <w:p w14:paraId="2791EE3B"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37.50</w:t>
            </w:r>
          </w:p>
        </w:tc>
        <w:tc>
          <w:tcPr>
            <w:tcW w:w="1921" w:type="dxa"/>
            <w:tcBorders>
              <w:top w:val="nil"/>
              <w:left w:val="nil"/>
              <w:bottom w:val="nil"/>
              <w:right w:val="nil"/>
            </w:tcBorders>
            <w:shd w:val="clear" w:color="auto" w:fill="auto"/>
            <w:noWrap/>
            <w:vAlign w:val="center"/>
            <w:hideMark/>
          </w:tcPr>
          <w:p w14:paraId="246D0794"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8.94</w:t>
            </w:r>
          </w:p>
        </w:tc>
        <w:tc>
          <w:tcPr>
            <w:tcW w:w="1260" w:type="dxa"/>
            <w:tcBorders>
              <w:top w:val="nil"/>
              <w:left w:val="nil"/>
              <w:bottom w:val="nil"/>
              <w:right w:val="nil"/>
            </w:tcBorders>
            <w:shd w:val="clear" w:color="auto" w:fill="auto"/>
            <w:noWrap/>
            <w:vAlign w:val="center"/>
            <w:hideMark/>
          </w:tcPr>
          <w:p w14:paraId="05C890CF"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45.40</w:t>
            </w:r>
          </w:p>
        </w:tc>
        <w:tc>
          <w:tcPr>
            <w:tcW w:w="1817" w:type="dxa"/>
            <w:tcBorders>
              <w:top w:val="nil"/>
              <w:left w:val="nil"/>
              <w:bottom w:val="nil"/>
              <w:right w:val="nil"/>
            </w:tcBorders>
            <w:shd w:val="clear" w:color="auto" w:fill="auto"/>
            <w:noWrap/>
            <w:vAlign w:val="center"/>
            <w:hideMark/>
          </w:tcPr>
          <w:p w14:paraId="7A681915"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4.06</w:t>
            </w:r>
          </w:p>
        </w:tc>
      </w:tr>
      <w:tr w:rsidR="00401884" w:rsidRPr="00080B0B" w14:paraId="448D1B16" w14:textId="77777777" w:rsidTr="00097117">
        <w:trPr>
          <w:trHeight w:val="637"/>
        </w:trPr>
        <w:tc>
          <w:tcPr>
            <w:tcW w:w="2977" w:type="dxa"/>
            <w:tcBorders>
              <w:top w:val="single" w:sz="12" w:space="0" w:color="auto"/>
              <w:left w:val="nil"/>
              <w:bottom w:val="single" w:sz="12" w:space="0" w:color="auto"/>
              <w:right w:val="nil"/>
            </w:tcBorders>
            <w:shd w:val="clear" w:color="auto" w:fill="auto"/>
            <w:vAlign w:val="center"/>
            <w:hideMark/>
          </w:tcPr>
          <w:p w14:paraId="703AABD5"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effect size</w:t>
            </w:r>
          </w:p>
        </w:tc>
        <w:tc>
          <w:tcPr>
            <w:tcW w:w="2018" w:type="dxa"/>
            <w:tcBorders>
              <w:top w:val="single" w:sz="12" w:space="0" w:color="auto"/>
              <w:left w:val="nil"/>
              <w:bottom w:val="single" w:sz="12" w:space="0" w:color="auto"/>
              <w:right w:val="nil"/>
            </w:tcBorders>
            <w:shd w:val="clear" w:color="auto" w:fill="auto"/>
            <w:noWrap/>
            <w:vAlign w:val="center"/>
            <w:hideMark/>
          </w:tcPr>
          <w:p w14:paraId="15DF0B42"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w:t>
            </w:r>
          </w:p>
        </w:tc>
        <w:tc>
          <w:tcPr>
            <w:tcW w:w="1255" w:type="dxa"/>
            <w:tcBorders>
              <w:top w:val="single" w:sz="12" w:space="0" w:color="auto"/>
              <w:left w:val="nil"/>
              <w:bottom w:val="single" w:sz="12" w:space="0" w:color="auto"/>
              <w:right w:val="nil"/>
            </w:tcBorders>
            <w:shd w:val="clear" w:color="auto" w:fill="auto"/>
            <w:noWrap/>
            <w:vAlign w:val="center"/>
            <w:hideMark/>
          </w:tcPr>
          <w:p w14:paraId="28BFA6A3"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14.54% </w:t>
            </w:r>
          </w:p>
        </w:tc>
        <w:tc>
          <w:tcPr>
            <w:tcW w:w="1898" w:type="dxa"/>
            <w:tcBorders>
              <w:top w:val="single" w:sz="12" w:space="0" w:color="auto"/>
              <w:left w:val="nil"/>
              <w:bottom w:val="single" w:sz="12" w:space="0" w:color="auto"/>
              <w:right w:val="nil"/>
            </w:tcBorders>
            <w:shd w:val="clear" w:color="auto" w:fill="auto"/>
            <w:vAlign w:val="center"/>
            <w:hideMark/>
          </w:tcPr>
          <w:p w14:paraId="5B6895E0"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95% CI [ 9.79; 19.29</w:t>
            </w:r>
          </w:p>
        </w:tc>
        <w:tc>
          <w:tcPr>
            <w:tcW w:w="1333" w:type="dxa"/>
            <w:tcBorders>
              <w:top w:val="single" w:sz="12" w:space="0" w:color="auto"/>
              <w:left w:val="nil"/>
              <w:bottom w:val="single" w:sz="12" w:space="0" w:color="auto"/>
              <w:right w:val="nil"/>
            </w:tcBorders>
            <w:shd w:val="clear" w:color="auto" w:fill="auto"/>
            <w:noWrap/>
            <w:vAlign w:val="center"/>
            <w:hideMark/>
          </w:tcPr>
          <w:p w14:paraId="564AAA56"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42.38% </w:t>
            </w:r>
          </w:p>
        </w:tc>
        <w:tc>
          <w:tcPr>
            <w:tcW w:w="1921" w:type="dxa"/>
            <w:tcBorders>
              <w:top w:val="single" w:sz="12" w:space="0" w:color="auto"/>
              <w:left w:val="nil"/>
              <w:bottom w:val="single" w:sz="12" w:space="0" w:color="auto"/>
              <w:right w:val="nil"/>
            </w:tcBorders>
            <w:shd w:val="clear" w:color="auto" w:fill="auto"/>
            <w:vAlign w:val="center"/>
            <w:hideMark/>
          </w:tcPr>
          <w:p w14:paraId="097577AB"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[ 32.77; 51.98]</w:t>
            </w:r>
          </w:p>
        </w:tc>
        <w:tc>
          <w:tcPr>
            <w:tcW w:w="1260" w:type="dxa"/>
            <w:tcBorders>
              <w:top w:val="single" w:sz="12" w:space="0" w:color="auto"/>
              <w:left w:val="nil"/>
              <w:bottom w:val="single" w:sz="12" w:space="0" w:color="auto"/>
              <w:right w:val="nil"/>
            </w:tcBorders>
            <w:shd w:val="clear" w:color="auto" w:fill="auto"/>
            <w:noWrap/>
            <w:vAlign w:val="center"/>
            <w:hideMark/>
          </w:tcPr>
          <w:p w14:paraId="7A7C871A"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val="en-US" w:eastAsia="en-GB"/>
              </w:rPr>
              <w:t xml:space="preserve">42.38% </w:t>
            </w:r>
          </w:p>
        </w:tc>
        <w:tc>
          <w:tcPr>
            <w:tcW w:w="1817" w:type="dxa"/>
            <w:tcBorders>
              <w:top w:val="single" w:sz="12" w:space="0" w:color="auto"/>
              <w:left w:val="nil"/>
              <w:bottom w:val="single" w:sz="12" w:space="0" w:color="auto"/>
              <w:right w:val="nil"/>
            </w:tcBorders>
            <w:shd w:val="clear" w:color="auto" w:fill="auto"/>
            <w:vAlign w:val="center"/>
            <w:hideMark/>
          </w:tcPr>
          <w:p w14:paraId="1657E230" w14:textId="77777777" w:rsidR="00401884" w:rsidRPr="00401884" w:rsidRDefault="00401884" w:rsidP="00097117">
            <w:pPr>
              <w:spacing w:after="0" w:line="240" w:lineRule="auto"/>
              <w:jc w:val="center"/>
              <w:rPr>
                <w:rFonts w:ascii="Times New Roman" w:eastAsia="Times New Roman" w:hAnsi="Times New Roman" w:cs="Times New Roman"/>
                <w:color w:val="000000"/>
                <w:sz w:val="20"/>
                <w:szCs w:val="20"/>
                <w:lang w:eastAsia="en-GB"/>
              </w:rPr>
            </w:pPr>
            <w:r w:rsidRPr="00401884">
              <w:rPr>
                <w:rFonts w:ascii="Times New Roman" w:eastAsia="Times New Roman" w:hAnsi="Times New Roman" w:cs="Times New Roman"/>
                <w:color w:val="000000"/>
                <w:sz w:val="20"/>
                <w:szCs w:val="20"/>
                <w:lang w:eastAsia="en-GB"/>
              </w:rPr>
              <w:t xml:space="preserve">95% CI </w:t>
            </w:r>
            <w:r w:rsidRPr="00401884">
              <w:rPr>
                <w:rFonts w:ascii="Times New Roman" w:eastAsia="Times New Roman" w:hAnsi="Times New Roman" w:cs="Times New Roman"/>
                <w:color w:val="000000"/>
                <w:sz w:val="20"/>
                <w:szCs w:val="20"/>
                <w:lang w:eastAsia="en-GB"/>
              </w:rPr>
              <w:br/>
              <w:t>[ 39.66; 48.34]</w:t>
            </w:r>
          </w:p>
        </w:tc>
      </w:tr>
      <w:tr w:rsidR="00401884" w:rsidRPr="00080B0B" w14:paraId="0A2F12C1" w14:textId="77777777" w:rsidTr="00097117">
        <w:trPr>
          <w:trHeight w:val="464"/>
        </w:trPr>
        <w:tc>
          <w:tcPr>
            <w:tcW w:w="2977" w:type="dxa"/>
            <w:tcBorders>
              <w:top w:val="nil"/>
              <w:left w:val="nil"/>
              <w:bottom w:val="nil"/>
              <w:right w:val="nil"/>
            </w:tcBorders>
            <w:shd w:val="clear" w:color="auto" w:fill="auto"/>
            <w:vAlign w:val="center"/>
            <w:hideMark/>
          </w:tcPr>
          <w:p w14:paraId="7454F80D"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overall effect size</w:t>
            </w:r>
          </w:p>
        </w:tc>
        <w:tc>
          <w:tcPr>
            <w:tcW w:w="2018" w:type="dxa"/>
            <w:tcBorders>
              <w:top w:val="nil"/>
              <w:left w:val="nil"/>
              <w:bottom w:val="nil"/>
              <w:right w:val="nil"/>
            </w:tcBorders>
            <w:shd w:val="clear" w:color="auto" w:fill="auto"/>
            <w:noWrap/>
            <w:vAlign w:val="bottom"/>
            <w:hideMark/>
          </w:tcPr>
          <w:p w14:paraId="7ABCFB7D"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p>
        </w:tc>
        <w:tc>
          <w:tcPr>
            <w:tcW w:w="1255" w:type="dxa"/>
            <w:tcBorders>
              <w:top w:val="nil"/>
              <w:left w:val="nil"/>
              <w:bottom w:val="nil"/>
              <w:right w:val="nil"/>
            </w:tcBorders>
            <w:shd w:val="clear" w:color="auto" w:fill="auto"/>
            <w:noWrap/>
            <w:vAlign w:val="center"/>
            <w:hideMark/>
          </w:tcPr>
          <w:p w14:paraId="3F08D27C"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11.61% </w:t>
            </w:r>
          </w:p>
        </w:tc>
        <w:tc>
          <w:tcPr>
            <w:tcW w:w="1898" w:type="dxa"/>
            <w:tcBorders>
              <w:top w:val="nil"/>
              <w:left w:val="nil"/>
              <w:bottom w:val="nil"/>
              <w:right w:val="nil"/>
            </w:tcBorders>
            <w:shd w:val="clear" w:color="auto" w:fill="auto"/>
            <w:vAlign w:val="center"/>
            <w:hideMark/>
          </w:tcPr>
          <w:p w14:paraId="507FC46D"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95% CI </w:t>
            </w:r>
            <w:r w:rsidRPr="00401884">
              <w:rPr>
                <w:rFonts w:ascii="Times New Roman" w:eastAsia="Times New Roman" w:hAnsi="Times New Roman" w:cs="Times New Roman"/>
                <w:b/>
                <w:bCs/>
                <w:color w:val="000000"/>
                <w:sz w:val="20"/>
                <w:szCs w:val="20"/>
                <w:lang w:eastAsia="en-GB"/>
              </w:rPr>
              <w:br/>
              <w:t>[ 9.05; 14.17]</w:t>
            </w:r>
          </w:p>
        </w:tc>
        <w:tc>
          <w:tcPr>
            <w:tcW w:w="1333" w:type="dxa"/>
            <w:tcBorders>
              <w:top w:val="nil"/>
              <w:left w:val="nil"/>
              <w:bottom w:val="nil"/>
              <w:right w:val="nil"/>
            </w:tcBorders>
            <w:shd w:val="clear" w:color="auto" w:fill="auto"/>
            <w:noWrap/>
            <w:vAlign w:val="center"/>
            <w:hideMark/>
          </w:tcPr>
          <w:p w14:paraId="509F5A38"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val="en-US" w:eastAsia="en-GB"/>
              </w:rPr>
              <w:t xml:space="preserve">40.23% </w:t>
            </w:r>
          </w:p>
        </w:tc>
        <w:tc>
          <w:tcPr>
            <w:tcW w:w="1921" w:type="dxa"/>
            <w:tcBorders>
              <w:top w:val="nil"/>
              <w:left w:val="nil"/>
              <w:bottom w:val="nil"/>
              <w:right w:val="nil"/>
            </w:tcBorders>
            <w:shd w:val="clear" w:color="auto" w:fill="auto"/>
            <w:vAlign w:val="center"/>
            <w:hideMark/>
          </w:tcPr>
          <w:p w14:paraId="0C550145"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95% CI </w:t>
            </w:r>
            <w:r w:rsidRPr="00401884">
              <w:rPr>
                <w:rFonts w:ascii="Times New Roman" w:eastAsia="Times New Roman" w:hAnsi="Times New Roman" w:cs="Times New Roman"/>
                <w:b/>
                <w:bCs/>
                <w:color w:val="000000"/>
                <w:sz w:val="20"/>
                <w:szCs w:val="20"/>
                <w:lang w:eastAsia="en-GB"/>
              </w:rPr>
              <w:br/>
              <w:t>[ 33.04; 47.42]</w:t>
            </w:r>
          </w:p>
        </w:tc>
        <w:tc>
          <w:tcPr>
            <w:tcW w:w="1260" w:type="dxa"/>
            <w:tcBorders>
              <w:top w:val="nil"/>
              <w:left w:val="nil"/>
              <w:bottom w:val="nil"/>
              <w:right w:val="nil"/>
            </w:tcBorders>
            <w:shd w:val="clear" w:color="auto" w:fill="auto"/>
            <w:noWrap/>
            <w:vAlign w:val="center"/>
            <w:hideMark/>
          </w:tcPr>
          <w:p w14:paraId="341E6F43"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val="en-US" w:eastAsia="en-GB"/>
              </w:rPr>
              <w:t xml:space="preserve">45.39% </w:t>
            </w:r>
          </w:p>
        </w:tc>
        <w:tc>
          <w:tcPr>
            <w:tcW w:w="1817" w:type="dxa"/>
            <w:tcBorders>
              <w:top w:val="nil"/>
              <w:left w:val="nil"/>
              <w:bottom w:val="nil"/>
              <w:right w:val="nil"/>
            </w:tcBorders>
            <w:shd w:val="clear" w:color="auto" w:fill="auto"/>
            <w:vAlign w:val="center"/>
            <w:hideMark/>
          </w:tcPr>
          <w:p w14:paraId="0E9F23DA" w14:textId="77777777" w:rsidR="00401884" w:rsidRPr="00401884" w:rsidRDefault="00401884" w:rsidP="00097117">
            <w:pPr>
              <w:spacing w:after="0" w:line="240" w:lineRule="auto"/>
              <w:jc w:val="center"/>
              <w:rPr>
                <w:rFonts w:ascii="Times New Roman" w:eastAsia="Times New Roman" w:hAnsi="Times New Roman" w:cs="Times New Roman"/>
                <w:b/>
                <w:bCs/>
                <w:color w:val="000000"/>
                <w:sz w:val="20"/>
                <w:szCs w:val="20"/>
                <w:lang w:eastAsia="en-GB"/>
              </w:rPr>
            </w:pPr>
            <w:r w:rsidRPr="00401884">
              <w:rPr>
                <w:rFonts w:ascii="Times New Roman" w:eastAsia="Times New Roman" w:hAnsi="Times New Roman" w:cs="Times New Roman"/>
                <w:b/>
                <w:bCs/>
                <w:color w:val="000000"/>
                <w:sz w:val="20"/>
                <w:szCs w:val="20"/>
                <w:lang w:eastAsia="en-GB"/>
              </w:rPr>
              <w:t xml:space="preserve">95% CI </w:t>
            </w:r>
            <w:r w:rsidRPr="00401884">
              <w:rPr>
                <w:rFonts w:ascii="Times New Roman" w:eastAsia="Times New Roman" w:hAnsi="Times New Roman" w:cs="Times New Roman"/>
                <w:b/>
                <w:bCs/>
                <w:color w:val="000000"/>
                <w:sz w:val="20"/>
                <w:szCs w:val="20"/>
                <w:lang w:eastAsia="en-GB"/>
              </w:rPr>
              <w:br/>
              <w:t>[ 38.48; 52.31]</w:t>
            </w:r>
          </w:p>
        </w:tc>
      </w:tr>
    </w:tbl>
    <w:p w14:paraId="18AC98F1" w14:textId="77777777" w:rsidR="00B44DF7" w:rsidRPr="00401884" w:rsidRDefault="00B44DF7" w:rsidP="00B44DF7">
      <w:pPr>
        <w:rPr>
          <w:rFonts w:ascii="Times New Roman" w:hAnsi="Times New Roman" w:cs="Times New Roman"/>
          <w:sz w:val="24"/>
          <w:szCs w:val="24"/>
        </w:rPr>
      </w:pPr>
    </w:p>
    <w:p w14:paraId="30742533" w14:textId="77777777" w:rsidR="00B44DF7" w:rsidRPr="00401884" w:rsidRDefault="00B44DF7" w:rsidP="00B44DF7">
      <w:pPr>
        <w:rPr>
          <w:rFonts w:ascii="Times New Roman" w:hAnsi="Times New Roman" w:cs="Times New Roman"/>
          <w:sz w:val="24"/>
          <w:szCs w:val="24"/>
        </w:rPr>
      </w:pPr>
    </w:p>
    <w:p w14:paraId="6E7A52F6" w14:textId="7CA54C93" w:rsidR="00696113" w:rsidRPr="0092302E" w:rsidRDefault="004A1B23" w:rsidP="00696113">
      <w:pPr>
        <w:pStyle w:val="Caption"/>
        <w:ind w:left="-851"/>
        <w:rPr>
          <w:color w:val="000000" w:themeColor="text1"/>
        </w:rPr>
      </w:pPr>
      <w:r w:rsidRPr="004A1B23">
        <w:rPr>
          <w:b/>
          <w:bCs/>
          <w:i w:val="0"/>
          <w:iCs w:val="0"/>
          <w:color w:val="000000" w:themeColor="text1"/>
          <w:sz w:val="22"/>
          <w:szCs w:val="22"/>
        </w:rPr>
        <w:lastRenderedPageBreak/>
        <w:t xml:space="preserve">Additional file 1: </w:t>
      </w:r>
      <w:r w:rsidR="00696113" w:rsidRPr="0092302E">
        <w:rPr>
          <w:b/>
          <w:bCs/>
          <w:i w:val="0"/>
          <w:iCs w:val="0"/>
          <w:color w:val="000000" w:themeColor="text1"/>
          <w:sz w:val="22"/>
          <w:szCs w:val="22"/>
        </w:rPr>
        <w:t xml:space="preserve">Appendix Figure </w:t>
      </w:r>
      <w:r w:rsidR="00696113" w:rsidRPr="0092302E">
        <w:rPr>
          <w:b/>
          <w:bCs/>
          <w:i w:val="0"/>
          <w:iCs w:val="0"/>
          <w:noProof/>
          <w:color w:val="000000" w:themeColor="text1"/>
          <w:sz w:val="22"/>
          <w:szCs w:val="22"/>
        </w:rPr>
        <w:t xml:space="preserve">1 </w:t>
      </w:r>
      <w:r w:rsidR="00696113" w:rsidRPr="0092302E">
        <w:rPr>
          <w:i w:val="0"/>
          <w:iCs w:val="0"/>
          <w:color w:val="000000" w:themeColor="text1"/>
          <w:sz w:val="22"/>
          <w:szCs w:val="22"/>
        </w:rPr>
        <w:t>Quality assessment based on Cochrane Risk of Bias Tool 2 (</w:t>
      </w:r>
      <w:proofErr w:type="spellStart"/>
      <w:r w:rsidR="00696113" w:rsidRPr="0092302E">
        <w:rPr>
          <w:i w:val="0"/>
          <w:iCs w:val="0"/>
          <w:color w:val="000000" w:themeColor="text1"/>
          <w:sz w:val="22"/>
          <w:szCs w:val="22"/>
        </w:rPr>
        <w:t>RoB</w:t>
      </w:r>
      <w:proofErr w:type="spellEnd"/>
      <w:r w:rsidR="00696113" w:rsidRPr="0092302E">
        <w:rPr>
          <w:i w:val="0"/>
          <w:iCs w:val="0"/>
          <w:color w:val="000000" w:themeColor="text1"/>
          <w:sz w:val="22"/>
          <w:szCs w:val="22"/>
        </w:rPr>
        <w:t xml:space="preserve"> 2) for randomized controlled trials</w:t>
      </w:r>
      <w:r w:rsidR="0092302E" w:rsidRPr="0092302E">
        <w:rPr>
          <w:i w:val="0"/>
          <w:iCs w:val="0"/>
          <w:color w:val="000000" w:themeColor="text1"/>
          <w:sz w:val="22"/>
          <w:szCs w:val="22"/>
        </w:rPr>
        <w:t>.</w:t>
      </w:r>
    </w:p>
    <w:p w14:paraId="65CDA099" w14:textId="77777777" w:rsidR="00696113" w:rsidRDefault="00696113" w:rsidP="00696113">
      <w:pPr>
        <w:rPr>
          <w:lang w:val="en-US"/>
        </w:rPr>
      </w:pPr>
      <w:r w:rsidRPr="00D6068B">
        <w:rPr>
          <w:noProof/>
          <w:lang w:val="en-US"/>
        </w:rPr>
        <w:drawing>
          <wp:inline distT="0" distB="0" distL="0" distR="0" wp14:anchorId="6963306A" wp14:editId="1D454261">
            <wp:extent cx="5760720" cy="2259965"/>
            <wp:effectExtent l="0" t="0" r="0" b="698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259965"/>
                    </a:xfrm>
                    <a:prstGeom prst="rect">
                      <a:avLst/>
                    </a:prstGeom>
                    <a:noFill/>
                    <a:ln>
                      <a:noFill/>
                    </a:ln>
                  </pic:spPr>
                </pic:pic>
              </a:graphicData>
            </a:graphic>
          </wp:inline>
        </w:drawing>
      </w:r>
    </w:p>
    <w:p w14:paraId="1C9709E4" w14:textId="77777777" w:rsidR="00696113" w:rsidRDefault="00696113" w:rsidP="00696113">
      <w:pPr>
        <w:rPr>
          <w:lang w:val="en-US"/>
        </w:rPr>
      </w:pPr>
      <w:r>
        <w:rPr>
          <w:lang w:val="en-US"/>
        </w:rPr>
        <w:br w:type="page"/>
      </w:r>
    </w:p>
    <w:p w14:paraId="47EA3AAD" w14:textId="5475896E" w:rsidR="00696113" w:rsidRPr="0092302E" w:rsidRDefault="004A1B23" w:rsidP="00696113">
      <w:pPr>
        <w:pStyle w:val="Caption"/>
        <w:ind w:left="-851"/>
        <w:rPr>
          <w:i w:val="0"/>
          <w:iCs w:val="0"/>
          <w:color w:val="000000" w:themeColor="text1"/>
          <w:sz w:val="22"/>
          <w:szCs w:val="22"/>
        </w:rPr>
      </w:pPr>
      <w:r w:rsidRPr="004A1B23">
        <w:rPr>
          <w:b/>
          <w:bCs/>
          <w:i w:val="0"/>
          <w:iCs w:val="0"/>
          <w:color w:val="000000" w:themeColor="text1"/>
          <w:sz w:val="22"/>
          <w:szCs w:val="22"/>
        </w:rPr>
        <w:lastRenderedPageBreak/>
        <w:t xml:space="preserve">Additional file 1: </w:t>
      </w:r>
      <w:r w:rsidR="00696113" w:rsidRPr="0092302E">
        <w:rPr>
          <w:b/>
          <w:bCs/>
          <w:i w:val="0"/>
          <w:iCs w:val="0"/>
          <w:color w:val="000000" w:themeColor="text1"/>
          <w:sz w:val="22"/>
          <w:szCs w:val="22"/>
        </w:rPr>
        <w:t xml:space="preserve">Appendix Figure 2 </w:t>
      </w:r>
      <w:r w:rsidR="00696113" w:rsidRPr="0092302E">
        <w:rPr>
          <w:i w:val="0"/>
          <w:iCs w:val="0"/>
          <w:color w:val="000000" w:themeColor="text1"/>
          <w:sz w:val="22"/>
          <w:szCs w:val="22"/>
        </w:rPr>
        <w:t>Quality assessment based on Cochrane risk of bias tool to assess non-randomized studies of interventions (ROBINS-I) for non-randomized studies of interventions</w:t>
      </w:r>
      <w:r w:rsidR="0092302E" w:rsidRPr="0092302E">
        <w:rPr>
          <w:i w:val="0"/>
          <w:iCs w:val="0"/>
          <w:color w:val="000000" w:themeColor="text1"/>
          <w:sz w:val="22"/>
          <w:szCs w:val="22"/>
        </w:rPr>
        <w:t>.</w:t>
      </w:r>
    </w:p>
    <w:p w14:paraId="7FD9D8C2" w14:textId="77777777" w:rsidR="00696113" w:rsidRPr="00F6082D" w:rsidRDefault="00696113" w:rsidP="00696113">
      <w:pPr>
        <w:rPr>
          <w:lang w:val="en-US"/>
        </w:rPr>
      </w:pPr>
    </w:p>
    <w:p w14:paraId="635D897A" w14:textId="77777777" w:rsidR="00696113" w:rsidRPr="00393342" w:rsidRDefault="00696113" w:rsidP="00696113">
      <w:pPr>
        <w:rPr>
          <w:lang w:val="en-US"/>
        </w:rPr>
      </w:pPr>
      <w:r w:rsidRPr="00BE7F62">
        <w:rPr>
          <w:noProof/>
          <w:lang w:val="en-US"/>
        </w:rPr>
        <w:drawing>
          <wp:anchor distT="0" distB="0" distL="114300" distR="114300" simplePos="0" relativeHeight="251659264" behindDoc="1" locked="0" layoutInCell="1" allowOverlap="1" wp14:anchorId="0A4447A6" wp14:editId="787D630C">
            <wp:simplePos x="0" y="0"/>
            <wp:positionH relativeFrom="margin">
              <wp:posOffset>-507365</wp:posOffset>
            </wp:positionH>
            <wp:positionV relativeFrom="paragraph">
              <wp:posOffset>84455</wp:posOffset>
            </wp:positionV>
            <wp:extent cx="6795770" cy="1066800"/>
            <wp:effectExtent l="0" t="0" r="5080" b="0"/>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9577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00908" w14:textId="77777777" w:rsidR="00696113" w:rsidRDefault="00696113" w:rsidP="00696113">
      <w:pPr>
        <w:pStyle w:val="Caption"/>
        <w:ind w:left="-851"/>
        <w:rPr>
          <w:b/>
          <w:bCs/>
          <w:i w:val="0"/>
          <w:iCs w:val="0"/>
          <w:sz w:val="22"/>
          <w:szCs w:val="22"/>
        </w:rPr>
      </w:pPr>
    </w:p>
    <w:p w14:paraId="6317271C" w14:textId="77777777" w:rsidR="00696113" w:rsidRDefault="00696113" w:rsidP="00696113">
      <w:pPr>
        <w:pStyle w:val="Caption"/>
        <w:ind w:left="-851"/>
        <w:rPr>
          <w:b/>
          <w:bCs/>
          <w:i w:val="0"/>
          <w:iCs w:val="0"/>
          <w:sz w:val="22"/>
          <w:szCs w:val="22"/>
        </w:rPr>
      </w:pPr>
    </w:p>
    <w:p w14:paraId="72C3F296" w14:textId="77777777" w:rsidR="00B44DF7" w:rsidRPr="00696113" w:rsidRDefault="00B44DF7" w:rsidP="00B44DF7">
      <w:pPr>
        <w:rPr>
          <w:rFonts w:ascii="Times New Roman" w:hAnsi="Times New Roman" w:cs="Times New Roman"/>
          <w:sz w:val="24"/>
          <w:szCs w:val="24"/>
          <w:lang w:val="en-US"/>
        </w:rPr>
      </w:pPr>
    </w:p>
    <w:p w14:paraId="623E5542" w14:textId="77777777" w:rsidR="00B44DF7" w:rsidRPr="00401884" w:rsidRDefault="00B44DF7" w:rsidP="00B44DF7">
      <w:pPr>
        <w:rPr>
          <w:rFonts w:ascii="Times New Roman" w:hAnsi="Times New Roman" w:cs="Times New Roman"/>
          <w:sz w:val="24"/>
          <w:szCs w:val="24"/>
        </w:rPr>
      </w:pPr>
    </w:p>
    <w:p w14:paraId="0C59AD0E" w14:textId="77777777" w:rsidR="00B44DF7" w:rsidRPr="00401884" w:rsidRDefault="00B44DF7" w:rsidP="00B44DF7">
      <w:pPr>
        <w:rPr>
          <w:rFonts w:ascii="Times New Roman" w:hAnsi="Times New Roman" w:cs="Times New Roman"/>
          <w:b/>
          <w:bCs/>
          <w:sz w:val="24"/>
          <w:szCs w:val="24"/>
        </w:rPr>
      </w:pPr>
    </w:p>
    <w:p w14:paraId="6750B106"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1DA42333" w14:textId="50C6A08A"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3</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Funnel plots indicates the presence of statistical heterogeneity and cofounding factors affecting the primary outcome (alveolar ridge width changes).</w:t>
      </w:r>
    </w:p>
    <w:p w14:paraId="3CE72435"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14BD3861" wp14:editId="3A2897C9">
            <wp:extent cx="5919952" cy="3397885"/>
            <wp:effectExtent l="0" t="0" r="5080" b="0"/>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6320" cy="3401540"/>
                    </a:xfrm>
                    <a:prstGeom prst="rect">
                      <a:avLst/>
                    </a:prstGeom>
                    <a:noFill/>
                  </pic:spPr>
                </pic:pic>
              </a:graphicData>
            </a:graphic>
          </wp:inline>
        </w:drawing>
      </w:r>
    </w:p>
    <w:p w14:paraId="0A64E671"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5BE920B7" w14:textId="224B6DD1"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4</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Funnel plots indicates the presence of statistical heterogeneity and cofounding factors affecting the residual graft proportion (%).</w:t>
      </w:r>
    </w:p>
    <w:p w14:paraId="1998F801"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4253DCDA" wp14:editId="264C6114">
            <wp:extent cx="6105382" cy="3324225"/>
            <wp:effectExtent l="0" t="0" r="0" b="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4156" cy="3329002"/>
                    </a:xfrm>
                    <a:prstGeom prst="rect">
                      <a:avLst/>
                    </a:prstGeom>
                    <a:noFill/>
                  </pic:spPr>
                </pic:pic>
              </a:graphicData>
            </a:graphic>
          </wp:inline>
        </w:drawing>
      </w:r>
    </w:p>
    <w:p w14:paraId="1C6F0AF1"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6B038B73" w14:textId="16AA5277"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5</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Funnel plots indicates the presence of statistical heterogeneity and cofounding factors affecting the newly formed bone proportion (%).</w:t>
      </w:r>
    </w:p>
    <w:p w14:paraId="0209BB0F" w14:textId="77777777" w:rsidR="00B44DF7" w:rsidRPr="00401884" w:rsidRDefault="00B44DF7" w:rsidP="00B44DF7">
      <w:pPr>
        <w:rPr>
          <w:rFonts w:ascii="Times New Roman" w:hAnsi="Times New Roman" w:cs="Times New Roman"/>
          <w:b/>
          <w:bCs/>
          <w:sz w:val="24"/>
          <w:szCs w:val="24"/>
        </w:rPr>
      </w:pPr>
    </w:p>
    <w:p w14:paraId="4A59E0BA"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5B34F37D" wp14:editId="196DD73B">
            <wp:extent cx="6094518" cy="3734435"/>
            <wp:effectExtent l="0" t="0" r="1905" b="0"/>
            <wp:docPr id="63" name="Kép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1494" cy="3738710"/>
                    </a:xfrm>
                    <a:prstGeom prst="rect">
                      <a:avLst/>
                    </a:prstGeom>
                    <a:noFill/>
                  </pic:spPr>
                </pic:pic>
              </a:graphicData>
            </a:graphic>
          </wp:inline>
        </w:drawing>
      </w:r>
    </w:p>
    <w:p w14:paraId="750F14D7" w14:textId="77777777" w:rsidR="00B44DF7" w:rsidRPr="00401884" w:rsidRDefault="00B44DF7" w:rsidP="00B44DF7">
      <w:pPr>
        <w:rPr>
          <w:rFonts w:ascii="Times New Roman" w:hAnsi="Times New Roman" w:cs="Times New Roman"/>
          <w:b/>
          <w:bCs/>
          <w:sz w:val="24"/>
          <w:szCs w:val="24"/>
        </w:rPr>
      </w:pPr>
    </w:p>
    <w:p w14:paraId="5E9F61B5"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23744249" w14:textId="7F0962B3"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6</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Funnel plots indicates the presence of statistical heterogeneity and cofounding factors affecting the connective tissue proportion (%).</w:t>
      </w:r>
    </w:p>
    <w:p w14:paraId="3E1FA2B7" w14:textId="77777777" w:rsidR="00B44DF7" w:rsidRPr="00401884" w:rsidRDefault="00B44DF7" w:rsidP="00B44DF7">
      <w:pPr>
        <w:rPr>
          <w:rFonts w:ascii="Times New Roman" w:hAnsi="Times New Roman" w:cs="Times New Roman"/>
          <w:b/>
          <w:bCs/>
          <w:sz w:val="24"/>
          <w:szCs w:val="24"/>
        </w:rPr>
      </w:pPr>
    </w:p>
    <w:p w14:paraId="5EB22929"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25E6BD97" wp14:editId="20040474">
            <wp:extent cx="5184106" cy="3112135"/>
            <wp:effectExtent l="0" t="0" r="0" b="0"/>
            <wp:docPr id="6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88520" cy="3114785"/>
                    </a:xfrm>
                    <a:prstGeom prst="rect">
                      <a:avLst/>
                    </a:prstGeom>
                    <a:noFill/>
                  </pic:spPr>
                </pic:pic>
              </a:graphicData>
            </a:graphic>
          </wp:inline>
        </w:drawing>
      </w:r>
    </w:p>
    <w:p w14:paraId="73E1EC33"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3D2F465B" w14:textId="77777777" w:rsidR="00B44DF7" w:rsidRPr="00401884" w:rsidRDefault="00B44DF7" w:rsidP="00B44DF7">
      <w:pPr>
        <w:rPr>
          <w:rFonts w:ascii="Times New Roman" w:hAnsi="Times New Roman" w:cs="Times New Roman"/>
          <w:b/>
          <w:bCs/>
          <w:sz w:val="24"/>
          <w:szCs w:val="24"/>
        </w:rPr>
      </w:pPr>
    </w:p>
    <w:p w14:paraId="59AAE534" w14:textId="73874137" w:rsidR="00B44DF7" w:rsidRPr="00401884" w:rsidRDefault="004A1B23" w:rsidP="00B44DF7">
      <w:pPr>
        <w:rPr>
          <w:rFonts w:ascii="Times New Roman" w:hAnsi="Times New Roman" w:cs="Times New Roman"/>
          <w:sz w:val="24"/>
          <w:szCs w:val="24"/>
        </w:rPr>
      </w:pPr>
      <w:r w:rsidRPr="004A1B23">
        <w:rPr>
          <w:rFonts w:ascii="Times New Roman" w:hAnsi="Times New Roman" w:cs="Times New Roman"/>
          <w:b/>
          <w:bCs/>
          <w:sz w:val="24"/>
          <w:szCs w:val="24"/>
        </w:rPr>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7</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 xml:space="preserve">Pooled mean of residual graft proportion. Neither clinical, nor statistical significant difference can be observed between the subgroups. </w:t>
      </w:r>
    </w:p>
    <w:p w14:paraId="0C27D50F"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552B8B44" wp14:editId="028A813B">
            <wp:extent cx="5760720" cy="3336290"/>
            <wp:effectExtent l="0" t="0" r="0" b="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336290"/>
                    </a:xfrm>
                    <a:prstGeom prst="rect">
                      <a:avLst/>
                    </a:prstGeom>
                  </pic:spPr>
                </pic:pic>
              </a:graphicData>
            </a:graphic>
          </wp:inline>
        </w:drawing>
      </w:r>
    </w:p>
    <w:p w14:paraId="6F2559C4"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06F1B2B0" w14:textId="5B00D7E2" w:rsidR="00B44DF7" w:rsidRPr="00401884" w:rsidRDefault="004A1B23" w:rsidP="00B44DF7">
      <w:pPr>
        <w:rPr>
          <w:rFonts w:ascii="Times New Roman" w:hAnsi="Times New Roman" w:cs="Times New Roman"/>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8</w:t>
      </w:r>
      <w:r w:rsidR="00B44DF7" w:rsidRPr="00401884">
        <w:rPr>
          <w:rFonts w:ascii="Times New Roman" w:hAnsi="Times New Roman" w:cs="Times New Roman"/>
          <w:b/>
          <w:bCs/>
          <w:sz w:val="24"/>
          <w:szCs w:val="24"/>
        </w:rPr>
        <w:t xml:space="preserve"> </w:t>
      </w:r>
      <w:r w:rsidR="00B44DF7" w:rsidRPr="00401884">
        <w:rPr>
          <w:rFonts w:ascii="Times New Roman" w:hAnsi="Times New Roman" w:cs="Times New Roman"/>
          <w:sz w:val="24"/>
          <w:szCs w:val="24"/>
        </w:rPr>
        <w:t>Pooled mean of newly formed bone proportion. A statistical significant difference can be observed between the subgroups.</w:t>
      </w:r>
    </w:p>
    <w:p w14:paraId="0160AE6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noProof/>
          <w:sz w:val="24"/>
          <w:szCs w:val="24"/>
          <w:lang w:val="en-US"/>
        </w:rPr>
        <w:drawing>
          <wp:inline distT="0" distB="0" distL="0" distR="0" wp14:anchorId="168C5987" wp14:editId="21534027">
            <wp:extent cx="5760720" cy="3376930"/>
            <wp:effectExtent l="0" t="0" r="0" b="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3376930"/>
                    </a:xfrm>
                    <a:prstGeom prst="rect">
                      <a:avLst/>
                    </a:prstGeom>
                  </pic:spPr>
                </pic:pic>
              </a:graphicData>
            </a:graphic>
          </wp:inline>
        </w:drawing>
      </w:r>
    </w:p>
    <w:p w14:paraId="7510770B"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13B3CCF9" w14:textId="50B80085" w:rsidR="00B44DF7" w:rsidRPr="00401884" w:rsidRDefault="004A1B23" w:rsidP="00B44DF7">
      <w:pPr>
        <w:rPr>
          <w:rFonts w:ascii="Times New Roman" w:hAnsi="Times New Roman" w:cs="Times New Roman"/>
          <w:sz w:val="24"/>
          <w:szCs w:val="24"/>
        </w:rPr>
      </w:pPr>
      <w:r w:rsidRPr="004A1B23">
        <w:rPr>
          <w:rFonts w:ascii="Times New Roman" w:hAnsi="Times New Roman" w:cs="Times New Roman"/>
          <w:b/>
          <w:bCs/>
          <w:sz w:val="24"/>
          <w:szCs w:val="24"/>
        </w:rPr>
        <w:lastRenderedPageBreak/>
        <w:t xml:space="preserve">Additional file 1: </w:t>
      </w:r>
      <w:r w:rsidR="00401884" w:rsidRPr="00401884">
        <w:rPr>
          <w:rFonts w:ascii="Times New Roman" w:hAnsi="Times New Roman" w:cs="Times New Roman"/>
          <w:b/>
          <w:bCs/>
          <w:sz w:val="24"/>
          <w:szCs w:val="24"/>
        </w:rPr>
        <w:t xml:space="preserve">Appendix </w:t>
      </w:r>
      <w:r w:rsidR="00B44DF7" w:rsidRPr="00401884">
        <w:rPr>
          <w:rFonts w:ascii="Times New Roman" w:hAnsi="Times New Roman" w:cs="Times New Roman"/>
          <w:b/>
          <w:bCs/>
          <w:sz w:val="24"/>
          <w:szCs w:val="24"/>
        </w:rPr>
        <w:t xml:space="preserve">Figure </w:t>
      </w:r>
      <w:r w:rsidR="00696113">
        <w:rPr>
          <w:rFonts w:ascii="Times New Roman" w:hAnsi="Times New Roman" w:cs="Times New Roman"/>
          <w:b/>
          <w:bCs/>
          <w:sz w:val="24"/>
          <w:szCs w:val="24"/>
        </w:rPr>
        <w:t xml:space="preserve">9 </w:t>
      </w:r>
      <w:r w:rsidR="00B44DF7" w:rsidRPr="00401884">
        <w:rPr>
          <w:rFonts w:ascii="Times New Roman" w:hAnsi="Times New Roman" w:cs="Times New Roman"/>
          <w:sz w:val="24"/>
          <w:szCs w:val="24"/>
        </w:rPr>
        <w:t>Pooled mean of connective tissue proportion. No statistical significant difference can be observed between the subgroups.</w:t>
      </w:r>
    </w:p>
    <w:p w14:paraId="73CB21BA"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noProof/>
          <w:sz w:val="24"/>
          <w:szCs w:val="24"/>
          <w:lang w:val="en-US"/>
        </w:rPr>
        <w:drawing>
          <wp:inline distT="0" distB="0" distL="0" distR="0" wp14:anchorId="11D0D3D0" wp14:editId="135A9C85">
            <wp:extent cx="5760720" cy="3329940"/>
            <wp:effectExtent l="0" t="0" r="0" b="381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329940"/>
                    </a:xfrm>
                    <a:prstGeom prst="rect">
                      <a:avLst/>
                    </a:prstGeom>
                  </pic:spPr>
                </pic:pic>
              </a:graphicData>
            </a:graphic>
          </wp:inline>
        </w:drawing>
      </w:r>
    </w:p>
    <w:p w14:paraId="52D9E264" w14:textId="77777777" w:rsidR="00B44DF7" w:rsidRPr="00401884" w:rsidRDefault="00B44DF7" w:rsidP="00B44DF7">
      <w:pPr>
        <w:rPr>
          <w:rFonts w:ascii="Times New Roman" w:hAnsi="Times New Roman" w:cs="Times New Roman"/>
          <w:b/>
          <w:bCs/>
          <w:sz w:val="24"/>
          <w:szCs w:val="24"/>
        </w:rPr>
      </w:pPr>
    </w:p>
    <w:p w14:paraId="0BCF000E" w14:textId="77777777" w:rsidR="00B44DF7" w:rsidRPr="00401884" w:rsidRDefault="00B44DF7" w:rsidP="00B44DF7">
      <w:pPr>
        <w:rPr>
          <w:rFonts w:ascii="Times New Roman" w:hAnsi="Times New Roman" w:cs="Times New Roman"/>
          <w:b/>
          <w:bCs/>
          <w:sz w:val="24"/>
          <w:szCs w:val="24"/>
        </w:rPr>
      </w:pPr>
      <w:r w:rsidRPr="00401884">
        <w:rPr>
          <w:rFonts w:ascii="Times New Roman" w:hAnsi="Times New Roman" w:cs="Times New Roman"/>
          <w:b/>
          <w:bCs/>
          <w:sz w:val="24"/>
          <w:szCs w:val="24"/>
        </w:rPr>
        <w:br w:type="page"/>
      </w:r>
    </w:p>
    <w:p w14:paraId="3C038E75" w14:textId="05AEA0CD" w:rsidR="00B44DF7" w:rsidRPr="00401884" w:rsidRDefault="004A1B23" w:rsidP="00B44DF7">
      <w:pPr>
        <w:rPr>
          <w:rFonts w:ascii="Times New Roman" w:hAnsi="Times New Roman" w:cs="Times New Roman"/>
          <w:b/>
          <w:bCs/>
          <w:color w:val="000000" w:themeColor="text1"/>
          <w:sz w:val="24"/>
          <w:szCs w:val="24"/>
        </w:rPr>
      </w:pPr>
      <w:r w:rsidRPr="004A1B23">
        <w:rPr>
          <w:rFonts w:ascii="Times New Roman" w:hAnsi="Times New Roman" w:cs="Times New Roman"/>
          <w:b/>
          <w:bCs/>
          <w:color w:val="000000" w:themeColor="text1"/>
          <w:sz w:val="24"/>
          <w:szCs w:val="24"/>
        </w:rPr>
        <w:lastRenderedPageBreak/>
        <w:t xml:space="preserve">Additional file 1: </w:t>
      </w:r>
      <w:r w:rsidR="00401884" w:rsidRPr="00401884">
        <w:rPr>
          <w:rFonts w:ascii="Times New Roman" w:hAnsi="Times New Roman" w:cs="Times New Roman"/>
          <w:b/>
          <w:bCs/>
          <w:color w:val="000000" w:themeColor="text1"/>
          <w:sz w:val="24"/>
          <w:szCs w:val="24"/>
        </w:rPr>
        <w:t>Appendix</w:t>
      </w:r>
      <w:r w:rsidR="00B44DF7" w:rsidRPr="00401884">
        <w:rPr>
          <w:rFonts w:ascii="Times New Roman" w:hAnsi="Times New Roman" w:cs="Times New Roman"/>
          <w:b/>
          <w:bCs/>
          <w:color w:val="000000" w:themeColor="text1"/>
          <w:sz w:val="24"/>
          <w:szCs w:val="24"/>
        </w:rPr>
        <w:t xml:space="preserve"> </w:t>
      </w:r>
      <w:r w:rsidR="00401884" w:rsidRPr="00401884">
        <w:rPr>
          <w:rFonts w:ascii="Times New Roman" w:hAnsi="Times New Roman" w:cs="Times New Roman"/>
          <w:b/>
          <w:bCs/>
          <w:color w:val="000000" w:themeColor="text1"/>
          <w:sz w:val="24"/>
          <w:szCs w:val="24"/>
        </w:rPr>
        <w:t>D</w:t>
      </w:r>
      <w:r w:rsidR="00B44DF7" w:rsidRPr="00401884">
        <w:rPr>
          <w:rFonts w:ascii="Times New Roman" w:hAnsi="Times New Roman" w:cs="Times New Roman"/>
          <w:b/>
          <w:bCs/>
          <w:color w:val="000000" w:themeColor="text1"/>
          <w:sz w:val="24"/>
          <w:szCs w:val="24"/>
        </w:rPr>
        <w:t>ocument 1. Search key</w:t>
      </w:r>
    </w:p>
    <w:p w14:paraId="6F7CEF6D"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("Socket preservation" OR "alveolar ridge preservation" OR ARP OR "alveolar preservation" OR "socket grafting" OR extract* tooth OR extract* teeth) AND (</w:t>
      </w:r>
      <w:proofErr w:type="spellStart"/>
      <w:r w:rsidRPr="00401884">
        <w:rPr>
          <w:rFonts w:ascii="Times New Roman" w:hAnsi="Times New Roman" w:cs="Times New Roman"/>
          <w:sz w:val="24"/>
          <w:szCs w:val="24"/>
        </w:rPr>
        <w:t>autogen</w:t>
      </w:r>
      <w:proofErr w:type="spellEnd"/>
      <w:r w:rsidRPr="00401884">
        <w:rPr>
          <w:rFonts w:ascii="Times New Roman" w:hAnsi="Times New Roman" w:cs="Times New Roman"/>
          <w:sz w:val="24"/>
          <w:szCs w:val="24"/>
        </w:rPr>
        <w:t xml:space="preserve">* graft OR </w:t>
      </w:r>
      <w:proofErr w:type="spellStart"/>
      <w:r w:rsidRPr="00401884">
        <w:rPr>
          <w:rFonts w:ascii="Times New Roman" w:hAnsi="Times New Roman" w:cs="Times New Roman"/>
          <w:sz w:val="24"/>
          <w:szCs w:val="24"/>
        </w:rPr>
        <w:t>autolog</w:t>
      </w:r>
      <w:proofErr w:type="spellEnd"/>
      <w:r w:rsidRPr="00401884">
        <w:rPr>
          <w:rFonts w:ascii="Times New Roman" w:hAnsi="Times New Roman" w:cs="Times New Roman"/>
          <w:sz w:val="24"/>
          <w:szCs w:val="24"/>
        </w:rPr>
        <w:t xml:space="preserve">* graft) AND ("human dentin" OR "dentin matrix" OR "dentin graft" OR ATB OR </w:t>
      </w:r>
      <w:proofErr w:type="spellStart"/>
      <w:r w:rsidRPr="00401884">
        <w:rPr>
          <w:rFonts w:ascii="Times New Roman" w:hAnsi="Times New Roman" w:cs="Times New Roman"/>
          <w:sz w:val="24"/>
          <w:szCs w:val="24"/>
        </w:rPr>
        <w:t>AutoBT</w:t>
      </w:r>
      <w:proofErr w:type="spellEnd"/>
      <w:r w:rsidRPr="00401884">
        <w:rPr>
          <w:rFonts w:ascii="Times New Roman" w:hAnsi="Times New Roman" w:cs="Times New Roman"/>
          <w:sz w:val="24"/>
          <w:szCs w:val="24"/>
        </w:rPr>
        <w:t xml:space="preserve"> OR ATG OR "tooth graft" OR teeth graft OR teeth derived graft OR tooth derived graft OR autologous tooth bone graft OR "Autologous Tooth Structure" OR </w:t>
      </w:r>
      <w:proofErr w:type="spellStart"/>
      <w:r w:rsidRPr="00401884">
        <w:rPr>
          <w:rFonts w:ascii="Times New Roman" w:hAnsi="Times New Roman" w:cs="Times New Roman"/>
          <w:sz w:val="24"/>
          <w:szCs w:val="24"/>
        </w:rPr>
        <w:t>autogen</w:t>
      </w:r>
      <w:proofErr w:type="spellEnd"/>
      <w:r w:rsidRPr="00401884">
        <w:rPr>
          <w:rFonts w:ascii="Times New Roman" w:hAnsi="Times New Roman" w:cs="Times New Roman"/>
          <w:sz w:val="24"/>
          <w:szCs w:val="24"/>
        </w:rPr>
        <w:t>* tooth bone graft).</w:t>
      </w:r>
    </w:p>
    <w:p w14:paraId="26FA0908" w14:textId="77777777" w:rsidR="00B44DF7" w:rsidRPr="00401884" w:rsidRDefault="00B44DF7" w:rsidP="00B44DF7">
      <w:pPr>
        <w:rPr>
          <w:rFonts w:ascii="Times New Roman" w:hAnsi="Times New Roman" w:cs="Times New Roman"/>
          <w:sz w:val="24"/>
          <w:szCs w:val="24"/>
        </w:rPr>
      </w:pPr>
    </w:p>
    <w:p w14:paraId="6139490D" w14:textId="2159E00A" w:rsidR="00B44DF7" w:rsidRPr="00401884" w:rsidRDefault="004A1B23" w:rsidP="00B44DF7">
      <w:pPr>
        <w:rPr>
          <w:rFonts w:ascii="Times New Roman" w:hAnsi="Times New Roman" w:cs="Times New Roman"/>
          <w:b/>
          <w:bCs/>
          <w:color w:val="000000" w:themeColor="text1"/>
          <w:sz w:val="24"/>
          <w:szCs w:val="24"/>
        </w:rPr>
      </w:pPr>
      <w:r w:rsidRPr="004A1B23">
        <w:rPr>
          <w:rFonts w:ascii="Times New Roman" w:hAnsi="Times New Roman" w:cs="Times New Roman"/>
          <w:b/>
          <w:bCs/>
          <w:color w:val="000000" w:themeColor="text1"/>
          <w:sz w:val="24"/>
          <w:szCs w:val="24"/>
        </w:rPr>
        <w:t xml:space="preserve">Additional file 1: </w:t>
      </w:r>
      <w:r w:rsidR="00401884" w:rsidRPr="00401884">
        <w:rPr>
          <w:rFonts w:ascii="Times New Roman" w:hAnsi="Times New Roman" w:cs="Times New Roman"/>
          <w:b/>
          <w:bCs/>
          <w:color w:val="000000" w:themeColor="text1"/>
          <w:sz w:val="24"/>
          <w:szCs w:val="24"/>
        </w:rPr>
        <w:t>Appendix</w:t>
      </w:r>
      <w:r w:rsidR="00B44DF7" w:rsidRPr="00401884">
        <w:rPr>
          <w:rFonts w:ascii="Times New Roman" w:hAnsi="Times New Roman" w:cs="Times New Roman"/>
          <w:b/>
          <w:bCs/>
          <w:color w:val="000000" w:themeColor="text1"/>
          <w:sz w:val="24"/>
          <w:szCs w:val="24"/>
        </w:rPr>
        <w:t xml:space="preserve"> </w:t>
      </w:r>
      <w:r w:rsidR="00401884" w:rsidRPr="00401884">
        <w:rPr>
          <w:rFonts w:ascii="Times New Roman" w:hAnsi="Times New Roman" w:cs="Times New Roman"/>
          <w:b/>
          <w:bCs/>
          <w:color w:val="000000" w:themeColor="text1"/>
          <w:sz w:val="24"/>
          <w:szCs w:val="24"/>
        </w:rPr>
        <w:t>D</w:t>
      </w:r>
      <w:r w:rsidR="00B44DF7" w:rsidRPr="00401884">
        <w:rPr>
          <w:rFonts w:ascii="Times New Roman" w:hAnsi="Times New Roman" w:cs="Times New Roman"/>
          <w:b/>
          <w:bCs/>
          <w:color w:val="000000" w:themeColor="text1"/>
          <w:sz w:val="24"/>
          <w:szCs w:val="24"/>
        </w:rPr>
        <w:t>ocument 2. Detailed statistical analysis</w:t>
      </w:r>
    </w:p>
    <w:p w14:paraId="6DB46D0F"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Both primary and secondary outcomes are continuous data. The change in ridge width represents horizontal reduction of the crest at the top of the ridge, as well as 1mm apically, relative to the initial values measured in millimetres, while the percentage of different components in histological samples ranges from 0 to 100. So far, only a few studies investigated ATB as a grafting material, and in these analyses different comparators were used, so we could not collect a common control group for analysis.</w:t>
      </w:r>
    </w:p>
    <w:p w14:paraId="3DC8C386"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Due to the considerable between-study heterogeneity, we used a random effects model to pool the effect sizes.</w:t>
      </w:r>
      <w:r w:rsidRPr="00401884" w:rsidDel="00D40CAD">
        <w:rPr>
          <w:rFonts w:ascii="Times New Roman" w:hAnsi="Times New Roman" w:cs="Times New Roman"/>
          <w:sz w:val="24"/>
          <w:szCs w:val="24"/>
        </w:rPr>
        <w:t xml:space="preserve"> </w:t>
      </w:r>
      <w:r w:rsidRPr="00401884">
        <w:rPr>
          <w:rFonts w:ascii="Times New Roman" w:hAnsi="Times New Roman" w:cs="Times New Roman"/>
          <w:sz w:val="24"/>
          <w:szCs w:val="24"/>
        </w:rPr>
        <w:t xml:space="preserve">Inverse variance weighting method was used to calculate the pooled means. For outcomes where the study number was more than five, a </w:t>
      </w:r>
      <w:proofErr w:type="spellStart"/>
      <w:r w:rsidRPr="00401884">
        <w:rPr>
          <w:rFonts w:ascii="Times New Roman" w:hAnsi="Times New Roman" w:cs="Times New Roman"/>
          <w:sz w:val="24"/>
          <w:szCs w:val="24"/>
        </w:rPr>
        <w:t>Hartung</w:t>
      </w:r>
      <w:proofErr w:type="spellEnd"/>
      <w:r w:rsidRPr="00401884">
        <w:rPr>
          <w:rFonts w:ascii="Times New Roman" w:hAnsi="Times New Roman" w:cs="Times New Roman"/>
          <w:sz w:val="24"/>
          <w:szCs w:val="24"/>
        </w:rPr>
        <w:t>-Knapp adjustment (</w:t>
      </w:r>
      <w:proofErr w:type="spellStart"/>
      <w:r w:rsidRPr="00401884">
        <w:rPr>
          <w:rFonts w:ascii="Times New Roman" w:hAnsi="Times New Roman" w:cs="Times New Roman"/>
          <w:sz w:val="24"/>
          <w:szCs w:val="24"/>
        </w:rPr>
        <w:t>IntHout</w:t>
      </w:r>
      <w:proofErr w:type="spellEnd"/>
      <w:r w:rsidRPr="00401884">
        <w:rPr>
          <w:rFonts w:ascii="Times New Roman" w:hAnsi="Times New Roman" w:cs="Times New Roman"/>
          <w:sz w:val="24"/>
          <w:szCs w:val="24"/>
        </w:rPr>
        <w:t xml:space="preserve"> et al., 2014; Knapp &amp; </w:t>
      </w:r>
      <w:proofErr w:type="spellStart"/>
      <w:r w:rsidRPr="00401884">
        <w:rPr>
          <w:rFonts w:ascii="Times New Roman" w:hAnsi="Times New Roman" w:cs="Times New Roman"/>
          <w:sz w:val="24"/>
          <w:szCs w:val="24"/>
        </w:rPr>
        <w:t>Hartung</w:t>
      </w:r>
      <w:proofErr w:type="spellEnd"/>
      <w:r w:rsidRPr="00401884">
        <w:rPr>
          <w:rFonts w:ascii="Times New Roman" w:hAnsi="Times New Roman" w:cs="Times New Roman"/>
          <w:sz w:val="24"/>
          <w:szCs w:val="24"/>
        </w:rPr>
        <w:t xml:space="preserve">, 2003) was applied. No adjustment was applied for fewer than five studies. Between-study heterogeneity was described by means of Cochrane Q test, and the </w:t>
      </w:r>
      <w:proofErr w:type="spellStart"/>
      <w:r w:rsidRPr="00401884">
        <w:rPr>
          <w:rFonts w:ascii="Times New Roman" w:hAnsi="Times New Roman" w:cs="Times New Roman"/>
          <w:sz w:val="24"/>
          <w:szCs w:val="24"/>
        </w:rPr>
        <w:t>Higgins&amp;Thompson’s</w:t>
      </w:r>
      <w:proofErr w:type="spellEnd"/>
      <w:r w:rsidRPr="00401884">
        <w:rPr>
          <w:rFonts w:ascii="Times New Roman" w:hAnsi="Times New Roman" w:cs="Times New Roman"/>
          <w:sz w:val="24"/>
          <w:szCs w:val="24"/>
        </w:rPr>
        <w:t xml:space="preserve"> </w:t>
      </w:r>
      <w:r w:rsidRPr="00401884">
        <w:rPr>
          <w:rFonts w:ascii="Times New Roman" w:hAnsi="Times New Roman" w:cs="Times New Roman"/>
          <w:i/>
          <w:iCs/>
          <w:sz w:val="24"/>
          <w:szCs w:val="24"/>
        </w:rPr>
        <w:t>I</w:t>
      </w:r>
      <w:r w:rsidRPr="00401884">
        <w:rPr>
          <w:rFonts w:ascii="Times New Roman" w:hAnsi="Times New Roman" w:cs="Times New Roman"/>
          <w:sz w:val="24"/>
          <w:szCs w:val="24"/>
          <w:vertAlign w:val="superscript"/>
        </w:rPr>
        <w:t>2</w:t>
      </w:r>
      <w:r w:rsidRPr="00401884">
        <w:rPr>
          <w:rFonts w:ascii="Times New Roman" w:hAnsi="Times New Roman" w:cs="Times New Roman"/>
          <w:sz w:val="24"/>
          <w:szCs w:val="24"/>
        </w:rPr>
        <w:t xml:space="preserve"> statistics (Thompson &amp; Higgins, 2002).</w:t>
      </w:r>
    </w:p>
    <w:p w14:paraId="5A01B4E2" w14:textId="49D1E65D"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t xml:space="preserve">Forest plots were used to graphically summarize the results. The confidence intervals of the individual studies and the pooled results were calculated based on the t-distribution. Where applicable, we reported the prediction intervals (i.e. the expected range of effects of future studies) of results following the recommendations of </w:t>
      </w:r>
      <w:proofErr w:type="spellStart"/>
      <w:r w:rsidRPr="00401884">
        <w:rPr>
          <w:rFonts w:ascii="Times New Roman" w:hAnsi="Times New Roman" w:cs="Times New Roman"/>
          <w:sz w:val="24"/>
          <w:szCs w:val="24"/>
        </w:rPr>
        <w:t>IntHout</w:t>
      </w:r>
      <w:proofErr w:type="spellEnd"/>
      <w:r w:rsidRPr="00401884">
        <w:rPr>
          <w:rFonts w:ascii="Times New Roman" w:hAnsi="Times New Roman" w:cs="Times New Roman"/>
          <w:sz w:val="24"/>
          <w:szCs w:val="24"/>
        </w:rPr>
        <w:t xml:space="preserve"> et al. Due to the low number of studies, precise outlier and influence analyses were not possible to be carried out. Subgroups were defined based on the different graft properties (demineralized / partially demineralized / </w:t>
      </w:r>
      <w:proofErr w:type="spellStart"/>
      <w:r w:rsidRPr="00401884">
        <w:rPr>
          <w:rFonts w:ascii="Times New Roman" w:hAnsi="Times New Roman" w:cs="Times New Roman"/>
          <w:sz w:val="24"/>
          <w:szCs w:val="24"/>
        </w:rPr>
        <w:t>undemineralized</w:t>
      </w:r>
      <w:proofErr w:type="spellEnd"/>
      <w:r w:rsidRPr="00401884">
        <w:rPr>
          <w:rFonts w:ascii="Times New Roman" w:hAnsi="Times New Roman" w:cs="Times New Roman"/>
          <w:sz w:val="24"/>
          <w:szCs w:val="24"/>
        </w:rPr>
        <w:t xml:space="preserve">). In case of subgroup analysis a mixed-effects model were used. All subgroups were assumed to share a common </w:t>
      </w:r>
      <w:r w:rsidRPr="00401884">
        <w:rPr>
          <w:rFonts w:ascii="Times New Roman" w:hAnsi="Times New Roman" w:cs="Times New Roman"/>
          <w:i/>
          <w:iCs/>
          <w:sz w:val="24"/>
          <w:szCs w:val="24"/>
        </w:rPr>
        <w:t>τ</w:t>
      </w:r>
      <w:r w:rsidRPr="00401884">
        <w:rPr>
          <w:rFonts w:ascii="Times New Roman" w:hAnsi="Times New Roman" w:cs="Times New Roman"/>
          <w:sz w:val="24"/>
          <w:szCs w:val="24"/>
          <w:vertAlign w:val="superscript"/>
        </w:rPr>
        <w:t>2</w:t>
      </w:r>
      <w:r w:rsidRPr="00401884">
        <w:rPr>
          <w:rFonts w:ascii="Times New Roman" w:hAnsi="Times New Roman" w:cs="Times New Roman"/>
          <w:sz w:val="24"/>
          <w:szCs w:val="24"/>
        </w:rPr>
        <w:t xml:space="preserve"> value as the difference was not anticipated in the between-study heterogeneity in the subgroups and the study number was relatively small in some subgroups. To assess the difference between the subgroups a Cochrane Q test was used. </w:t>
      </w:r>
    </w:p>
    <w:p w14:paraId="0E852DB4" w14:textId="77777777" w:rsidR="00B44DF7" w:rsidRPr="00401884" w:rsidRDefault="00B44DF7" w:rsidP="00B44DF7">
      <w:pPr>
        <w:rPr>
          <w:rFonts w:ascii="Times New Roman" w:hAnsi="Times New Roman" w:cs="Times New Roman"/>
          <w:b/>
          <w:bCs/>
          <w:sz w:val="24"/>
          <w:szCs w:val="24"/>
        </w:rPr>
      </w:pPr>
    </w:p>
    <w:p w14:paraId="2636FF93" w14:textId="2E36D4A1" w:rsidR="00B44DF7" w:rsidRPr="00401884" w:rsidRDefault="004A1B23" w:rsidP="00B44DF7">
      <w:pPr>
        <w:rPr>
          <w:rFonts w:ascii="Times New Roman" w:hAnsi="Times New Roman" w:cs="Times New Roman"/>
          <w:b/>
          <w:bCs/>
          <w:sz w:val="24"/>
          <w:szCs w:val="24"/>
        </w:rPr>
      </w:pPr>
      <w:r w:rsidRPr="004A1B23">
        <w:rPr>
          <w:rFonts w:ascii="Times New Roman" w:hAnsi="Times New Roman" w:cs="Times New Roman"/>
          <w:b/>
          <w:bCs/>
          <w:sz w:val="24"/>
          <w:szCs w:val="24"/>
        </w:rPr>
        <w:t xml:space="preserve">Additional file 1: </w:t>
      </w:r>
      <w:bookmarkStart w:id="3" w:name="_GoBack"/>
      <w:bookmarkEnd w:id="3"/>
      <w:r w:rsidR="00401884" w:rsidRPr="00401884">
        <w:rPr>
          <w:rFonts w:ascii="Times New Roman" w:hAnsi="Times New Roman" w:cs="Times New Roman"/>
          <w:b/>
          <w:bCs/>
          <w:sz w:val="24"/>
          <w:szCs w:val="24"/>
        </w:rPr>
        <w:t>Appendix</w:t>
      </w:r>
      <w:r w:rsidR="00B44DF7" w:rsidRPr="00401884">
        <w:rPr>
          <w:rFonts w:ascii="Times New Roman" w:hAnsi="Times New Roman" w:cs="Times New Roman"/>
          <w:b/>
          <w:bCs/>
          <w:sz w:val="24"/>
          <w:szCs w:val="24"/>
        </w:rPr>
        <w:t xml:space="preserve"> document 3. Detailed study </w:t>
      </w:r>
      <w:proofErr w:type="spellStart"/>
      <w:r w:rsidR="00B44DF7" w:rsidRPr="00401884">
        <w:rPr>
          <w:rFonts w:ascii="Times New Roman" w:hAnsi="Times New Roman" w:cs="Times New Roman"/>
          <w:b/>
          <w:bCs/>
          <w:sz w:val="24"/>
          <w:szCs w:val="24"/>
        </w:rPr>
        <w:t>charachteristics</w:t>
      </w:r>
      <w:proofErr w:type="spellEnd"/>
    </w:p>
    <w:p w14:paraId="26F7722F" w14:textId="77777777" w:rsidR="00B44DF7" w:rsidRPr="00401884" w:rsidRDefault="00B44DF7" w:rsidP="00B44DF7">
      <w:pPr>
        <w:rPr>
          <w:rFonts w:ascii="Times New Roman" w:hAnsi="Times New Roman" w:cs="Times New Roman"/>
          <w:b/>
          <w:sz w:val="24"/>
          <w:szCs w:val="24"/>
        </w:rPr>
      </w:pPr>
      <w:r w:rsidRPr="00401884">
        <w:rPr>
          <w:rFonts w:ascii="Times New Roman" w:hAnsi="Times New Roman" w:cs="Times New Roman"/>
          <w:b/>
          <w:sz w:val="24"/>
          <w:szCs w:val="24"/>
        </w:rPr>
        <w:t>Population epidemiology, tooth types and reason for extraction</w:t>
      </w:r>
    </w:p>
    <w:p w14:paraId="7DE44F5C" w14:textId="77777777" w:rsidR="00B44DF7" w:rsidRPr="00401884" w:rsidRDefault="00B44DF7" w:rsidP="00B44DF7">
      <w:pPr>
        <w:rPr>
          <w:rFonts w:ascii="Times New Roman" w:hAnsi="Times New Roman" w:cs="Times New Roman"/>
          <w:sz w:val="24"/>
          <w:szCs w:val="24"/>
        </w:rPr>
      </w:pPr>
      <w:r w:rsidRPr="00401884">
        <w:rPr>
          <w:rFonts w:ascii="Times New Roman" w:hAnsi="Times New Roman" w:cs="Times New Roman"/>
          <w:sz w:val="24"/>
          <w:szCs w:val="24"/>
        </w:rPr>
        <w:lastRenderedPageBreak/>
        <w:t>The selected studies included a number of subjects ranging between six and 30. Two studies did not report on the average/ mean age of patients (</w:t>
      </w:r>
      <w:proofErr w:type="spellStart"/>
      <w:r w:rsidRPr="00401884">
        <w:rPr>
          <w:rFonts w:ascii="Times New Roman" w:hAnsi="Times New Roman" w:cs="Times New Roman"/>
          <w:sz w:val="24"/>
          <w:szCs w:val="24"/>
        </w:rPr>
        <w:t>Dwivedi</w:t>
      </w:r>
      <w:proofErr w:type="spellEnd"/>
      <w:r w:rsidRPr="00401884">
        <w:rPr>
          <w:rFonts w:ascii="Times New Roman" w:hAnsi="Times New Roman" w:cs="Times New Roman"/>
          <w:sz w:val="24"/>
          <w:szCs w:val="24"/>
        </w:rPr>
        <w:t xml:space="preserve"> &amp; </w:t>
      </w:r>
      <w:proofErr w:type="spellStart"/>
      <w:r w:rsidRPr="00401884">
        <w:rPr>
          <w:rFonts w:ascii="Times New Roman" w:hAnsi="Times New Roman" w:cs="Times New Roman"/>
          <w:sz w:val="24"/>
          <w:szCs w:val="24"/>
        </w:rPr>
        <w:t>Kour</w:t>
      </w:r>
      <w:proofErr w:type="spellEnd"/>
      <w:r w:rsidRPr="00401884">
        <w:rPr>
          <w:rFonts w:ascii="Times New Roman" w:hAnsi="Times New Roman" w:cs="Times New Roman"/>
          <w:sz w:val="24"/>
          <w:szCs w:val="24"/>
        </w:rPr>
        <w:t xml:space="preserve">, 2020; </w:t>
      </w:r>
      <w:proofErr w:type="spellStart"/>
      <w:r w:rsidRPr="00401884">
        <w:rPr>
          <w:rFonts w:ascii="Times New Roman" w:hAnsi="Times New Roman" w:cs="Times New Roman"/>
          <w:sz w:val="24"/>
          <w:szCs w:val="24"/>
        </w:rPr>
        <w:t>Radoczy-Drajko</w:t>
      </w:r>
      <w:proofErr w:type="spellEnd"/>
      <w:r w:rsidRPr="00401884">
        <w:rPr>
          <w:rFonts w:ascii="Times New Roman" w:hAnsi="Times New Roman" w:cs="Times New Roman"/>
          <w:sz w:val="24"/>
          <w:szCs w:val="24"/>
        </w:rPr>
        <w:t xml:space="preserve"> et al., 2021)and only one did not provide information on the gender of the participants (</w:t>
      </w:r>
      <w:proofErr w:type="spellStart"/>
      <w:r w:rsidRPr="00401884">
        <w:rPr>
          <w:rFonts w:ascii="Times New Roman" w:hAnsi="Times New Roman" w:cs="Times New Roman"/>
          <w:sz w:val="24"/>
          <w:szCs w:val="24"/>
        </w:rPr>
        <w:t>Radoczy-Drajko</w:t>
      </w:r>
      <w:proofErr w:type="spellEnd"/>
      <w:r w:rsidRPr="00401884">
        <w:rPr>
          <w:rFonts w:ascii="Times New Roman" w:hAnsi="Times New Roman" w:cs="Times New Roman"/>
          <w:sz w:val="24"/>
          <w:szCs w:val="24"/>
        </w:rPr>
        <w:t xml:space="preserve"> et al., 2021). Local and systematic criteria for inclusion / exclusion were clearly reported in all the papers included in the meta-analysis, however the reasons for the extraction are reported in only two </w:t>
      </w:r>
      <w:proofErr w:type="gramStart"/>
      <w:r w:rsidRPr="00401884">
        <w:rPr>
          <w:rFonts w:ascii="Times New Roman" w:hAnsi="Times New Roman" w:cs="Times New Roman"/>
          <w:sz w:val="24"/>
          <w:szCs w:val="24"/>
        </w:rPr>
        <w:t>studies(</w:t>
      </w:r>
      <w:proofErr w:type="gramEnd"/>
      <w:r w:rsidRPr="00401884">
        <w:rPr>
          <w:rFonts w:ascii="Times New Roman" w:hAnsi="Times New Roman" w:cs="Times New Roman"/>
          <w:sz w:val="24"/>
          <w:szCs w:val="24"/>
        </w:rPr>
        <w:t>Jung et al., 2018; Um et al., 2019). Most studies evaluated effects of ARP on both mandibular and maxillary sites(</w:t>
      </w:r>
      <w:proofErr w:type="spellStart"/>
      <w:r w:rsidRPr="00401884">
        <w:rPr>
          <w:rFonts w:ascii="Times New Roman" w:hAnsi="Times New Roman" w:cs="Times New Roman"/>
          <w:sz w:val="24"/>
          <w:szCs w:val="24"/>
        </w:rPr>
        <w:t>Dwivedi</w:t>
      </w:r>
      <w:proofErr w:type="spellEnd"/>
      <w:r w:rsidRPr="00401884">
        <w:rPr>
          <w:rFonts w:ascii="Times New Roman" w:hAnsi="Times New Roman" w:cs="Times New Roman"/>
          <w:sz w:val="24"/>
          <w:szCs w:val="24"/>
        </w:rPr>
        <w:t xml:space="preserve"> &amp; </w:t>
      </w:r>
      <w:proofErr w:type="spellStart"/>
      <w:r w:rsidRPr="00401884">
        <w:rPr>
          <w:rFonts w:ascii="Times New Roman" w:hAnsi="Times New Roman" w:cs="Times New Roman"/>
          <w:sz w:val="24"/>
          <w:szCs w:val="24"/>
        </w:rPr>
        <w:t>Kour</w:t>
      </w:r>
      <w:proofErr w:type="spellEnd"/>
      <w:r w:rsidRPr="00401884">
        <w:rPr>
          <w:rFonts w:ascii="Times New Roman" w:hAnsi="Times New Roman" w:cs="Times New Roman"/>
          <w:sz w:val="24"/>
          <w:szCs w:val="24"/>
        </w:rPr>
        <w:t xml:space="preserve">, 2020; </w:t>
      </w:r>
      <w:proofErr w:type="spellStart"/>
      <w:r w:rsidRPr="00401884">
        <w:rPr>
          <w:rFonts w:ascii="Times New Roman" w:hAnsi="Times New Roman" w:cs="Times New Roman"/>
          <w:sz w:val="24"/>
          <w:szCs w:val="24"/>
        </w:rPr>
        <w:t>Elfana</w:t>
      </w:r>
      <w:proofErr w:type="spellEnd"/>
      <w:r w:rsidRPr="00401884">
        <w:rPr>
          <w:rFonts w:ascii="Times New Roman" w:hAnsi="Times New Roman" w:cs="Times New Roman"/>
          <w:sz w:val="24"/>
          <w:szCs w:val="24"/>
        </w:rPr>
        <w:t xml:space="preserve"> et al., 2021; Joshi et al., 2016; Jung et al., 2018; Pang et al., 2017; </w:t>
      </w:r>
      <w:proofErr w:type="spellStart"/>
      <w:r w:rsidRPr="00401884">
        <w:rPr>
          <w:rFonts w:ascii="Times New Roman" w:hAnsi="Times New Roman" w:cs="Times New Roman"/>
          <w:sz w:val="24"/>
          <w:szCs w:val="24"/>
        </w:rPr>
        <w:t>Radoczy-Drajko</w:t>
      </w:r>
      <w:proofErr w:type="spellEnd"/>
      <w:r w:rsidRPr="00401884">
        <w:rPr>
          <w:rFonts w:ascii="Times New Roman" w:hAnsi="Times New Roman" w:cs="Times New Roman"/>
          <w:sz w:val="24"/>
          <w:szCs w:val="24"/>
        </w:rPr>
        <w:t xml:space="preserve"> et al., 2021; Um et al., 2019)</w:t>
      </w:r>
      <w:r w:rsidRPr="00401884">
        <w:rPr>
          <w:rFonts w:ascii="Times New Roman" w:hAnsi="Times New Roman" w:cs="Times New Roman"/>
          <w:bCs/>
          <w:sz w:val="24"/>
          <w:szCs w:val="24"/>
        </w:rPr>
        <w:t>. Three studies included all types of teeth(</w:t>
      </w:r>
      <w:proofErr w:type="spellStart"/>
      <w:r w:rsidRPr="00401884">
        <w:rPr>
          <w:rFonts w:ascii="Times New Roman" w:hAnsi="Times New Roman" w:cs="Times New Roman"/>
          <w:bCs/>
          <w:sz w:val="24"/>
          <w:szCs w:val="24"/>
        </w:rPr>
        <w:t>Dwivedi</w:t>
      </w:r>
      <w:proofErr w:type="spellEnd"/>
      <w:r w:rsidRPr="00401884">
        <w:rPr>
          <w:rFonts w:ascii="Times New Roman" w:hAnsi="Times New Roman" w:cs="Times New Roman"/>
          <w:bCs/>
          <w:sz w:val="24"/>
          <w:szCs w:val="24"/>
        </w:rPr>
        <w:t xml:space="preserve"> &amp; </w:t>
      </w:r>
      <w:proofErr w:type="spellStart"/>
      <w:r w:rsidRPr="00401884">
        <w:rPr>
          <w:rFonts w:ascii="Times New Roman" w:hAnsi="Times New Roman" w:cs="Times New Roman"/>
          <w:bCs/>
          <w:sz w:val="24"/>
          <w:szCs w:val="24"/>
        </w:rPr>
        <w:t>Kour</w:t>
      </w:r>
      <w:proofErr w:type="spellEnd"/>
      <w:r w:rsidRPr="00401884">
        <w:rPr>
          <w:rFonts w:ascii="Times New Roman" w:hAnsi="Times New Roman" w:cs="Times New Roman"/>
          <w:bCs/>
          <w:sz w:val="24"/>
          <w:szCs w:val="24"/>
        </w:rPr>
        <w:t xml:space="preserve">, 2020; Pang et al., 2017; Um et al., 2019), while </w:t>
      </w:r>
      <w:r w:rsidRPr="00401884">
        <w:rPr>
          <w:rFonts w:ascii="Times New Roman" w:hAnsi="Times New Roman" w:cs="Times New Roman"/>
          <w:sz w:val="24"/>
          <w:szCs w:val="24"/>
        </w:rPr>
        <w:t xml:space="preserve">Jung et al. included premolar and molar teeth, </w:t>
      </w:r>
      <w:proofErr w:type="spellStart"/>
      <w:r w:rsidRPr="00401884">
        <w:rPr>
          <w:rFonts w:ascii="Times New Roman" w:hAnsi="Times New Roman" w:cs="Times New Roman"/>
          <w:sz w:val="24"/>
          <w:szCs w:val="24"/>
        </w:rPr>
        <w:t>Elfana</w:t>
      </w:r>
      <w:proofErr w:type="spellEnd"/>
      <w:r w:rsidRPr="00401884">
        <w:rPr>
          <w:rFonts w:ascii="Times New Roman" w:hAnsi="Times New Roman" w:cs="Times New Roman"/>
          <w:sz w:val="24"/>
          <w:szCs w:val="24"/>
        </w:rPr>
        <w:t xml:space="preserve"> et al. included non-molar teeth (</w:t>
      </w:r>
      <w:proofErr w:type="spellStart"/>
      <w:r w:rsidRPr="00401884">
        <w:rPr>
          <w:rFonts w:ascii="Times New Roman" w:hAnsi="Times New Roman" w:cs="Times New Roman"/>
          <w:sz w:val="24"/>
          <w:szCs w:val="24"/>
        </w:rPr>
        <w:t>Elfana</w:t>
      </w:r>
      <w:proofErr w:type="spellEnd"/>
      <w:r w:rsidRPr="00401884">
        <w:rPr>
          <w:rFonts w:ascii="Times New Roman" w:hAnsi="Times New Roman" w:cs="Times New Roman"/>
          <w:sz w:val="24"/>
          <w:szCs w:val="24"/>
        </w:rPr>
        <w:t xml:space="preserve"> et al., 2021), and </w:t>
      </w:r>
      <w:proofErr w:type="spellStart"/>
      <w:r w:rsidRPr="00401884">
        <w:rPr>
          <w:rFonts w:ascii="Times New Roman" w:hAnsi="Times New Roman" w:cs="Times New Roman"/>
          <w:sz w:val="24"/>
          <w:szCs w:val="24"/>
        </w:rPr>
        <w:t>Radoczy</w:t>
      </w:r>
      <w:proofErr w:type="spellEnd"/>
      <w:r w:rsidRPr="00401884">
        <w:rPr>
          <w:rFonts w:ascii="Times New Roman" w:hAnsi="Times New Roman" w:cs="Times New Roman"/>
          <w:sz w:val="24"/>
          <w:szCs w:val="24"/>
        </w:rPr>
        <w:t xml:space="preserve"> et al. included only single rooted teeth(</w:t>
      </w:r>
      <w:proofErr w:type="spellStart"/>
      <w:r w:rsidRPr="00401884">
        <w:rPr>
          <w:rFonts w:ascii="Times New Roman" w:hAnsi="Times New Roman" w:cs="Times New Roman"/>
          <w:sz w:val="24"/>
          <w:szCs w:val="24"/>
        </w:rPr>
        <w:t>Radoczy-Drajko</w:t>
      </w:r>
      <w:proofErr w:type="spellEnd"/>
      <w:r w:rsidRPr="00401884">
        <w:rPr>
          <w:rFonts w:ascii="Times New Roman" w:hAnsi="Times New Roman" w:cs="Times New Roman"/>
          <w:sz w:val="24"/>
          <w:szCs w:val="24"/>
        </w:rPr>
        <w:t xml:space="preserve"> et al., 2021). Two studies do not report any information regarding tooth type (Joshi et al., 2016; Santos et al., 2021).</w:t>
      </w:r>
    </w:p>
    <w:p w14:paraId="3AC577E8" w14:textId="77777777" w:rsidR="00B44DF7" w:rsidRPr="00401884" w:rsidRDefault="00B44DF7" w:rsidP="00B44DF7">
      <w:pPr>
        <w:rPr>
          <w:rFonts w:ascii="Times New Roman" w:hAnsi="Times New Roman" w:cs="Times New Roman"/>
          <w:sz w:val="24"/>
          <w:szCs w:val="24"/>
        </w:rPr>
      </w:pPr>
    </w:p>
    <w:p w14:paraId="2D7DEDF4" w14:textId="77777777" w:rsidR="00B44DF7" w:rsidRPr="00401884" w:rsidRDefault="00B44DF7" w:rsidP="00B44DF7">
      <w:pPr>
        <w:rPr>
          <w:rFonts w:ascii="Times New Roman" w:hAnsi="Times New Roman" w:cs="Times New Roman"/>
          <w:bCs/>
          <w:sz w:val="24"/>
          <w:szCs w:val="24"/>
        </w:rPr>
      </w:pPr>
    </w:p>
    <w:p w14:paraId="531E6D13" w14:textId="77777777" w:rsidR="00B44DF7" w:rsidRPr="00401884" w:rsidRDefault="00B44DF7" w:rsidP="00B44DF7">
      <w:pPr>
        <w:rPr>
          <w:rFonts w:ascii="Times New Roman" w:hAnsi="Times New Roman" w:cs="Times New Roman"/>
          <w:b/>
          <w:sz w:val="24"/>
          <w:szCs w:val="24"/>
        </w:rPr>
      </w:pPr>
      <w:r w:rsidRPr="00401884">
        <w:rPr>
          <w:rFonts w:ascii="Times New Roman" w:hAnsi="Times New Roman" w:cs="Times New Roman"/>
          <w:b/>
          <w:sz w:val="24"/>
          <w:szCs w:val="24"/>
        </w:rPr>
        <w:t xml:space="preserve">Evaluation parameters and methods </w:t>
      </w:r>
    </w:p>
    <w:p w14:paraId="514B5E06" w14:textId="77777777" w:rsidR="00B44DF7" w:rsidRPr="00401884" w:rsidRDefault="00B44DF7" w:rsidP="00B44DF7">
      <w:pPr>
        <w:rPr>
          <w:rFonts w:ascii="Times New Roman" w:hAnsi="Times New Roman" w:cs="Times New Roman"/>
          <w:bCs/>
          <w:sz w:val="24"/>
          <w:szCs w:val="24"/>
        </w:rPr>
      </w:pPr>
      <w:r w:rsidRPr="00401884">
        <w:rPr>
          <w:rFonts w:ascii="Times New Roman" w:hAnsi="Times New Roman" w:cs="Times New Roman"/>
          <w:bCs/>
          <w:sz w:val="24"/>
          <w:szCs w:val="24"/>
        </w:rPr>
        <w:t xml:space="preserve">For meta-analysis, only data regarding alveolar ridge width and </w:t>
      </w:r>
      <w:proofErr w:type="spellStart"/>
      <w:r w:rsidRPr="00401884">
        <w:rPr>
          <w:rFonts w:ascii="Times New Roman" w:hAnsi="Times New Roman" w:cs="Times New Roman"/>
          <w:bCs/>
          <w:sz w:val="24"/>
          <w:szCs w:val="24"/>
        </w:rPr>
        <w:t>histomorphometric</w:t>
      </w:r>
      <w:proofErr w:type="spellEnd"/>
      <w:r w:rsidRPr="00401884">
        <w:rPr>
          <w:rFonts w:ascii="Times New Roman" w:hAnsi="Times New Roman" w:cs="Times New Roman"/>
          <w:bCs/>
          <w:sz w:val="24"/>
          <w:szCs w:val="24"/>
        </w:rPr>
        <w:t xml:space="preserve"> outcomes were extracted from the selected studies. In three studies, the primary outcome variable was defined as vertical and horizontal ridge alterations after the healing period (</w:t>
      </w:r>
      <w:proofErr w:type="spellStart"/>
      <w:r w:rsidRPr="00401884">
        <w:rPr>
          <w:rFonts w:ascii="Times New Roman" w:hAnsi="Times New Roman" w:cs="Times New Roman"/>
          <w:bCs/>
          <w:sz w:val="24"/>
          <w:szCs w:val="24"/>
        </w:rPr>
        <w:t>Elfana</w:t>
      </w:r>
      <w:proofErr w:type="spellEnd"/>
      <w:r w:rsidRPr="00401884">
        <w:rPr>
          <w:rFonts w:ascii="Times New Roman" w:hAnsi="Times New Roman" w:cs="Times New Roman"/>
          <w:bCs/>
          <w:sz w:val="24"/>
          <w:szCs w:val="24"/>
        </w:rPr>
        <w:t xml:space="preserve"> et al., 2021; Joshi et al., 2016; Um et al., 2019), while in one study the primary outcome variable was implant stability after placement (Santos et al., 2021). The other articles did not specify a primary outcome variable among the recorded parameters.</w:t>
      </w:r>
    </w:p>
    <w:p w14:paraId="5362EA24" w14:textId="77777777" w:rsidR="00B44DF7" w:rsidRPr="00401884" w:rsidRDefault="00B44DF7" w:rsidP="00B44DF7">
      <w:pPr>
        <w:rPr>
          <w:rFonts w:ascii="Times New Roman" w:hAnsi="Times New Roman" w:cs="Times New Roman"/>
          <w:b/>
          <w:bCs/>
          <w:sz w:val="24"/>
          <w:szCs w:val="24"/>
        </w:rPr>
      </w:pPr>
    </w:p>
    <w:p w14:paraId="7A9245E2" w14:textId="2B305AF4" w:rsidR="004609D0" w:rsidRPr="00401884" w:rsidRDefault="004609D0">
      <w:pPr>
        <w:rPr>
          <w:rFonts w:ascii="Times New Roman" w:hAnsi="Times New Roman" w:cs="Times New Roman"/>
          <w:bCs/>
          <w:sz w:val="24"/>
          <w:szCs w:val="24"/>
        </w:rPr>
      </w:pPr>
    </w:p>
    <w:sectPr w:rsidR="004609D0" w:rsidRPr="00401884" w:rsidSect="00671B25">
      <w:footerReference w:type="default" r:id="rId1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6380A" w14:textId="77777777" w:rsidR="00930C6F" w:rsidRDefault="00930C6F" w:rsidP="00401884">
      <w:pPr>
        <w:spacing w:after="0" w:line="240" w:lineRule="auto"/>
      </w:pPr>
      <w:r>
        <w:separator/>
      </w:r>
    </w:p>
  </w:endnote>
  <w:endnote w:type="continuationSeparator" w:id="0">
    <w:p w14:paraId="65A5D3B6" w14:textId="77777777" w:rsidR="00930C6F" w:rsidRDefault="00930C6F" w:rsidP="00401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812975"/>
      <w:docPartObj>
        <w:docPartGallery w:val="Page Numbers (Bottom of Page)"/>
        <w:docPartUnique/>
      </w:docPartObj>
    </w:sdtPr>
    <w:sdtEndPr/>
    <w:sdtContent>
      <w:p w14:paraId="55D62DE8" w14:textId="4AC87541" w:rsidR="00401884" w:rsidRDefault="00401884">
        <w:pPr>
          <w:pStyle w:val="Footer"/>
          <w:jc w:val="center"/>
        </w:pPr>
        <w:r>
          <w:fldChar w:fldCharType="begin"/>
        </w:r>
        <w:r>
          <w:instrText>PAGE   \* MERGEFORMAT</w:instrText>
        </w:r>
        <w:r>
          <w:fldChar w:fldCharType="separate"/>
        </w:r>
        <w:r w:rsidR="004A1B23" w:rsidRPr="004A1B23">
          <w:rPr>
            <w:noProof/>
            <w:lang w:val="hu-HU"/>
          </w:rPr>
          <w:t>22</w:t>
        </w:r>
        <w:r>
          <w:fldChar w:fldCharType="end"/>
        </w:r>
      </w:p>
    </w:sdtContent>
  </w:sdt>
  <w:p w14:paraId="07C7A14B" w14:textId="77777777" w:rsidR="00401884" w:rsidRDefault="00401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CD45A" w14:textId="77777777" w:rsidR="00930C6F" w:rsidRDefault="00930C6F" w:rsidP="00401884">
      <w:pPr>
        <w:spacing w:after="0" w:line="240" w:lineRule="auto"/>
      </w:pPr>
      <w:r>
        <w:separator/>
      </w:r>
    </w:p>
  </w:footnote>
  <w:footnote w:type="continuationSeparator" w:id="0">
    <w:p w14:paraId="2A840001" w14:textId="77777777" w:rsidR="00930C6F" w:rsidRDefault="00930C6F" w:rsidP="00401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E0B89"/>
    <w:multiLevelType w:val="multilevel"/>
    <w:tmpl w:val="75744DBC"/>
    <w:lvl w:ilvl="0">
      <w:start w:val="1"/>
      <w:numFmt w:val="decimal"/>
      <w:pStyle w:val="ListParagraph"/>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DF7"/>
    <w:rsid w:val="00150434"/>
    <w:rsid w:val="0022352B"/>
    <w:rsid w:val="00401884"/>
    <w:rsid w:val="004609D0"/>
    <w:rsid w:val="004A1B23"/>
    <w:rsid w:val="004B3CC8"/>
    <w:rsid w:val="005E22A1"/>
    <w:rsid w:val="005F79DA"/>
    <w:rsid w:val="00625F69"/>
    <w:rsid w:val="00671B25"/>
    <w:rsid w:val="00696113"/>
    <w:rsid w:val="0076012B"/>
    <w:rsid w:val="0090383C"/>
    <w:rsid w:val="0092302E"/>
    <w:rsid w:val="00930C6F"/>
    <w:rsid w:val="00B44DF7"/>
    <w:rsid w:val="00CB2CD6"/>
    <w:rsid w:val="00D00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C804"/>
  <w15:chartTrackingRefBased/>
  <w15:docId w15:val="{C7582D23-75A3-4423-825E-798A46BF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CB2CD6"/>
    <w:pPr>
      <w:keepNext/>
      <w:keepLines/>
      <w:spacing w:before="240" w:after="240" w:line="240" w:lineRule="auto"/>
      <w:outlineLvl w:val="0"/>
    </w:pPr>
    <w:rPr>
      <w:rFonts w:asciiTheme="majorHAnsi" w:eastAsiaTheme="majorEastAsia" w:hAnsiTheme="majorHAnsi" w:cstheme="majorBidi"/>
      <w:b/>
      <w:bCs/>
      <w:sz w:val="32"/>
      <w:szCs w:val="32"/>
      <w:lang w:val="en-US"/>
    </w:rPr>
  </w:style>
  <w:style w:type="paragraph" w:styleId="Heading4">
    <w:name w:val="heading 4"/>
    <w:basedOn w:val="Normal"/>
    <w:next w:val="Normal"/>
    <w:link w:val="Heading4Char"/>
    <w:uiPriority w:val="9"/>
    <w:semiHidden/>
    <w:unhideWhenUsed/>
    <w:qFormat/>
    <w:rsid w:val="00CB2C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Heading4"/>
    <w:next w:val="BodyText"/>
    <w:link w:val="Heading5Char"/>
    <w:uiPriority w:val="9"/>
    <w:unhideWhenUsed/>
    <w:qFormat/>
    <w:rsid w:val="00CB2CD6"/>
    <w:pPr>
      <w:pageBreakBefore/>
      <w:spacing w:before="0" w:line="20" w:lineRule="exact"/>
      <w:outlineLvl w:val="4"/>
    </w:pPr>
    <w:rPr>
      <w:b/>
      <w:bCs/>
      <w:i w:val="0"/>
      <w:iCs w:val="0"/>
      <w:color w:val="FFFFFF" w:themeColor="background1"/>
      <w:sz w:val="1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4DF7"/>
    <w:rPr>
      <w:sz w:val="16"/>
      <w:szCs w:val="16"/>
    </w:rPr>
  </w:style>
  <w:style w:type="paragraph" w:styleId="CommentText">
    <w:name w:val="annotation text"/>
    <w:basedOn w:val="Normal"/>
    <w:link w:val="CommentTextChar"/>
    <w:uiPriority w:val="99"/>
    <w:unhideWhenUsed/>
    <w:rsid w:val="00B44DF7"/>
    <w:pPr>
      <w:spacing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B44DF7"/>
    <w:rPr>
      <w:rFonts w:ascii="Calibri" w:eastAsia="Calibri" w:hAnsi="Calibri" w:cs="Calibri"/>
      <w:sz w:val="20"/>
      <w:szCs w:val="20"/>
      <w:lang w:val="en-US"/>
    </w:rPr>
  </w:style>
  <w:style w:type="paragraph" w:styleId="ListParagraph">
    <w:name w:val="List Paragraph"/>
    <w:basedOn w:val="Normal"/>
    <w:uiPriority w:val="34"/>
    <w:qFormat/>
    <w:rsid w:val="0022352B"/>
    <w:pPr>
      <w:numPr>
        <w:numId w:val="1"/>
      </w:numPr>
      <w:spacing w:before="120" w:after="240" w:line="240" w:lineRule="auto"/>
      <w:ind w:left="1434" w:hanging="357"/>
      <w:contextualSpacing/>
    </w:pPr>
    <w:rPr>
      <w:rFonts w:ascii="Times New Roman" w:eastAsia="Cambria" w:hAnsi="Times New Roman" w:cs="Times New Roman"/>
      <w:sz w:val="24"/>
      <w:szCs w:val="24"/>
      <w:lang w:val="en-US"/>
    </w:rPr>
  </w:style>
  <w:style w:type="paragraph" w:styleId="Header">
    <w:name w:val="header"/>
    <w:basedOn w:val="Normal"/>
    <w:link w:val="HeaderChar"/>
    <w:uiPriority w:val="99"/>
    <w:unhideWhenUsed/>
    <w:rsid w:val="004018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1884"/>
  </w:style>
  <w:style w:type="paragraph" w:styleId="Footer">
    <w:name w:val="footer"/>
    <w:basedOn w:val="Normal"/>
    <w:link w:val="FooterChar"/>
    <w:uiPriority w:val="99"/>
    <w:unhideWhenUsed/>
    <w:rsid w:val="004018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1884"/>
  </w:style>
  <w:style w:type="paragraph" w:styleId="Caption">
    <w:name w:val="caption"/>
    <w:basedOn w:val="Normal"/>
    <w:next w:val="Normal"/>
    <w:uiPriority w:val="35"/>
    <w:unhideWhenUsed/>
    <w:qFormat/>
    <w:rsid w:val="00401884"/>
    <w:pPr>
      <w:spacing w:after="200" w:line="240" w:lineRule="auto"/>
    </w:pPr>
    <w:rPr>
      <w:i/>
      <w:iCs/>
      <w:color w:val="44546A" w:themeColor="text2"/>
      <w:sz w:val="18"/>
      <w:szCs w:val="18"/>
      <w:lang w:val="en-US"/>
    </w:rPr>
  </w:style>
  <w:style w:type="character" w:customStyle="1" w:styleId="Heading1Char">
    <w:name w:val="Heading 1 Char"/>
    <w:basedOn w:val="DefaultParagraphFont"/>
    <w:link w:val="Heading1"/>
    <w:uiPriority w:val="9"/>
    <w:rsid w:val="00CB2CD6"/>
    <w:rPr>
      <w:rFonts w:asciiTheme="majorHAnsi" w:eastAsiaTheme="majorEastAsia" w:hAnsiTheme="majorHAnsi" w:cstheme="majorBidi"/>
      <w:b/>
      <w:bCs/>
      <w:sz w:val="32"/>
      <w:szCs w:val="32"/>
      <w:lang w:val="en-US"/>
    </w:rPr>
  </w:style>
  <w:style w:type="character" w:customStyle="1" w:styleId="Heading5Char">
    <w:name w:val="Heading 5 Char"/>
    <w:basedOn w:val="DefaultParagraphFont"/>
    <w:link w:val="Heading5"/>
    <w:uiPriority w:val="9"/>
    <w:rsid w:val="00CB2CD6"/>
    <w:rPr>
      <w:rFonts w:asciiTheme="majorHAnsi" w:eastAsiaTheme="majorEastAsia" w:hAnsiTheme="majorHAnsi" w:cstheme="majorBidi"/>
      <w:b/>
      <w:bCs/>
      <w:color w:val="FFFFFF" w:themeColor="background1"/>
      <w:sz w:val="16"/>
      <w:szCs w:val="24"/>
      <w:lang w:val="en-US"/>
    </w:rPr>
  </w:style>
  <w:style w:type="paragraph" w:styleId="BodyText">
    <w:name w:val="Body Text"/>
    <w:basedOn w:val="Normal"/>
    <w:link w:val="BodyTextChar"/>
    <w:qFormat/>
    <w:rsid w:val="00CB2CD6"/>
    <w:pPr>
      <w:spacing w:before="120" w:after="120" w:line="240" w:lineRule="auto"/>
    </w:pPr>
    <w:rPr>
      <w:sz w:val="24"/>
      <w:szCs w:val="24"/>
      <w:lang w:val="en-US"/>
    </w:rPr>
  </w:style>
  <w:style w:type="character" w:customStyle="1" w:styleId="BodyTextChar">
    <w:name w:val="Body Text Char"/>
    <w:basedOn w:val="DefaultParagraphFont"/>
    <w:link w:val="BodyText"/>
    <w:rsid w:val="00CB2CD6"/>
    <w:rPr>
      <w:sz w:val="24"/>
      <w:szCs w:val="24"/>
      <w:lang w:val="en-US"/>
    </w:rPr>
  </w:style>
  <w:style w:type="paragraph" w:customStyle="1" w:styleId="FirstParagraph">
    <w:name w:val="First Paragraph"/>
    <w:basedOn w:val="BodyText"/>
    <w:next w:val="BodyText"/>
    <w:qFormat/>
    <w:rsid w:val="00CB2CD6"/>
  </w:style>
  <w:style w:type="character" w:styleId="Hyperlink">
    <w:name w:val="Hyperlink"/>
    <w:basedOn w:val="DefaultParagraphFont"/>
    <w:uiPriority w:val="99"/>
    <w:rsid w:val="00CB2CD6"/>
    <w:rPr>
      <w:color w:val="4472C4" w:themeColor="accent1"/>
    </w:rPr>
  </w:style>
  <w:style w:type="character" w:customStyle="1" w:styleId="Heading4Char">
    <w:name w:val="Heading 4 Char"/>
    <w:basedOn w:val="DefaultParagraphFont"/>
    <w:link w:val="Heading4"/>
    <w:uiPriority w:val="9"/>
    <w:semiHidden/>
    <w:rsid w:val="00CB2CD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Eleon&#243;ra\Downloads\www.prisma-statement.org"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2753</Words>
  <Characters>15695</Characters>
  <Application>Microsoft Office Word</Application>
  <DocSecurity>0</DocSecurity>
  <Lines>130</Lines>
  <Paragraphs>36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Eleonóra</dc:creator>
  <cp:keywords/>
  <dc:description/>
  <cp:lastModifiedBy>Mary Rose Caro</cp:lastModifiedBy>
  <cp:revision>4</cp:revision>
  <dcterms:created xsi:type="dcterms:W3CDTF">2022-12-29T10:38:00Z</dcterms:created>
  <dcterms:modified xsi:type="dcterms:W3CDTF">2023-04-04T19:52:00Z</dcterms:modified>
</cp:coreProperties>
</file>