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92C8A" w14:textId="756B38C9" w:rsidR="00461E7A" w:rsidRPr="00461E7A" w:rsidRDefault="00461E7A" w:rsidP="002C036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E7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461E7A">
        <w:rPr>
          <w:rFonts w:ascii="Times New Roman" w:hAnsi="Times New Roman" w:cs="Times New Roman"/>
          <w:b/>
          <w:bCs/>
          <w:sz w:val="24"/>
          <w:szCs w:val="24"/>
        </w:rPr>
        <w:t>upplementary Methods</w:t>
      </w:r>
    </w:p>
    <w:p w14:paraId="3FE82639" w14:textId="0445EF32" w:rsidR="00651647" w:rsidRDefault="00634C65" w:rsidP="002C036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 c</w:t>
      </w:r>
      <w:r w:rsidR="00A056C2" w:rsidRPr="00A91304">
        <w:rPr>
          <w:rFonts w:ascii="Times New Roman" w:hAnsi="Times New Roman" w:cs="Times New Roman"/>
          <w:sz w:val="24"/>
          <w:szCs w:val="24"/>
        </w:rPr>
        <w:t xml:space="preserve">omorbidities between </w:t>
      </w:r>
      <w:r w:rsidR="002C0367">
        <w:rPr>
          <w:rFonts w:ascii="Times New Roman" w:hAnsi="Times New Roman" w:cs="Times New Roman"/>
          <w:sz w:val="24"/>
          <w:szCs w:val="24"/>
        </w:rPr>
        <w:t>2002</w:t>
      </w:r>
      <w:r w:rsidR="00A056C2">
        <w:rPr>
          <w:rFonts w:ascii="Times New Roman" w:hAnsi="Times New Roman" w:cs="Times New Roman"/>
          <w:sz w:val="24"/>
          <w:szCs w:val="24"/>
        </w:rPr>
        <w:t xml:space="preserve"> </w:t>
      </w:r>
      <w:r w:rsidR="00A056C2" w:rsidRPr="00A91304">
        <w:rPr>
          <w:rFonts w:ascii="Times New Roman" w:hAnsi="Times New Roman" w:cs="Times New Roman"/>
          <w:sz w:val="24"/>
          <w:szCs w:val="24"/>
        </w:rPr>
        <w:t xml:space="preserve">and </w:t>
      </w:r>
      <w:r w:rsidR="008E6EE9">
        <w:rPr>
          <w:rFonts w:ascii="Times New Roman" w:hAnsi="Times New Roman" w:cs="Times New Roman"/>
          <w:sz w:val="24"/>
          <w:szCs w:val="24"/>
        </w:rPr>
        <w:t xml:space="preserve">the </w:t>
      </w:r>
      <w:r w:rsidR="00A056C2" w:rsidRPr="00A91304">
        <w:rPr>
          <w:rFonts w:ascii="Times New Roman" w:hAnsi="Times New Roman" w:cs="Times New Roman"/>
          <w:sz w:val="24"/>
          <w:szCs w:val="24"/>
        </w:rPr>
        <w:t>index date</w:t>
      </w:r>
      <w:r>
        <w:rPr>
          <w:rFonts w:ascii="Times New Roman" w:hAnsi="Times New Roman" w:cs="Times New Roman"/>
          <w:sz w:val="24"/>
          <w:szCs w:val="24"/>
        </w:rPr>
        <w:t xml:space="preserve"> were identified</w:t>
      </w:r>
      <w:r w:rsidR="00A056C2" w:rsidRPr="00A91304">
        <w:rPr>
          <w:rFonts w:ascii="Times New Roman" w:hAnsi="Times New Roman" w:cs="Times New Roman"/>
          <w:sz w:val="24"/>
          <w:szCs w:val="24"/>
        </w:rPr>
        <w:t>.</w:t>
      </w:r>
      <w:r w:rsidR="00A056C2">
        <w:rPr>
          <w:rFonts w:ascii="Times New Roman" w:hAnsi="Times New Roman" w:cs="Times New Roman"/>
          <w:sz w:val="24"/>
          <w:szCs w:val="24"/>
        </w:rPr>
        <w:t xml:space="preserve"> 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Diabetes mellitus was defined as satisfying one of </w:t>
      </w:r>
      <w:r>
        <w:rPr>
          <w:rFonts w:ascii="Times New Roman" w:hAnsi="Times New Roman" w:cs="Times New Roman"/>
          <w:sz w:val="24"/>
          <w:szCs w:val="24"/>
        </w:rPr>
        <w:t>these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 criteria: 1) at least one claim </w:t>
      </w:r>
      <w:r w:rsidR="00CD5E04">
        <w:rPr>
          <w:rFonts w:ascii="Times New Roman" w:hAnsi="Times New Roman" w:cs="Times New Roman"/>
          <w:sz w:val="24"/>
          <w:szCs w:val="24"/>
        </w:rPr>
        <w:t>for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 </w:t>
      </w:r>
      <w:r w:rsidR="00CD5E04">
        <w:rPr>
          <w:rFonts w:ascii="Times New Roman" w:hAnsi="Times New Roman" w:cs="Times New Roman"/>
          <w:sz w:val="24"/>
          <w:szCs w:val="24"/>
        </w:rPr>
        <w:t xml:space="preserve">relevant </w:t>
      </w:r>
      <w:r w:rsidR="00461B65" w:rsidRPr="00461B65">
        <w:rPr>
          <w:rFonts w:ascii="Times New Roman" w:hAnsi="Times New Roman" w:cs="Times New Roman"/>
          <w:sz w:val="24"/>
          <w:szCs w:val="24"/>
        </w:rPr>
        <w:t>diagnostic codes (ICD-10 E11–14) with the prescription of an anti</w:t>
      </w:r>
      <w:r w:rsidR="00CD5E04">
        <w:rPr>
          <w:rFonts w:ascii="Times New Roman" w:hAnsi="Times New Roman" w:cs="Times New Roman"/>
          <w:sz w:val="24"/>
          <w:szCs w:val="24"/>
        </w:rPr>
        <w:t>-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diabetic agent, 2) two or more claims </w:t>
      </w:r>
      <w:r w:rsidR="00CD5E04">
        <w:rPr>
          <w:rFonts w:ascii="Times New Roman" w:hAnsi="Times New Roman" w:cs="Times New Roman"/>
          <w:sz w:val="24"/>
          <w:szCs w:val="24"/>
        </w:rPr>
        <w:t>for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 </w:t>
      </w:r>
      <w:r w:rsidR="00CD5E04">
        <w:rPr>
          <w:rFonts w:ascii="Times New Roman" w:hAnsi="Times New Roman" w:cs="Times New Roman"/>
          <w:sz w:val="24"/>
          <w:szCs w:val="24"/>
        </w:rPr>
        <w:t xml:space="preserve">relevant 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diagnostic codes (ICD-10 E11–14), 3) fasting serum glucose level ≥ 7.0 mmol/L, or 4) </w:t>
      </w:r>
      <w:r w:rsidR="00CD5E04">
        <w:rPr>
          <w:rFonts w:ascii="Times New Roman" w:hAnsi="Times New Roman" w:cs="Times New Roman"/>
          <w:sz w:val="24"/>
          <w:szCs w:val="24"/>
        </w:rPr>
        <w:t xml:space="preserve">diabetes mellitus 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self-reported in the questionnaire. Dyslipidemia was defined as satisfying one of following criteria: 1) at least one claim </w:t>
      </w:r>
      <w:r w:rsidR="00CD5E04">
        <w:rPr>
          <w:rFonts w:ascii="Times New Roman" w:hAnsi="Times New Roman" w:cs="Times New Roman"/>
          <w:sz w:val="24"/>
          <w:szCs w:val="24"/>
        </w:rPr>
        <w:t>for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 </w:t>
      </w:r>
      <w:r w:rsidR="008E6EE9">
        <w:rPr>
          <w:rFonts w:ascii="Times New Roman" w:hAnsi="Times New Roman" w:cs="Times New Roman"/>
          <w:sz w:val="24"/>
          <w:szCs w:val="24"/>
        </w:rPr>
        <w:t xml:space="preserve">the </w:t>
      </w:r>
      <w:r w:rsidR="00CD5E04">
        <w:rPr>
          <w:rFonts w:ascii="Times New Roman" w:hAnsi="Times New Roman" w:cs="Times New Roman"/>
          <w:sz w:val="24"/>
          <w:szCs w:val="24"/>
        </w:rPr>
        <w:t xml:space="preserve">relevant 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diagnostic code (ICD-10 E78) with the prescription of dyslipidemia-related agent, 2) two or more claims </w:t>
      </w:r>
      <w:r w:rsidR="00CD5E04">
        <w:rPr>
          <w:rFonts w:ascii="Times New Roman" w:hAnsi="Times New Roman" w:cs="Times New Roman"/>
          <w:sz w:val="24"/>
          <w:szCs w:val="24"/>
        </w:rPr>
        <w:t>for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 </w:t>
      </w:r>
      <w:r w:rsidR="008E6EE9">
        <w:rPr>
          <w:rFonts w:ascii="Times New Roman" w:hAnsi="Times New Roman" w:cs="Times New Roman"/>
          <w:sz w:val="24"/>
          <w:szCs w:val="24"/>
        </w:rPr>
        <w:t xml:space="preserve">the </w:t>
      </w:r>
      <w:r w:rsidR="00CD5E04">
        <w:rPr>
          <w:rFonts w:ascii="Times New Roman" w:hAnsi="Times New Roman" w:cs="Times New Roman"/>
          <w:sz w:val="24"/>
          <w:szCs w:val="24"/>
        </w:rPr>
        <w:t xml:space="preserve">relevant 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diagnostic code (ICD-10 E78), </w:t>
      </w:r>
      <w:r w:rsidR="00CD5E04">
        <w:rPr>
          <w:rFonts w:ascii="Times New Roman" w:hAnsi="Times New Roman" w:cs="Times New Roman"/>
          <w:sz w:val="24"/>
          <w:szCs w:val="24"/>
        </w:rPr>
        <w:t xml:space="preserve">or 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3) total cholesterol ≥ 240 mg/dL. Atrial fibrillation was defined as two or more claims </w:t>
      </w:r>
      <w:r w:rsidR="00CD5E04">
        <w:rPr>
          <w:rFonts w:ascii="Times New Roman" w:hAnsi="Times New Roman" w:cs="Times New Roman"/>
          <w:sz w:val="24"/>
          <w:szCs w:val="24"/>
        </w:rPr>
        <w:t>for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 </w:t>
      </w:r>
      <w:r w:rsidR="008E6EE9">
        <w:rPr>
          <w:rFonts w:ascii="Times New Roman" w:hAnsi="Times New Roman" w:cs="Times New Roman"/>
          <w:sz w:val="24"/>
          <w:szCs w:val="24"/>
        </w:rPr>
        <w:t xml:space="preserve">the </w:t>
      </w:r>
      <w:r w:rsidR="00CD5E04">
        <w:rPr>
          <w:rFonts w:ascii="Times New Roman" w:hAnsi="Times New Roman" w:cs="Times New Roman"/>
          <w:sz w:val="24"/>
          <w:szCs w:val="24"/>
        </w:rPr>
        <w:t xml:space="preserve">relevant 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diagnostic code (ICD-10 I48). Cancer was defined as having once admission or at least three outpatient claims </w:t>
      </w:r>
      <w:r w:rsidR="00CD5E04">
        <w:rPr>
          <w:rFonts w:ascii="Times New Roman" w:hAnsi="Times New Roman" w:cs="Times New Roman"/>
          <w:sz w:val="24"/>
          <w:szCs w:val="24"/>
        </w:rPr>
        <w:t>for relevant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 diagnostic code</w:t>
      </w:r>
      <w:r w:rsidR="00CD5E04">
        <w:rPr>
          <w:rFonts w:ascii="Times New Roman" w:hAnsi="Times New Roman" w:cs="Times New Roman"/>
          <w:sz w:val="24"/>
          <w:szCs w:val="24"/>
        </w:rPr>
        <w:t>s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 (ICD-10 C00–97) with specific registration code of ‘V027’ or ‘V193–4’. Renal disease was defined as two or more claims </w:t>
      </w:r>
      <w:r w:rsidR="00CD5E04">
        <w:rPr>
          <w:rFonts w:ascii="Times New Roman" w:hAnsi="Times New Roman" w:cs="Times New Roman"/>
          <w:sz w:val="24"/>
          <w:szCs w:val="24"/>
        </w:rPr>
        <w:t xml:space="preserve">for relevant </w:t>
      </w:r>
      <w:r w:rsidR="00461B65" w:rsidRPr="00461B65">
        <w:rPr>
          <w:rFonts w:ascii="Times New Roman" w:hAnsi="Times New Roman" w:cs="Times New Roman"/>
          <w:sz w:val="24"/>
          <w:szCs w:val="24"/>
        </w:rPr>
        <w:t xml:space="preserve">diagnostic codes (ICD-10 N17-19, I12-13, E082, E102, E112, E132) or </w:t>
      </w:r>
      <w:r w:rsidR="00CD5E04">
        <w:rPr>
          <w:rFonts w:ascii="Times New Roman" w:hAnsi="Times New Roman" w:cs="Times New Roman"/>
          <w:sz w:val="24"/>
          <w:szCs w:val="24"/>
        </w:rPr>
        <w:t xml:space="preserve">an </w:t>
      </w:r>
      <w:r w:rsidR="00461B65" w:rsidRPr="00461B65">
        <w:rPr>
          <w:rFonts w:ascii="Times New Roman" w:hAnsi="Times New Roman" w:cs="Times New Roman"/>
          <w:sz w:val="24"/>
          <w:szCs w:val="24"/>
        </w:rPr>
        <w:t>estimated glomerular filtration rate less than 60 mL/min/1.73</w:t>
      </w:r>
      <w:r w:rsidR="008E6EE9">
        <w:rPr>
          <w:rFonts w:ascii="Times New Roman" w:hAnsi="Times New Roman" w:cs="Times New Roman"/>
          <w:sz w:val="24"/>
          <w:szCs w:val="24"/>
        </w:rPr>
        <w:t xml:space="preserve"> </w:t>
      </w:r>
      <w:r w:rsidR="00461B65" w:rsidRPr="00461B65">
        <w:rPr>
          <w:rFonts w:ascii="Times New Roman" w:hAnsi="Times New Roman" w:cs="Times New Roman"/>
          <w:sz w:val="24"/>
          <w:szCs w:val="24"/>
        </w:rPr>
        <w:t>m</w:t>
      </w:r>
      <w:r w:rsidR="00461B65" w:rsidRPr="006516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61B65" w:rsidRPr="00461B65">
        <w:rPr>
          <w:rFonts w:ascii="Times New Roman" w:hAnsi="Times New Roman" w:cs="Times New Roman"/>
          <w:sz w:val="24"/>
          <w:szCs w:val="24"/>
        </w:rPr>
        <w:t>.</w:t>
      </w:r>
      <w:r w:rsidR="00651647">
        <w:rPr>
          <w:rFonts w:ascii="Times New Roman" w:hAnsi="Times New Roman" w:cs="Times New Roman"/>
          <w:sz w:val="24"/>
          <w:szCs w:val="24"/>
        </w:rPr>
        <w:t xml:space="preserve"> The </w:t>
      </w:r>
      <w:r w:rsidR="00651647" w:rsidRPr="00651647">
        <w:rPr>
          <w:rFonts w:ascii="Times New Roman" w:hAnsi="Times New Roman" w:cs="Times New Roman"/>
          <w:sz w:val="24"/>
          <w:szCs w:val="24"/>
        </w:rPr>
        <w:t>Charlson Comorbidity Index</w:t>
      </w:r>
      <w:r w:rsidR="00651647">
        <w:rPr>
          <w:rFonts w:ascii="Times New Roman" w:hAnsi="Times New Roman" w:cs="Times New Roman"/>
          <w:sz w:val="24"/>
          <w:szCs w:val="24"/>
        </w:rPr>
        <w:t xml:space="preserve"> was defined as based on previous stud</w:t>
      </w:r>
      <w:r w:rsidR="00CD5E04">
        <w:rPr>
          <w:rFonts w:ascii="Times New Roman" w:hAnsi="Times New Roman" w:cs="Times New Roman"/>
          <w:sz w:val="24"/>
          <w:szCs w:val="24"/>
        </w:rPr>
        <w:t>ies</w:t>
      </w:r>
      <w:r w:rsidR="00651647">
        <w:rPr>
          <w:rFonts w:ascii="Times New Roman" w:hAnsi="Times New Roman" w:cs="Times New Roman"/>
          <w:sz w:val="24"/>
          <w:szCs w:val="24"/>
        </w:rPr>
        <w:t>.</w:t>
      </w:r>
      <w:r w:rsidR="00BD51E5" w:rsidRPr="00BD51E5">
        <w:rPr>
          <w:rFonts w:ascii="Times New Roman" w:hAnsi="Times New Roman" w:cs="Times New Roman"/>
          <w:sz w:val="24"/>
          <w:szCs w:val="24"/>
          <w:vertAlign w:val="superscript"/>
        </w:rPr>
        <w:t>1-8</w:t>
      </w:r>
      <w:bookmarkStart w:id="0" w:name="_GoBack"/>
      <w:bookmarkEnd w:id="0"/>
    </w:p>
    <w:p w14:paraId="4F897C4A" w14:textId="77777777" w:rsidR="00461B65" w:rsidRPr="007336CA" w:rsidRDefault="00461B65" w:rsidP="00461B65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BDCF542" w14:textId="5E184CDC" w:rsidR="007336CA" w:rsidRPr="007336CA" w:rsidRDefault="007336CA" w:rsidP="00461E7A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336CA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7336CA">
        <w:rPr>
          <w:rFonts w:ascii="Times New Roman" w:hAnsi="Times New Roman" w:cs="Times New Roman"/>
          <w:b/>
          <w:bCs/>
          <w:sz w:val="24"/>
          <w:szCs w:val="24"/>
        </w:rPr>
        <w:t>eferences</w:t>
      </w:r>
    </w:p>
    <w:p w14:paraId="580A8B2B" w14:textId="0F7C0095" w:rsidR="0078411D" w:rsidRPr="00C7232E" w:rsidRDefault="0078411D" w:rsidP="0078411D">
      <w:pPr>
        <w:pStyle w:val="EndNoteBibliography"/>
        <w:spacing w:after="0"/>
        <w:ind w:left="720" w:hanging="720"/>
      </w:pPr>
      <w:r>
        <w:rPr>
          <w:b/>
        </w:rPr>
        <w:t>1</w:t>
      </w:r>
      <w:r w:rsidRPr="00C7232E">
        <w:rPr>
          <w:b/>
        </w:rPr>
        <w:t>.</w:t>
      </w:r>
      <w:r w:rsidRPr="00C7232E">
        <w:tab/>
        <w:t xml:space="preserve">Song TJ, Kim JW, Kim J. Oral health and changes in lipid profile: A nationwide cohort study. </w:t>
      </w:r>
      <w:r w:rsidRPr="00C7232E">
        <w:rPr>
          <w:i/>
        </w:rPr>
        <w:t>Journal of clinical periodontology.</w:t>
      </w:r>
      <w:r w:rsidRPr="00C7232E">
        <w:t xml:space="preserve"> 2020;47:1437-1445.</w:t>
      </w:r>
    </w:p>
    <w:p w14:paraId="2789E7FC" w14:textId="57C4A163" w:rsidR="0078411D" w:rsidRPr="00C7232E" w:rsidRDefault="0078411D" w:rsidP="0078411D">
      <w:pPr>
        <w:pStyle w:val="EndNoteBibliography"/>
        <w:spacing w:after="0"/>
        <w:ind w:left="720" w:hanging="720"/>
      </w:pPr>
      <w:r>
        <w:rPr>
          <w:b/>
        </w:rPr>
        <w:t>2</w:t>
      </w:r>
      <w:r w:rsidRPr="00C7232E">
        <w:rPr>
          <w:b/>
        </w:rPr>
        <w:t>.</w:t>
      </w:r>
      <w:r w:rsidRPr="00C7232E">
        <w:tab/>
        <w:t xml:space="preserve">Woo HG, Chang Y, Lee JS, Song TJ. Association of Tooth Loss with New-Onset Parkinson's Disease: A Nationwide Population-Based Cohort Study. </w:t>
      </w:r>
      <w:r w:rsidRPr="00C7232E">
        <w:rPr>
          <w:i/>
        </w:rPr>
        <w:t>Parkinsons Dis.</w:t>
      </w:r>
      <w:r w:rsidRPr="00C7232E">
        <w:t xml:space="preserve"> 2020;2020:4760512.</w:t>
      </w:r>
    </w:p>
    <w:p w14:paraId="70956F95" w14:textId="027B63FA" w:rsidR="0078411D" w:rsidRPr="00C7232E" w:rsidRDefault="0078411D" w:rsidP="0078411D">
      <w:pPr>
        <w:pStyle w:val="EndNoteBibliography"/>
        <w:spacing w:after="0"/>
        <w:ind w:left="720" w:hanging="720"/>
      </w:pPr>
      <w:r>
        <w:rPr>
          <w:b/>
        </w:rPr>
        <w:t>3</w:t>
      </w:r>
      <w:r w:rsidRPr="00C7232E">
        <w:rPr>
          <w:b/>
        </w:rPr>
        <w:t>.</w:t>
      </w:r>
      <w:r w:rsidRPr="00C7232E">
        <w:tab/>
        <w:t xml:space="preserve">Chang Y, Woo HG, Lee JS, Song TJ. Better oral hygiene is associated with lower risk of stroke. </w:t>
      </w:r>
      <w:r w:rsidRPr="00C7232E">
        <w:rPr>
          <w:i/>
        </w:rPr>
        <w:t>J Periodontol.</w:t>
      </w:r>
      <w:r w:rsidRPr="00C7232E">
        <w:t xml:space="preserve"> 2021;92:87-94.</w:t>
      </w:r>
    </w:p>
    <w:p w14:paraId="2FE69A72" w14:textId="0BEE4DDC" w:rsidR="0078411D" w:rsidRPr="00C7232E" w:rsidRDefault="0078411D" w:rsidP="0078411D">
      <w:pPr>
        <w:pStyle w:val="EndNoteBibliography"/>
        <w:spacing w:after="0"/>
        <w:ind w:left="720" w:hanging="720"/>
      </w:pPr>
      <w:r>
        <w:rPr>
          <w:b/>
        </w:rPr>
        <w:t>4</w:t>
      </w:r>
      <w:r w:rsidRPr="00C7232E">
        <w:rPr>
          <w:b/>
        </w:rPr>
        <w:t>.</w:t>
      </w:r>
      <w:r w:rsidRPr="00C7232E">
        <w:tab/>
        <w:t xml:space="preserve">Lee K, Lee JS, Kim J, et al. Oral health and gastrointestinal cancer: A nationwide cohort study. </w:t>
      </w:r>
      <w:r w:rsidRPr="00C7232E">
        <w:rPr>
          <w:i/>
        </w:rPr>
        <w:t>J Clin Periodontol.</w:t>
      </w:r>
      <w:r w:rsidRPr="00C7232E">
        <w:t xml:space="preserve"> 2020;47:796-808.</w:t>
      </w:r>
    </w:p>
    <w:p w14:paraId="3CBFCFDF" w14:textId="6B31CA25" w:rsidR="0078411D" w:rsidRPr="00C7232E" w:rsidRDefault="0078411D" w:rsidP="0078411D">
      <w:pPr>
        <w:pStyle w:val="EndNoteBibliography"/>
        <w:spacing w:after="0"/>
        <w:ind w:left="720" w:hanging="720"/>
      </w:pPr>
      <w:r>
        <w:rPr>
          <w:b/>
        </w:rPr>
        <w:lastRenderedPageBreak/>
        <w:t>5</w:t>
      </w:r>
      <w:r w:rsidRPr="00C7232E">
        <w:rPr>
          <w:b/>
        </w:rPr>
        <w:t>.</w:t>
      </w:r>
      <w:r w:rsidRPr="00C7232E">
        <w:tab/>
        <w:t xml:space="preserve">Kim J, Kim HJ, Jeon J, Song TJ. Association between oral health and cardiovascular outcomes in patients with hypertension: a nationwide cohort study. </w:t>
      </w:r>
      <w:r w:rsidRPr="00C7232E">
        <w:rPr>
          <w:i/>
        </w:rPr>
        <w:t>J Hypertens.</w:t>
      </w:r>
      <w:r w:rsidRPr="00C7232E">
        <w:t xml:space="preserve"> 2022;40:374-381.</w:t>
      </w:r>
    </w:p>
    <w:p w14:paraId="25966A4A" w14:textId="1EF28628" w:rsidR="0078411D" w:rsidRPr="00C7232E" w:rsidRDefault="0078411D" w:rsidP="0078411D">
      <w:pPr>
        <w:pStyle w:val="EndNoteBibliography"/>
        <w:spacing w:after="0"/>
        <w:ind w:left="720" w:hanging="720"/>
      </w:pPr>
      <w:r>
        <w:rPr>
          <w:b/>
        </w:rPr>
        <w:t>6</w:t>
      </w:r>
      <w:r w:rsidRPr="00C7232E">
        <w:rPr>
          <w:b/>
        </w:rPr>
        <w:t>.</w:t>
      </w:r>
      <w:r w:rsidRPr="00C7232E">
        <w:tab/>
        <w:t xml:space="preserve">Song TJ, Chang Y, Jeon J, Kim J. Oral health and longitudinal changes in fasting glucose levels: A nationwide cohort study. </w:t>
      </w:r>
      <w:r w:rsidRPr="00C7232E">
        <w:rPr>
          <w:i/>
        </w:rPr>
        <w:t>PLoS One.</w:t>
      </w:r>
      <w:r w:rsidRPr="00C7232E">
        <w:t xml:space="preserve"> 2021;16:e0253769.</w:t>
      </w:r>
    </w:p>
    <w:p w14:paraId="3967CE85" w14:textId="77777777" w:rsidR="0078411D" w:rsidRDefault="0078411D" w:rsidP="0078411D">
      <w:pPr>
        <w:pStyle w:val="EndNoteBibliography"/>
        <w:spacing w:after="0"/>
        <w:ind w:left="720" w:hanging="720"/>
      </w:pPr>
      <w:r>
        <w:rPr>
          <w:b/>
        </w:rPr>
        <w:t>7</w:t>
      </w:r>
      <w:r w:rsidRPr="00C7232E">
        <w:rPr>
          <w:b/>
        </w:rPr>
        <w:t>.</w:t>
      </w:r>
      <w:r w:rsidRPr="00C7232E">
        <w:tab/>
        <w:t xml:space="preserve">Charlson ME, Carrozzino D, Guidi J, Patierno C. Charlson Comorbidity Index: A Critical Review of Clinimetric Properties. </w:t>
      </w:r>
      <w:r w:rsidRPr="00C7232E">
        <w:rPr>
          <w:i/>
        </w:rPr>
        <w:t>Psychotherapy and Psychosomatics.</w:t>
      </w:r>
      <w:r w:rsidRPr="00C7232E">
        <w:t xml:space="preserve"> 2022;91:8-35.</w:t>
      </w:r>
    </w:p>
    <w:p w14:paraId="714CDEB3" w14:textId="4185D3F3" w:rsidR="005962E8" w:rsidRPr="0078411D" w:rsidRDefault="0078411D" w:rsidP="0078411D">
      <w:pPr>
        <w:pStyle w:val="EndNoteBibliography"/>
        <w:spacing w:after="0"/>
        <w:ind w:left="720" w:hanging="720"/>
      </w:pPr>
      <w:r>
        <w:rPr>
          <w:b/>
        </w:rPr>
        <w:t>8</w:t>
      </w:r>
      <w:r w:rsidRPr="00C7232E">
        <w:rPr>
          <w:b/>
        </w:rPr>
        <w:t>.</w:t>
      </w:r>
      <w:r w:rsidRPr="00C7232E">
        <w:tab/>
      </w:r>
      <w:r w:rsidRPr="0078411D">
        <w:t>Chang Y, Lee H, Song TJ. Association of gamma-glutamyl transferase variability with risk of venous thrombosis. Scientific reports. 2023;13:7402.</w:t>
      </w:r>
    </w:p>
    <w:sectPr w:rsidR="005962E8" w:rsidRPr="0078411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D14A1" w14:textId="77777777" w:rsidR="00957511" w:rsidRDefault="00957511" w:rsidP="00461B65">
      <w:pPr>
        <w:spacing w:after="0" w:line="240" w:lineRule="auto"/>
      </w:pPr>
      <w:r>
        <w:separator/>
      </w:r>
    </w:p>
  </w:endnote>
  <w:endnote w:type="continuationSeparator" w:id="0">
    <w:p w14:paraId="65D2C8E2" w14:textId="77777777" w:rsidR="00957511" w:rsidRDefault="00957511" w:rsidP="00461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C8682" w14:textId="77777777" w:rsidR="00957511" w:rsidRDefault="00957511" w:rsidP="00461B65">
      <w:pPr>
        <w:spacing w:after="0" w:line="240" w:lineRule="auto"/>
      </w:pPr>
      <w:r>
        <w:separator/>
      </w:r>
    </w:p>
  </w:footnote>
  <w:footnote w:type="continuationSeparator" w:id="0">
    <w:p w14:paraId="6F3673CF" w14:textId="77777777" w:rsidR="00957511" w:rsidRDefault="00957511" w:rsidP="00461B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E7A"/>
    <w:rsid w:val="00051D77"/>
    <w:rsid w:val="00077B21"/>
    <w:rsid w:val="002C0367"/>
    <w:rsid w:val="002E7E13"/>
    <w:rsid w:val="003018A6"/>
    <w:rsid w:val="00461B65"/>
    <w:rsid w:val="00461E7A"/>
    <w:rsid w:val="005962E8"/>
    <w:rsid w:val="005A0DEB"/>
    <w:rsid w:val="00634C65"/>
    <w:rsid w:val="00651647"/>
    <w:rsid w:val="0070204B"/>
    <w:rsid w:val="007336CA"/>
    <w:rsid w:val="0078411D"/>
    <w:rsid w:val="007A43F4"/>
    <w:rsid w:val="008247C0"/>
    <w:rsid w:val="008E6EE9"/>
    <w:rsid w:val="00957511"/>
    <w:rsid w:val="009E2202"/>
    <w:rsid w:val="00A056C2"/>
    <w:rsid w:val="00A37862"/>
    <w:rsid w:val="00A45B1A"/>
    <w:rsid w:val="00A72D57"/>
    <w:rsid w:val="00AD7CA3"/>
    <w:rsid w:val="00B57878"/>
    <w:rsid w:val="00BD51E5"/>
    <w:rsid w:val="00C74404"/>
    <w:rsid w:val="00CA57E4"/>
    <w:rsid w:val="00CD5E04"/>
    <w:rsid w:val="00D97609"/>
    <w:rsid w:val="00EB0A94"/>
    <w:rsid w:val="00EE742F"/>
    <w:rsid w:val="00F336A3"/>
    <w:rsid w:val="00F4560D"/>
    <w:rsid w:val="00F7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C96EA"/>
  <w15:docId w15:val="{6222117E-29E0-435F-9100-6A678039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1B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61B65"/>
  </w:style>
  <w:style w:type="paragraph" w:styleId="a4">
    <w:name w:val="footer"/>
    <w:basedOn w:val="a"/>
    <w:link w:val="Char0"/>
    <w:uiPriority w:val="99"/>
    <w:unhideWhenUsed/>
    <w:rsid w:val="00461B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61B65"/>
  </w:style>
  <w:style w:type="character" w:styleId="a5">
    <w:name w:val="annotation reference"/>
    <w:basedOn w:val="a0"/>
    <w:uiPriority w:val="99"/>
    <w:semiHidden/>
    <w:unhideWhenUsed/>
    <w:rsid w:val="00A056C2"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rsid w:val="00A056C2"/>
    <w:pPr>
      <w:jc w:val="left"/>
    </w:pPr>
  </w:style>
  <w:style w:type="character" w:customStyle="1" w:styleId="Char1">
    <w:name w:val="메모 텍스트 Char"/>
    <w:basedOn w:val="a0"/>
    <w:link w:val="a6"/>
    <w:uiPriority w:val="99"/>
    <w:rsid w:val="00A056C2"/>
  </w:style>
  <w:style w:type="paragraph" w:styleId="a7">
    <w:name w:val="Balloon Text"/>
    <w:basedOn w:val="a"/>
    <w:link w:val="Char2"/>
    <w:uiPriority w:val="99"/>
    <w:semiHidden/>
    <w:unhideWhenUsed/>
    <w:rsid w:val="00A056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A056C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Revision"/>
    <w:hidden/>
    <w:uiPriority w:val="99"/>
    <w:semiHidden/>
    <w:rsid w:val="009E2202"/>
    <w:pPr>
      <w:spacing w:after="0" w:line="240" w:lineRule="auto"/>
      <w:jc w:val="left"/>
    </w:pPr>
  </w:style>
  <w:style w:type="paragraph" w:styleId="a9">
    <w:name w:val="annotation subject"/>
    <w:basedOn w:val="a6"/>
    <w:next w:val="a6"/>
    <w:link w:val="Char3"/>
    <w:uiPriority w:val="99"/>
    <w:semiHidden/>
    <w:unhideWhenUsed/>
    <w:rsid w:val="009E2202"/>
    <w:rPr>
      <w:b/>
      <w:bCs/>
    </w:rPr>
  </w:style>
  <w:style w:type="character" w:customStyle="1" w:styleId="Char3">
    <w:name w:val="메모 주제 Char"/>
    <w:basedOn w:val="Char1"/>
    <w:link w:val="a9"/>
    <w:uiPriority w:val="99"/>
    <w:semiHidden/>
    <w:rsid w:val="009E2202"/>
    <w:rPr>
      <w:b/>
      <w:bCs/>
    </w:rPr>
  </w:style>
  <w:style w:type="paragraph" w:customStyle="1" w:styleId="EndNoteBibliography">
    <w:name w:val="EndNote Bibliography"/>
    <w:basedOn w:val="a"/>
    <w:link w:val="EndNoteBibliographyChar"/>
    <w:rsid w:val="0078411D"/>
    <w:pPr>
      <w:spacing w:line="480" w:lineRule="auto"/>
    </w:pPr>
    <w:rPr>
      <w:rFonts w:ascii="Times New Roman" w:eastAsia="맑은 고딕" w:hAnsi="Times New Roman" w:cs="Times New Roman"/>
      <w:noProof/>
    </w:rPr>
  </w:style>
  <w:style w:type="character" w:customStyle="1" w:styleId="EndNoteBibliographyChar">
    <w:name w:val="EndNote Bibliography Char"/>
    <w:link w:val="EndNoteBibliography"/>
    <w:rsid w:val="0078411D"/>
    <w:rPr>
      <w:rFonts w:ascii="Times New Roman" w:eastAsia="맑은 고딕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송태진(의학과)</dc:creator>
  <cp:lastModifiedBy>Jung-Hyun Park</cp:lastModifiedBy>
  <cp:revision>4</cp:revision>
  <dcterms:created xsi:type="dcterms:W3CDTF">2023-06-08T00:40:00Z</dcterms:created>
  <dcterms:modified xsi:type="dcterms:W3CDTF">2023-06-16T05:09:00Z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F:\★논문★\22. HTN\2023-05-13_periondontitis_HTN_supplementary_Methods-STJ.docx</vt:lpwstr>
  </property>
</Properties>
</file>