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F5D0D" w14:textId="5E2EDF93" w:rsidR="00EF24B0" w:rsidRPr="00C166B8" w:rsidRDefault="00016BB0" w:rsidP="00EF24B0">
      <w:pPr>
        <w:spacing w:line="480" w:lineRule="auto"/>
      </w:pPr>
      <w:r>
        <w:t xml:space="preserve">Supplementary </w:t>
      </w:r>
      <w:r w:rsidR="00166A6E">
        <w:t>table 1</w:t>
      </w:r>
      <w:r>
        <w:t xml:space="preserve">: Registration </w:t>
      </w:r>
      <w:r w:rsidRPr="00C166B8">
        <w:t>of dental caries in SCOR</w:t>
      </w:r>
      <w:r>
        <w:t xml:space="preserve">, </w:t>
      </w:r>
      <w:r w:rsidRPr="00C166B8">
        <w:t>1972-2022.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1605"/>
        <w:gridCol w:w="1823"/>
        <w:gridCol w:w="1368"/>
        <w:gridCol w:w="1581"/>
        <w:gridCol w:w="2182"/>
        <w:gridCol w:w="1468"/>
        <w:gridCol w:w="1888"/>
      </w:tblGrid>
      <w:tr w:rsidR="00EF24B0" w:rsidRPr="00C166B8" w14:paraId="2E51F8A5" w14:textId="77777777" w:rsidTr="00D05633">
        <w:tc>
          <w:tcPr>
            <w:tcW w:w="0" w:type="auto"/>
            <w:shd w:val="clear" w:color="auto" w:fill="auto"/>
          </w:tcPr>
          <w:p w14:paraId="2EF1B72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0A0B4D2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1972-1977</w:t>
            </w:r>
          </w:p>
        </w:tc>
        <w:tc>
          <w:tcPr>
            <w:tcW w:w="0" w:type="auto"/>
            <w:shd w:val="clear" w:color="auto" w:fill="auto"/>
          </w:tcPr>
          <w:p w14:paraId="6E9A79D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1977-1988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7406C2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1988-1999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D818ED9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 xml:space="preserve">2000 - Present </w:t>
            </w:r>
          </w:p>
        </w:tc>
      </w:tr>
      <w:tr w:rsidR="00EF24B0" w:rsidRPr="00C166B8" w14:paraId="7AB484C3" w14:textId="77777777" w:rsidTr="00D05633">
        <w:tc>
          <w:tcPr>
            <w:tcW w:w="0" w:type="auto"/>
            <w:shd w:val="clear" w:color="auto" w:fill="auto"/>
          </w:tcPr>
          <w:p w14:paraId="19BC954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Code</w:t>
            </w:r>
          </w:p>
        </w:tc>
        <w:tc>
          <w:tcPr>
            <w:tcW w:w="0" w:type="auto"/>
            <w:shd w:val="clear" w:color="auto" w:fill="auto"/>
          </w:tcPr>
          <w:p w14:paraId="72B8902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Diagnosis</w:t>
            </w:r>
          </w:p>
        </w:tc>
        <w:tc>
          <w:tcPr>
            <w:tcW w:w="0" w:type="auto"/>
            <w:shd w:val="clear" w:color="auto" w:fill="auto"/>
          </w:tcPr>
          <w:p w14:paraId="2D7DFDB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Clinical Findings</w:t>
            </w:r>
          </w:p>
        </w:tc>
        <w:tc>
          <w:tcPr>
            <w:tcW w:w="0" w:type="auto"/>
            <w:shd w:val="clear" w:color="auto" w:fill="auto"/>
          </w:tcPr>
          <w:p w14:paraId="557AD9C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Diagnosis</w:t>
            </w:r>
          </w:p>
        </w:tc>
        <w:tc>
          <w:tcPr>
            <w:tcW w:w="0" w:type="auto"/>
            <w:shd w:val="clear" w:color="auto" w:fill="auto"/>
          </w:tcPr>
          <w:p w14:paraId="6500822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Diagnosis</w:t>
            </w:r>
          </w:p>
        </w:tc>
        <w:tc>
          <w:tcPr>
            <w:tcW w:w="0" w:type="auto"/>
            <w:shd w:val="clear" w:color="auto" w:fill="auto"/>
          </w:tcPr>
          <w:p w14:paraId="5F8DDF1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Clinical Findings</w:t>
            </w:r>
          </w:p>
        </w:tc>
        <w:tc>
          <w:tcPr>
            <w:tcW w:w="0" w:type="auto"/>
            <w:shd w:val="clear" w:color="auto" w:fill="auto"/>
          </w:tcPr>
          <w:p w14:paraId="60B570A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Diagnosis</w:t>
            </w:r>
          </w:p>
        </w:tc>
        <w:tc>
          <w:tcPr>
            <w:tcW w:w="0" w:type="auto"/>
            <w:shd w:val="clear" w:color="auto" w:fill="auto"/>
          </w:tcPr>
          <w:p w14:paraId="2BAF2F4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Clinical Findings</w:t>
            </w:r>
          </w:p>
        </w:tc>
      </w:tr>
      <w:tr w:rsidR="00EF24B0" w:rsidRPr="00C166B8" w14:paraId="2CCC1944" w14:textId="77777777" w:rsidTr="00D05633">
        <w:trPr>
          <w:trHeight w:val="944"/>
        </w:trPr>
        <w:tc>
          <w:tcPr>
            <w:tcW w:w="0" w:type="auto"/>
            <w:shd w:val="clear" w:color="auto" w:fill="auto"/>
          </w:tcPr>
          <w:p w14:paraId="7A5616D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Blank</w:t>
            </w:r>
          </w:p>
        </w:tc>
        <w:tc>
          <w:tcPr>
            <w:tcW w:w="0" w:type="auto"/>
            <w:shd w:val="clear" w:color="auto" w:fill="auto"/>
          </w:tcPr>
          <w:p w14:paraId="53B7F70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Healthy.</w:t>
            </w:r>
          </w:p>
        </w:tc>
        <w:tc>
          <w:tcPr>
            <w:tcW w:w="0" w:type="auto"/>
            <w:shd w:val="clear" w:color="auto" w:fill="auto"/>
          </w:tcPr>
          <w:p w14:paraId="538C79D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Clean and without discoloration.</w:t>
            </w:r>
          </w:p>
        </w:tc>
        <w:tc>
          <w:tcPr>
            <w:tcW w:w="0" w:type="auto"/>
            <w:shd w:val="clear" w:color="auto" w:fill="auto"/>
          </w:tcPr>
          <w:p w14:paraId="4F2A428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2348368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2461877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4C964AE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3CC3562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</w:tr>
      <w:tr w:rsidR="00EF24B0" w:rsidRPr="00C166B8" w14:paraId="5A257E55" w14:textId="77777777" w:rsidTr="00D05633">
        <w:trPr>
          <w:trHeight w:val="3766"/>
        </w:trPr>
        <w:tc>
          <w:tcPr>
            <w:tcW w:w="0" w:type="auto"/>
            <w:shd w:val="clear" w:color="auto" w:fill="auto"/>
          </w:tcPr>
          <w:p w14:paraId="2CF2010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14:paraId="5B1EFDC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Initial caries.*</w:t>
            </w:r>
          </w:p>
        </w:tc>
        <w:tc>
          <w:tcPr>
            <w:tcW w:w="0" w:type="auto"/>
            <w:shd w:val="clear" w:color="auto" w:fill="auto"/>
          </w:tcPr>
          <w:p w14:paraId="4EFB9683" w14:textId="77777777" w:rsidR="00EF24B0" w:rsidRPr="00C166B8" w:rsidRDefault="00EF24B0" w:rsidP="00D05633">
            <w:pPr>
              <w:pStyle w:val="CommentText"/>
              <w:rPr>
                <w:highlight w:val="yellow"/>
              </w:rPr>
            </w:pPr>
            <w:r w:rsidRPr="00C166B8">
              <w:t>Beginning shadow in the enamel, white dull spots or areas in the enamel without caviation, possibly small lines of discoloration, no changes in enamel hardness on probing.</w:t>
            </w:r>
          </w:p>
          <w:p w14:paraId="24C9EECB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71DA94F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6992DDC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Active caries, non-caviated.</w:t>
            </w:r>
          </w:p>
        </w:tc>
        <w:tc>
          <w:tcPr>
            <w:tcW w:w="0" w:type="auto"/>
            <w:shd w:val="clear" w:color="auto" w:fill="auto"/>
          </w:tcPr>
          <w:p w14:paraId="42528E0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The enamel is rough, matte and visibly opaque compared to the surrounding translucent enamel. Symptoms are not combined with caviation.</w:t>
            </w:r>
            <w:r w:rsidRPr="00C166B8">
              <w:rPr>
                <w:sz w:val="20"/>
                <w:szCs w:val="20"/>
                <w:lang w:val="da-DK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741F9CF9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Initial caries.</w:t>
            </w:r>
          </w:p>
        </w:tc>
        <w:tc>
          <w:tcPr>
            <w:tcW w:w="0" w:type="auto"/>
            <w:shd w:val="clear" w:color="auto" w:fill="auto"/>
          </w:tcPr>
          <w:p w14:paraId="7BD5F50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The enamel is rough, matte and visibly opaque. Non-caviated. </w:t>
            </w:r>
          </w:p>
        </w:tc>
      </w:tr>
      <w:tr w:rsidR="00EF24B0" w:rsidRPr="00C166B8" w14:paraId="3AA3E301" w14:textId="77777777" w:rsidTr="00D05633">
        <w:tc>
          <w:tcPr>
            <w:tcW w:w="0" w:type="auto"/>
            <w:shd w:val="clear" w:color="auto" w:fill="auto"/>
          </w:tcPr>
          <w:p w14:paraId="6B6C61A9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37EB87FB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</w:rPr>
              <w:t>Primary c</w:t>
            </w:r>
            <w:r w:rsidRPr="00C166B8">
              <w:rPr>
                <w:sz w:val="20"/>
                <w:szCs w:val="20"/>
                <w:lang w:val="da-DK"/>
              </w:rPr>
              <w:t>aries.</w:t>
            </w:r>
          </w:p>
        </w:tc>
        <w:tc>
          <w:tcPr>
            <w:tcW w:w="0" w:type="auto"/>
            <w:shd w:val="clear" w:color="auto" w:fill="auto"/>
          </w:tcPr>
          <w:p w14:paraId="61CC7E20" w14:textId="77777777" w:rsidR="00EF24B0" w:rsidRPr="00C166B8" w:rsidRDefault="00EF24B0" w:rsidP="00D05633">
            <w:pPr>
              <w:pStyle w:val="CommentText"/>
            </w:pPr>
            <w:r w:rsidRPr="00C166B8">
              <w:t xml:space="preserve">Translucent enamel or caviation of the enamel or deeper. With or without discoloration. Changes in enamel </w:t>
            </w:r>
            <w:r w:rsidRPr="00C166B8">
              <w:lastRenderedPageBreak/>
              <w:t>or dentin hardness on probing.</w:t>
            </w:r>
          </w:p>
        </w:tc>
        <w:tc>
          <w:tcPr>
            <w:tcW w:w="0" w:type="auto"/>
            <w:shd w:val="clear" w:color="auto" w:fill="auto"/>
          </w:tcPr>
          <w:p w14:paraId="7D0F789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lastRenderedPageBreak/>
              <w:t>=/=</w:t>
            </w:r>
          </w:p>
        </w:tc>
        <w:tc>
          <w:tcPr>
            <w:tcW w:w="0" w:type="auto"/>
            <w:shd w:val="clear" w:color="auto" w:fill="auto"/>
          </w:tcPr>
          <w:p w14:paraId="55918F4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Active caries, caviated.</w:t>
            </w:r>
          </w:p>
        </w:tc>
        <w:tc>
          <w:tcPr>
            <w:tcW w:w="0" w:type="auto"/>
            <w:shd w:val="clear" w:color="auto" w:fill="auto"/>
          </w:tcPr>
          <w:p w14:paraId="4C322B3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The enamel is rough, matte and visibly opaque compared to the </w:t>
            </w:r>
            <w:commentRangeStart w:id="0"/>
            <w:r w:rsidRPr="00C166B8">
              <w:rPr>
                <w:sz w:val="20"/>
                <w:szCs w:val="20"/>
              </w:rPr>
              <w:t>surrounding</w:t>
            </w:r>
            <w:commentRangeEnd w:id="0"/>
            <w:r w:rsidRPr="00C166B8">
              <w:rPr>
                <w:rStyle w:val="CommentReference"/>
              </w:rPr>
              <w:commentReference w:id="0"/>
            </w:r>
            <w:r w:rsidRPr="00C166B8">
              <w:rPr>
                <w:sz w:val="20"/>
                <w:szCs w:val="20"/>
              </w:rPr>
              <w:t xml:space="preserve"> </w:t>
            </w:r>
            <w:r w:rsidRPr="00C166B8">
              <w:rPr>
                <w:sz w:val="20"/>
                <w:szCs w:val="20"/>
              </w:rPr>
              <w:lastRenderedPageBreak/>
              <w:t>translucent enamel. Symptoms are combined with caviation (judged directly by the use of diagnostic tools).</w:t>
            </w:r>
          </w:p>
        </w:tc>
        <w:tc>
          <w:tcPr>
            <w:tcW w:w="0" w:type="auto"/>
            <w:shd w:val="clear" w:color="auto" w:fill="auto"/>
          </w:tcPr>
          <w:p w14:paraId="3BB2004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lastRenderedPageBreak/>
              <w:t>Manifest caries.</w:t>
            </w:r>
          </w:p>
        </w:tc>
        <w:tc>
          <w:tcPr>
            <w:tcW w:w="0" w:type="auto"/>
            <w:shd w:val="clear" w:color="auto" w:fill="auto"/>
          </w:tcPr>
          <w:p w14:paraId="36C18F51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The enamel is rough, matte and visibly opaque. With caviation judged </w:t>
            </w:r>
            <w:r w:rsidRPr="00C166B8">
              <w:rPr>
                <w:sz w:val="20"/>
                <w:szCs w:val="20"/>
              </w:rPr>
              <w:lastRenderedPageBreak/>
              <w:t xml:space="preserve">directly or using diagnostic tools. </w:t>
            </w:r>
            <w:r w:rsidRPr="00C166B8">
              <w:rPr>
                <w:rFonts w:ascii="Calibri" w:hAnsi="Calibri" w:cs="Calibri"/>
                <w:sz w:val="20"/>
                <w:szCs w:val="20"/>
              </w:rPr>
              <w:t>Clear shadows beneath seemingly clinically intact enamel (e.g. hidden occlusal caries).</w:t>
            </w:r>
            <w:r w:rsidRPr="00C166B8">
              <w:rPr>
                <w:sz w:val="20"/>
                <w:szCs w:val="20"/>
              </w:rPr>
              <w:t xml:space="preserve"> </w:t>
            </w:r>
          </w:p>
        </w:tc>
      </w:tr>
      <w:tr w:rsidR="00EF24B0" w:rsidRPr="00C166B8" w14:paraId="5414B6AC" w14:textId="77777777" w:rsidTr="00D05633">
        <w:tc>
          <w:tcPr>
            <w:tcW w:w="0" w:type="auto"/>
            <w:shd w:val="clear" w:color="auto" w:fill="auto"/>
          </w:tcPr>
          <w:p w14:paraId="3C48694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14:paraId="40FB2F9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Secondary caries, defect/lost filling. </w:t>
            </w:r>
            <w:commentRangeStart w:id="1"/>
            <w:r w:rsidRPr="00C166B8">
              <w:rPr>
                <w:sz w:val="20"/>
                <w:szCs w:val="20"/>
              </w:rPr>
              <w:t>P</w:t>
            </w:r>
            <w:commentRangeEnd w:id="1"/>
            <w:r w:rsidRPr="00C166B8">
              <w:rPr>
                <w:rStyle w:val="CommentReference"/>
              </w:rPr>
              <w:commentReference w:id="1"/>
            </w:r>
            <w:r w:rsidRPr="00C166B8">
              <w:rPr>
                <w:sz w:val="20"/>
                <w:szCs w:val="20"/>
              </w:rPr>
              <w:t>rimary caries on a previously filled surface.  Tooth fracture requiring treatment.</w:t>
            </w:r>
          </w:p>
        </w:tc>
        <w:tc>
          <w:tcPr>
            <w:tcW w:w="0" w:type="auto"/>
            <w:shd w:val="clear" w:color="auto" w:fill="auto"/>
          </w:tcPr>
          <w:p w14:paraId="7F5E9909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</w:rPr>
              <w:t>N/</w:t>
            </w:r>
            <w:r w:rsidRPr="00C166B8">
              <w:rPr>
                <w:sz w:val="20"/>
                <w:szCs w:val="20"/>
                <w:lang w:val="da-DK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14:paraId="6B21E9E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Secondary caries, defect/lost filling, primary caries on a previously filled surface. </w:t>
            </w:r>
          </w:p>
        </w:tc>
        <w:tc>
          <w:tcPr>
            <w:tcW w:w="0" w:type="auto"/>
            <w:shd w:val="clear" w:color="auto" w:fill="auto"/>
          </w:tcPr>
          <w:p w14:paraId="0F1711AC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Active caries on a previously filled surface, defective/lost filling.**</w:t>
            </w:r>
          </w:p>
          <w:p w14:paraId="030DA35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3D41033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02266747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Secondary caries.</w:t>
            </w:r>
          </w:p>
        </w:tc>
        <w:tc>
          <w:tcPr>
            <w:tcW w:w="0" w:type="auto"/>
            <w:shd w:val="clear" w:color="auto" w:fill="auto"/>
          </w:tcPr>
          <w:p w14:paraId="1654BBAE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Manifest caries on a surface previously filled due to caries.</w:t>
            </w:r>
          </w:p>
          <w:p w14:paraId="4BB0AE1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EF24B0" w:rsidRPr="00C166B8" w14:paraId="4E4BB211" w14:textId="77777777" w:rsidTr="00D05633">
        <w:tc>
          <w:tcPr>
            <w:tcW w:w="0" w:type="auto"/>
            <w:shd w:val="clear" w:color="auto" w:fill="auto"/>
          </w:tcPr>
          <w:p w14:paraId="39B0D567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14:paraId="4FF79FF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69C1A95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458B49A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Trauma resulting in a fractured tooth, tooth fractures in need of treatment or already treated.</w:t>
            </w:r>
          </w:p>
        </w:tc>
        <w:tc>
          <w:tcPr>
            <w:tcW w:w="0" w:type="auto"/>
            <w:shd w:val="clear" w:color="auto" w:fill="auto"/>
          </w:tcPr>
          <w:p w14:paraId="0B96331D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da-DK"/>
              </w:rPr>
            </w:pPr>
            <w:r w:rsidRPr="00C166B8">
              <w:rPr>
                <w:rFonts w:ascii="Calibri" w:hAnsi="Calibri" w:cs="Calibri"/>
                <w:sz w:val="20"/>
                <w:szCs w:val="20"/>
                <w:lang w:val="da-DK"/>
              </w:rPr>
              <w:t>Filling due to trauma.</w:t>
            </w:r>
          </w:p>
          <w:p w14:paraId="1C339B0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shd w:val="clear" w:color="auto" w:fill="auto"/>
          </w:tcPr>
          <w:p w14:paraId="02CF3DE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63877387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Trauma.</w:t>
            </w:r>
          </w:p>
        </w:tc>
        <w:tc>
          <w:tcPr>
            <w:tcW w:w="0" w:type="auto"/>
            <w:shd w:val="clear" w:color="auto" w:fill="auto"/>
          </w:tcPr>
          <w:p w14:paraId="5E67F85B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Damage caused by acute mechanic trauma of dental hard tissues, pulpa or parodontium. Filling, dental crown or endodontic treatment due to trauma.</w:t>
            </w:r>
          </w:p>
          <w:p w14:paraId="55AFA4A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EF24B0" w:rsidRPr="00C166B8" w14:paraId="26AF9256" w14:textId="77777777" w:rsidTr="00D05633">
        <w:tc>
          <w:tcPr>
            <w:tcW w:w="0" w:type="auto"/>
            <w:shd w:val="clear" w:color="auto" w:fill="auto"/>
          </w:tcPr>
          <w:p w14:paraId="48FB2080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651A9EA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Filling of any kind.</w:t>
            </w:r>
          </w:p>
        </w:tc>
        <w:tc>
          <w:tcPr>
            <w:tcW w:w="0" w:type="auto"/>
            <w:shd w:val="clear" w:color="auto" w:fill="auto"/>
          </w:tcPr>
          <w:p w14:paraId="494613F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2078984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4D77132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Filling.**</w:t>
            </w:r>
          </w:p>
        </w:tc>
        <w:tc>
          <w:tcPr>
            <w:tcW w:w="0" w:type="auto"/>
            <w:shd w:val="clear" w:color="auto" w:fill="auto"/>
          </w:tcPr>
          <w:p w14:paraId="6C26381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1143FA9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Filling.</w:t>
            </w:r>
          </w:p>
        </w:tc>
        <w:tc>
          <w:tcPr>
            <w:tcW w:w="0" w:type="auto"/>
            <w:shd w:val="clear" w:color="auto" w:fill="auto"/>
          </w:tcPr>
          <w:p w14:paraId="77F254E3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All fillings and dental crowns, made due to caries.</w:t>
            </w:r>
          </w:p>
        </w:tc>
      </w:tr>
      <w:tr w:rsidR="00EF24B0" w:rsidRPr="00C166B8" w14:paraId="4F54A180" w14:textId="77777777" w:rsidTr="00D05633">
        <w:tc>
          <w:tcPr>
            <w:tcW w:w="0" w:type="auto"/>
            <w:shd w:val="clear" w:color="auto" w:fill="auto"/>
          </w:tcPr>
          <w:p w14:paraId="388DA91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D9D760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0CC5E91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1F8C35E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60FCC63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Endodontically treated tooth, caries causa.</w:t>
            </w:r>
          </w:p>
        </w:tc>
        <w:tc>
          <w:tcPr>
            <w:tcW w:w="0" w:type="auto"/>
            <w:shd w:val="clear" w:color="auto" w:fill="auto"/>
          </w:tcPr>
          <w:p w14:paraId="5C4E24D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3CE94B84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Endodontically treated tooth.</w:t>
            </w:r>
            <w:r w:rsidRPr="00C166B8" w:rsidDel="004035F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5D02CBE3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 xml:space="preserve">Pulp capping class 1 or 2, or root canal treatment  caries causa, only done on </w:t>
            </w:r>
            <w:r w:rsidRPr="00C166B8">
              <w:rPr>
                <w:rFonts w:ascii="Calibri" w:hAnsi="Calibri" w:cs="Calibri"/>
                <w:sz w:val="20"/>
                <w:szCs w:val="20"/>
              </w:rPr>
              <w:lastRenderedPageBreak/>
              <w:t>the occlusal (oral) surface.</w:t>
            </w:r>
          </w:p>
        </w:tc>
      </w:tr>
      <w:tr w:rsidR="00EF24B0" w:rsidRPr="00C166B8" w14:paraId="7268A230" w14:textId="77777777" w:rsidTr="00D05633">
        <w:tc>
          <w:tcPr>
            <w:tcW w:w="0" w:type="auto"/>
            <w:shd w:val="clear" w:color="auto" w:fill="auto"/>
          </w:tcPr>
          <w:p w14:paraId="7CC483C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14:paraId="19FFCEF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</w:rPr>
              <w:t xml:space="preserve">Extraction caries </w:t>
            </w:r>
            <w:r w:rsidRPr="00C166B8">
              <w:rPr>
                <w:sz w:val="20"/>
                <w:szCs w:val="20"/>
                <w:lang w:val="da-DK"/>
              </w:rPr>
              <w:t>causa.</w:t>
            </w:r>
          </w:p>
        </w:tc>
        <w:tc>
          <w:tcPr>
            <w:tcW w:w="0" w:type="auto"/>
            <w:shd w:val="clear" w:color="auto" w:fill="auto"/>
          </w:tcPr>
          <w:p w14:paraId="05B4C98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03A519E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6FDFEAD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Extraction caries causa.</w:t>
            </w:r>
          </w:p>
        </w:tc>
        <w:tc>
          <w:tcPr>
            <w:tcW w:w="0" w:type="auto"/>
            <w:shd w:val="clear" w:color="auto" w:fill="auto"/>
          </w:tcPr>
          <w:p w14:paraId="7C421DB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0F7AD20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Extraction caries causa.</w:t>
            </w:r>
          </w:p>
        </w:tc>
        <w:tc>
          <w:tcPr>
            <w:tcW w:w="0" w:type="auto"/>
            <w:shd w:val="clear" w:color="auto" w:fill="auto"/>
          </w:tcPr>
          <w:p w14:paraId="75D7C9E1" w14:textId="77777777" w:rsidR="00EF24B0" w:rsidRPr="00C166B8" w:rsidRDefault="00EF24B0" w:rsidP="00D05633">
            <w:pPr>
              <w:spacing w:line="480" w:lineRule="auto"/>
              <w:rPr>
                <w:rFonts w:ascii="Calibri" w:hAnsi="Calibri" w:cs="Calibri"/>
                <w:sz w:val="20"/>
                <w:szCs w:val="20"/>
                <w:lang w:val="da-DK"/>
              </w:rPr>
            </w:pPr>
          </w:p>
        </w:tc>
      </w:tr>
      <w:tr w:rsidR="00EF24B0" w:rsidRPr="00C166B8" w14:paraId="31D20126" w14:textId="77777777" w:rsidTr="00D05633">
        <w:tc>
          <w:tcPr>
            <w:tcW w:w="0" w:type="auto"/>
            <w:shd w:val="clear" w:color="auto" w:fill="auto"/>
          </w:tcPr>
          <w:p w14:paraId="3323098B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6231E7F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Lost due to other causes (trauma, ortodontics). </w:t>
            </w:r>
          </w:p>
        </w:tc>
        <w:tc>
          <w:tcPr>
            <w:tcW w:w="0" w:type="auto"/>
            <w:shd w:val="clear" w:color="auto" w:fill="auto"/>
          </w:tcPr>
          <w:p w14:paraId="2F9C0F9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110E3A0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=/=</w:t>
            </w:r>
          </w:p>
        </w:tc>
        <w:tc>
          <w:tcPr>
            <w:tcW w:w="0" w:type="auto"/>
            <w:shd w:val="clear" w:color="auto" w:fill="auto"/>
          </w:tcPr>
          <w:p w14:paraId="69D48D7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Lost due to other cause.</w:t>
            </w:r>
          </w:p>
        </w:tc>
        <w:tc>
          <w:tcPr>
            <w:tcW w:w="0" w:type="auto"/>
            <w:shd w:val="clear" w:color="auto" w:fill="auto"/>
          </w:tcPr>
          <w:p w14:paraId="1A43B1D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3209A9D8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commentRangeStart w:id="2"/>
            <w:r w:rsidRPr="00C166B8">
              <w:rPr>
                <w:sz w:val="20"/>
                <w:szCs w:val="20"/>
              </w:rPr>
              <w:t>Lost (due to other cause).</w:t>
            </w:r>
            <w:commentRangeEnd w:id="2"/>
            <w:r w:rsidRPr="00C166B8">
              <w:rPr>
                <w:rStyle w:val="CommentReference"/>
              </w:rPr>
              <w:commentReference w:id="2"/>
            </w:r>
          </w:p>
        </w:tc>
        <w:tc>
          <w:tcPr>
            <w:tcW w:w="0" w:type="auto"/>
            <w:shd w:val="clear" w:color="auto" w:fill="auto"/>
          </w:tcPr>
          <w:p w14:paraId="37C5942B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E.g. due to trauma or ortodontic treatment.</w:t>
            </w:r>
          </w:p>
        </w:tc>
      </w:tr>
      <w:tr w:rsidR="00EF24B0" w:rsidRPr="00C166B8" w14:paraId="0275425D" w14:textId="77777777" w:rsidTr="00D05633">
        <w:tc>
          <w:tcPr>
            <w:tcW w:w="0" w:type="auto"/>
            <w:shd w:val="clear" w:color="auto" w:fill="auto"/>
          </w:tcPr>
          <w:p w14:paraId="6082EC3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19ADCD69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3BADE22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18CAB88F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3417021E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</w:rPr>
              <w:t>Fissure</w:t>
            </w:r>
            <w:r w:rsidRPr="00C166B8">
              <w:rPr>
                <w:sz w:val="20"/>
                <w:szCs w:val="20"/>
                <w:lang w:val="da-DK"/>
              </w:rPr>
              <w:t>-sealed tooth.</w:t>
            </w:r>
          </w:p>
        </w:tc>
        <w:tc>
          <w:tcPr>
            <w:tcW w:w="0" w:type="auto"/>
            <w:shd w:val="clear" w:color="auto" w:fill="auto"/>
          </w:tcPr>
          <w:p w14:paraId="71B90D4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Is registered if the groves on the given surface is covered by sealant material. This is a non-mandatory registration. Code 8 can also be used to register other conditions based </w:t>
            </w:r>
            <w:r w:rsidRPr="00C166B8">
              <w:rPr>
                <w:sz w:val="20"/>
                <w:szCs w:val="20"/>
              </w:rPr>
              <w:lastRenderedPageBreak/>
              <w:t>on the needs/wishes of the clinic.</w:t>
            </w:r>
          </w:p>
        </w:tc>
        <w:tc>
          <w:tcPr>
            <w:tcW w:w="0" w:type="auto"/>
            <w:shd w:val="clear" w:color="auto" w:fill="auto"/>
          </w:tcPr>
          <w:p w14:paraId="633ED7C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lastRenderedPageBreak/>
              <w:t>Chronic caries.*</w:t>
            </w:r>
          </w:p>
        </w:tc>
        <w:tc>
          <w:tcPr>
            <w:tcW w:w="0" w:type="auto"/>
            <w:shd w:val="clear" w:color="auto" w:fill="auto"/>
          </w:tcPr>
          <w:p w14:paraId="7CE89A52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 xml:space="preserve">Previously applied fissure sealant. The sealant material has to cover all or parts of the groves on a given tooth. </w:t>
            </w:r>
            <w:r w:rsidRPr="00C166B8" w:rsidDel="009D106B">
              <w:rPr>
                <w:sz w:val="20"/>
                <w:szCs w:val="20"/>
              </w:rPr>
              <w:t xml:space="preserve"> </w:t>
            </w:r>
          </w:p>
        </w:tc>
      </w:tr>
      <w:tr w:rsidR="00EF24B0" w:rsidRPr="00C166B8" w14:paraId="25E39AE6" w14:textId="77777777" w:rsidTr="00D05633">
        <w:trPr>
          <w:trHeight w:val="4385"/>
        </w:trPr>
        <w:tc>
          <w:tcPr>
            <w:tcW w:w="0" w:type="auto"/>
            <w:shd w:val="clear" w:color="auto" w:fill="auto"/>
          </w:tcPr>
          <w:p w14:paraId="677FA5F3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270E5604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6C068FCC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52C775B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48FC3AB5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Inactive caries.*</w:t>
            </w:r>
          </w:p>
        </w:tc>
        <w:tc>
          <w:tcPr>
            <w:tcW w:w="0" w:type="auto"/>
            <w:shd w:val="clear" w:color="auto" w:fill="auto"/>
          </w:tcPr>
          <w:p w14:paraId="0F651F4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sz w:val="20"/>
                <w:szCs w:val="20"/>
              </w:rPr>
              <w:t>The enamel surface is hard, smooth and shiny, but white spots can be observed. In older lesions possibly brown-ish pigmented areas. The symptoms can be accompanied by  wearing of the tooth surface and/or caviation.</w:t>
            </w:r>
          </w:p>
        </w:tc>
        <w:tc>
          <w:tcPr>
            <w:tcW w:w="0" w:type="auto"/>
            <w:shd w:val="clear" w:color="auto" w:fill="auto"/>
          </w:tcPr>
          <w:p w14:paraId="356E95E1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  <w:tc>
          <w:tcPr>
            <w:tcW w:w="0" w:type="auto"/>
            <w:shd w:val="clear" w:color="auto" w:fill="auto"/>
          </w:tcPr>
          <w:p w14:paraId="6E78A876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r w:rsidRPr="00C166B8">
              <w:rPr>
                <w:sz w:val="20"/>
                <w:szCs w:val="20"/>
                <w:lang w:val="da-DK"/>
              </w:rPr>
              <w:t>N/A</w:t>
            </w:r>
          </w:p>
        </w:tc>
      </w:tr>
      <w:tr w:rsidR="00EF24B0" w:rsidRPr="00C166B8" w14:paraId="5A1491D5" w14:textId="77777777" w:rsidTr="00D05633">
        <w:tc>
          <w:tcPr>
            <w:tcW w:w="0" w:type="auto"/>
            <w:shd w:val="clear" w:color="auto" w:fill="auto"/>
          </w:tcPr>
          <w:p w14:paraId="27BA2FE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  <w:lang w:val="da-DK"/>
              </w:rPr>
            </w:pPr>
            <w:commentRangeStart w:id="3"/>
            <w:r w:rsidRPr="00C166B8">
              <w:rPr>
                <w:sz w:val="20"/>
                <w:szCs w:val="20"/>
                <w:lang w:val="da-DK"/>
              </w:rPr>
              <w:t>Notes</w:t>
            </w:r>
            <w:commentRangeEnd w:id="3"/>
            <w:r w:rsidRPr="00C166B8">
              <w:rPr>
                <w:rStyle w:val="CommentReference"/>
              </w:rPr>
              <w:commentReference w:id="3"/>
            </w:r>
          </w:p>
        </w:tc>
        <w:tc>
          <w:tcPr>
            <w:tcW w:w="0" w:type="auto"/>
            <w:gridSpan w:val="2"/>
            <w:shd w:val="clear" w:color="auto" w:fill="auto"/>
          </w:tcPr>
          <w:p w14:paraId="2CCCECFD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Cases of caries or a filling on the incisal edge are registered on the buccal surface.</w:t>
            </w:r>
            <w:r w:rsidRPr="00C166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4CAC7C9A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1034FFDB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5C483B37" w14:textId="77777777" w:rsidR="00EF24B0" w:rsidRPr="00C166B8" w:rsidRDefault="00EF24B0" w:rsidP="00D05633">
            <w:pPr>
              <w:spacing w:line="480" w:lineRule="auto"/>
              <w:rPr>
                <w:sz w:val="20"/>
                <w:szCs w:val="20"/>
              </w:rPr>
            </w:pPr>
            <w:r w:rsidRPr="00C166B8">
              <w:rPr>
                <w:rFonts w:ascii="Calibri" w:hAnsi="Calibri" w:cs="Calibri"/>
                <w:sz w:val="20"/>
                <w:szCs w:val="20"/>
              </w:rPr>
              <w:t>Incisals are not considered independent surfaces, and cavities or fillings on these are registered as being on the lingual surface of the given tooth.</w:t>
            </w:r>
          </w:p>
        </w:tc>
      </w:tr>
    </w:tbl>
    <w:p w14:paraId="622B84F3" w14:textId="77777777" w:rsidR="00EF24B0" w:rsidRDefault="00EF24B0" w:rsidP="00EF24B0">
      <w:pPr>
        <w:spacing w:line="480" w:lineRule="auto"/>
        <w:rPr>
          <w:sz w:val="20"/>
          <w:szCs w:val="20"/>
        </w:rPr>
      </w:pPr>
      <w:r w:rsidRPr="00C166B8">
        <w:rPr>
          <w:rFonts w:ascii="Calibri" w:hAnsi="Calibri" w:cs="Calibri"/>
          <w:sz w:val="20"/>
          <w:szCs w:val="20"/>
        </w:rPr>
        <w:lastRenderedPageBreak/>
        <w:t>*Non</w:t>
      </w:r>
      <w:commentRangeStart w:id="4"/>
      <w:r w:rsidRPr="00C166B8">
        <w:rPr>
          <w:rFonts w:ascii="Calibri" w:hAnsi="Calibri" w:cs="Calibri"/>
          <w:sz w:val="20"/>
          <w:szCs w:val="20"/>
        </w:rPr>
        <w:t>-manda</w:t>
      </w:r>
      <w:commentRangeEnd w:id="4"/>
      <w:r w:rsidRPr="00C166B8">
        <w:rPr>
          <w:rStyle w:val="CommentReference"/>
        </w:rPr>
        <w:commentReference w:id="4"/>
      </w:r>
      <w:r w:rsidRPr="00C166B8">
        <w:rPr>
          <w:rFonts w:ascii="Calibri" w:hAnsi="Calibri" w:cs="Calibri"/>
          <w:sz w:val="20"/>
          <w:szCs w:val="20"/>
        </w:rPr>
        <w:t>tory registration</w:t>
      </w:r>
      <w:r w:rsidRPr="00C166B8">
        <w:rPr>
          <w:rFonts w:ascii="Calibri" w:hAnsi="Calibri" w:cs="Calibri"/>
          <w:sz w:val="20"/>
          <w:szCs w:val="20"/>
        </w:rPr>
        <w:br/>
      </w:r>
      <w:r w:rsidRPr="00C166B8">
        <w:rPr>
          <w:sz w:val="20"/>
          <w:szCs w:val="20"/>
        </w:rPr>
        <w:t>**When a filling involves a non-caviated surface this surface is also registered as filled with code 2 or 4 if it is an approximal or occlusal filling for a fissure on the facial or lingual surface. A no</w:t>
      </w:r>
      <w:r w:rsidRPr="00C736E7">
        <w:rPr>
          <w:sz w:val="20"/>
          <w:szCs w:val="20"/>
        </w:rPr>
        <w:t>n-caviated facial or oral surface that is included the preparation remains.</w:t>
      </w:r>
    </w:p>
    <w:p w14:paraId="37F4A912" w14:textId="77777777" w:rsidR="001632B8" w:rsidRDefault="001632B8"/>
    <w:sectPr w:rsidR="001632B8" w:rsidSect="00F22B3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ars Ängquist" w:date="2023-02-08T13:42:00Z" w:initials="LÄ">
    <w:p w14:paraId="3A983FAF" w14:textId="77777777" w:rsidR="00EF24B0" w:rsidRDefault="00EF24B0" w:rsidP="00EF24B0">
      <w:pPr>
        <w:pStyle w:val="CommentText"/>
      </w:pPr>
      <w:r>
        <w:rPr>
          <w:rStyle w:val="CommentReference"/>
        </w:rPr>
        <w:annotationRef/>
      </w:r>
      <w:r>
        <w:t>Note. Correct?</w:t>
      </w:r>
    </w:p>
  </w:comment>
  <w:comment w:id="1" w:author="Lars Ängquist" w:date="2023-02-08T13:43:00Z" w:initials="LÄ">
    <w:p w14:paraId="7DCFFB81" w14:textId="77777777" w:rsidR="00EF24B0" w:rsidRDefault="00EF24B0" w:rsidP="00EF24B0">
      <w:pPr>
        <w:pStyle w:val="CommentText"/>
      </w:pPr>
      <w:r>
        <w:rPr>
          <w:rStyle w:val="CommentReference"/>
        </w:rPr>
        <w:annotationRef/>
      </w:r>
      <w:r>
        <w:t>Note.</w:t>
      </w:r>
    </w:p>
  </w:comment>
  <w:comment w:id="2" w:author="Lars Ängquist" w:date="2023-02-08T13:38:00Z" w:initials="LÄ">
    <w:p w14:paraId="5CD368D0" w14:textId="77777777" w:rsidR="00EF24B0" w:rsidRDefault="00EF24B0" w:rsidP="00EF24B0">
      <w:pPr>
        <w:pStyle w:val="CommentText"/>
      </w:pPr>
      <w:r>
        <w:rPr>
          <w:rStyle w:val="CommentReference"/>
        </w:rPr>
        <w:annotationRef/>
      </w:r>
      <w:r>
        <w:t>The text is the same, but layout different for this compared to two steps to the left? See also the case five steps to the left. To make consistent?</w:t>
      </w:r>
    </w:p>
  </w:comment>
  <w:comment w:id="3" w:author="Lars Ängquist" w:date="2023-01-12T10:53:00Z" w:initials="LÄ">
    <w:p w14:paraId="3568E933" w14:textId="77777777" w:rsidR="00EF24B0" w:rsidRDefault="00EF24B0" w:rsidP="00EF24B0">
      <w:pPr>
        <w:pStyle w:val="CommentText"/>
      </w:pPr>
      <w:r>
        <w:rPr>
          <w:rStyle w:val="CommentReference"/>
        </w:rPr>
        <w:annotationRef/>
      </w:r>
      <w:r>
        <w:t>See comment to Table 1.</w:t>
      </w:r>
    </w:p>
  </w:comment>
  <w:comment w:id="4" w:author="Lars Ängquist" w:date="2023-02-08T13:45:00Z" w:initials="LÄ">
    <w:p w14:paraId="14C72A1D" w14:textId="77777777" w:rsidR="00EF24B0" w:rsidRDefault="00EF24B0" w:rsidP="00EF24B0">
      <w:pPr>
        <w:pStyle w:val="CommentText"/>
      </w:pPr>
      <w:r>
        <w:rPr>
          <w:rStyle w:val="CommentReference"/>
        </w:rPr>
        <w:annotationRef/>
      </w:r>
      <w:r>
        <w:t>Note.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A983FAF" w15:done="1"/>
  <w15:commentEx w15:paraId="7DCFFB81" w15:done="1"/>
  <w15:commentEx w15:paraId="5CD368D0" w15:done="1"/>
  <w15:commentEx w15:paraId="3568E933" w15:done="1"/>
  <w15:commentEx w15:paraId="14C72A1D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983FAF" w16cid:durableId="278E40AF"/>
  <w16cid:commentId w16cid:paraId="7DCFFB81" w16cid:durableId="278E40B1"/>
  <w16cid:commentId w16cid:paraId="5CD368D0" w16cid:durableId="278E40B3"/>
  <w16cid:commentId w16cid:paraId="3568E933" w16cid:durableId="27722C08"/>
  <w16cid:commentId w16cid:paraId="14C72A1D" w16cid:durableId="278E40B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rs Ängquist">
    <w15:presenceInfo w15:providerId="AD" w15:userId="S-1-5-21-1111707740-1469251426-2251862497-1886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B0"/>
    <w:rsid w:val="00016BB0"/>
    <w:rsid w:val="001632B8"/>
    <w:rsid w:val="00166A6E"/>
    <w:rsid w:val="002D4F41"/>
    <w:rsid w:val="00EF24B0"/>
    <w:rsid w:val="00F22B39"/>
    <w:rsid w:val="00F9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D31A"/>
  <w15:chartTrackingRefBased/>
  <w15:docId w15:val="{58323540-C855-42D7-AD50-C026D70F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2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24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24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579</Words>
  <Characters>3156</Characters>
  <Application>Microsoft Office Word</Application>
  <DocSecurity>0</DocSecurity>
  <Lines>263</Lines>
  <Paragraphs>120</Paragraphs>
  <ScaleCrop>false</ScaleCrop>
  <Company>University of Copenhagen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Nikoline Nygaard</dc:creator>
  <cp:keywords/>
  <dc:description/>
  <cp:lastModifiedBy>Nikoline Nygaard</cp:lastModifiedBy>
  <cp:revision>5</cp:revision>
  <dcterms:created xsi:type="dcterms:W3CDTF">2023-02-09T10:57:00Z</dcterms:created>
  <dcterms:modified xsi:type="dcterms:W3CDTF">2023-06-14T17:48:00Z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2023-02-09T10:57:13Z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af135ff7-fede-41ef-b8cc-293fc5f63fc4</vt:lpwstr>
  </property>
  <property fmtid="{D5CDD505-2E9C-101B-9397-08002B2CF9AE}" pid="9" name="MSIP_Label_6a2630e2-1ac5-455e-8217-0156b1936a76_ContentBits">
    <vt:lpwstr>0</vt:lpwstr>
  </property>
  <property fmtid="{D5CDD505-2E9C-101B-9397-08002B2CF9AE}" pid="10" name="GrammarlyDocumentId">
    <vt:lpwstr>3ff151a804762df0fbcf19bb669f64fa25354d5f916716f62f82105f6388f0d4</vt:lpwstr>
  </property>
</Properties>
</file>