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427" w:rsidRPr="002025B6" w:rsidRDefault="00554427" w:rsidP="00554427">
      <w:pPr>
        <w:pStyle w:val="EndNoteBibliography"/>
        <w:spacing w:line="480" w:lineRule="auto"/>
        <w:rPr>
          <w:rFonts w:eastAsia="楷体"/>
          <w:sz w:val="24"/>
          <w:szCs w:val="24"/>
        </w:rPr>
      </w:pPr>
      <w:proofErr w:type="gramStart"/>
      <w:r w:rsidRPr="002025B6">
        <w:rPr>
          <w:rFonts w:eastAsia="楷体"/>
          <w:b/>
          <w:sz w:val="24"/>
          <w:szCs w:val="24"/>
        </w:rPr>
        <w:t>Supplementary Table 2.</w:t>
      </w:r>
      <w:proofErr w:type="gramEnd"/>
      <w:r w:rsidRPr="002025B6">
        <w:rPr>
          <w:rFonts w:eastAsia="楷体"/>
          <w:b/>
          <w:sz w:val="24"/>
          <w:szCs w:val="24"/>
        </w:rPr>
        <w:t xml:space="preserve"> </w:t>
      </w:r>
      <w:r w:rsidRPr="002025B6">
        <w:rPr>
          <w:rFonts w:eastAsia="楷体"/>
          <w:sz w:val="24"/>
          <w:szCs w:val="24"/>
        </w:rPr>
        <w:t>Subgroup analysis for secondary consultation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17"/>
        <w:gridCol w:w="3548"/>
        <w:gridCol w:w="1939"/>
        <w:gridCol w:w="3551"/>
        <w:gridCol w:w="1939"/>
      </w:tblGrid>
      <w:tr w:rsidR="00554427" w:rsidRPr="002025B6" w:rsidTr="000602C2">
        <w:trPr>
          <w:trHeight w:val="347"/>
        </w:trPr>
        <w:tc>
          <w:tcPr>
            <w:tcW w:w="1315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Factors</w:t>
            </w:r>
            <w:bookmarkStart w:id="0" w:name="_GoBack"/>
            <w:bookmarkEnd w:id="0"/>
          </w:p>
        </w:tc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Univariate logistic regression</w:t>
            </w:r>
          </w:p>
        </w:tc>
        <w:tc>
          <w:tcPr>
            <w:tcW w:w="18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Multivariate logistic regression</w:t>
            </w: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OR (95% CI)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OR (95% CI)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554427" w:rsidRPr="002025B6" w:rsidTr="000602C2">
        <w:trPr>
          <w:trHeight w:val="202"/>
        </w:trPr>
        <w:tc>
          <w:tcPr>
            <w:tcW w:w="131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Knowledge score</w:t>
            </w:r>
          </w:p>
        </w:tc>
        <w:tc>
          <w:tcPr>
            <w:tcW w:w="119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1.237(1.054-1.452)</w:t>
            </w:r>
          </w:p>
        </w:tc>
        <w:tc>
          <w:tcPr>
            <w:tcW w:w="65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0.009</w:t>
            </w:r>
          </w:p>
        </w:tc>
        <w:tc>
          <w:tcPr>
            <w:tcW w:w="119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1.17(0.986-1.389)</w:t>
            </w:r>
          </w:p>
        </w:tc>
        <w:tc>
          <w:tcPr>
            <w:tcW w:w="65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0.072</w:t>
            </w:r>
          </w:p>
        </w:tc>
      </w:tr>
      <w:tr w:rsidR="00554427" w:rsidRPr="002025B6" w:rsidTr="000602C2">
        <w:trPr>
          <w:trHeight w:val="163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Attitude score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1.132(1.029-1.246)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0.011</w:t>
            </w:r>
          </w:p>
        </w:tc>
        <w:tc>
          <w:tcPr>
            <w:tcW w:w="1192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1.1(0.993-1.218)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0.068</w:t>
            </w:r>
          </w:p>
        </w:tc>
      </w:tr>
      <w:tr w:rsidR="00554427" w:rsidRPr="002025B6" w:rsidTr="000602C2">
        <w:trPr>
          <w:trHeight w:val="111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  <w:t>Status of consultation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Initial consultation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149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Secondary consultation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0.83(0.257-2.675)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0.754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33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Male 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Female 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2.258(1.142-4.463)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0.019</w:t>
            </w:r>
          </w:p>
        </w:tc>
        <w:tc>
          <w:tcPr>
            <w:tcW w:w="1192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1.531(0.657-3.567)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0.324</w:t>
            </w: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  <w:t>Age (year)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33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&lt;20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106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21–30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0.327(0.034-3.181)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0.336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lastRenderedPageBreak/>
              <w:t>31–40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0.308(0.032-2.942)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0.306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159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41–50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0.227(0.024-2.165)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0.197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≥50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0.21(0.023-1.958)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0.171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9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  <w:t>Residence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33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Rural area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Urban area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1.136(0.33-3.914)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0.839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  <w:t>Education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229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 High School/Technical secondary school/Below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154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junior college/University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0.955(0.34-2.681)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0.93</w:t>
            </w:r>
          </w:p>
        </w:tc>
        <w:tc>
          <w:tcPr>
            <w:tcW w:w="1192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244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graduate/Above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0.552(0.165-1.838)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0.333</w:t>
            </w:r>
          </w:p>
        </w:tc>
        <w:tc>
          <w:tcPr>
            <w:tcW w:w="1192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4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  <w:t>Occupation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153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Heads of party-masses organization of state organs, heads of enterprises and </w:t>
            </w: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lastRenderedPageBreak/>
              <w:t>institutions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lastRenderedPageBreak/>
              <w:t>1.167(0.418-3.255)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0.768</w:t>
            </w:r>
          </w:p>
        </w:tc>
        <w:tc>
          <w:tcPr>
            <w:tcW w:w="1192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lastRenderedPageBreak/>
              <w:t>Professional and technical staff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1.562(0.669-3.646)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0.303</w:t>
            </w:r>
          </w:p>
        </w:tc>
        <w:tc>
          <w:tcPr>
            <w:tcW w:w="1192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284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Office staff, agency staff, and related staff 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0.485(0.104-2.266)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0.357</w:t>
            </w:r>
          </w:p>
        </w:tc>
        <w:tc>
          <w:tcPr>
            <w:tcW w:w="1192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35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Commercial and service industry personnel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0.808(0.283-2.304)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  <w:tc>
          <w:tcPr>
            <w:tcW w:w="1192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 xml:space="preserve">Others 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  <w:t>Income (yuan)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&lt;5000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1.333(0.311-5.716)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0.698</w:t>
            </w:r>
          </w:p>
        </w:tc>
        <w:tc>
          <w:tcPr>
            <w:tcW w:w="1192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5000–10,000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0.673(0.179-2.541)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0.56</w:t>
            </w:r>
          </w:p>
        </w:tc>
        <w:tc>
          <w:tcPr>
            <w:tcW w:w="1192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10,000–20,000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0.602(0.151-2.39)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0.47</w:t>
            </w:r>
          </w:p>
        </w:tc>
        <w:tc>
          <w:tcPr>
            <w:tcW w:w="1192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&gt;20,000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  <w:t>Marital status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Unmarried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4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lastRenderedPageBreak/>
              <w:t>Divorced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0.62(0.286-1.344)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0.226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  <w:t>Underlying diseases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88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1.231(0.445-3.403)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0.689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  <w:t>Smoking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88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Never smoked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Previously smoked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0.47(0.167-1.326)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0.154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Still smoking now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0.94(0.281-3.148)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  <w:t>Times of drinking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33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1–5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0.454(0.216-0.953)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0.037</w:t>
            </w:r>
          </w:p>
        </w:tc>
        <w:tc>
          <w:tcPr>
            <w:tcW w:w="1192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0.584(0.242-1.405)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0.229</w:t>
            </w:r>
          </w:p>
        </w:tc>
      </w:tr>
      <w:tr w:rsidR="00554427" w:rsidRPr="002025B6" w:rsidTr="000602C2">
        <w:trPr>
          <w:trHeight w:val="73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≥6–10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0.389(0.123-1.232)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0.108</w:t>
            </w:r>
          </w:p>
        </w:tc>
        <w:tc>
          <w:tcPr>
            <w:tcW w:w="1192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0.739(0.195-2.797)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0.656</w:t>
            </w:r>
          </w:p>
        </w:tc>
      </w:tr>
      <w:tr w:rsidR="00554427" w:rsidRPr="002025B6" w:rsidTr="000602C2">
        <w:trPr>
          <w:trHeight w:val="163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</w:rPr>
              <w:t>Times of teeth brushing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0–1</w:t>
            </w:r>
          </w:p>
        </w:tc>
        <w:tc>
          <w:tcPr>
            <w:tcW w:w="119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192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lastRenderedPageBreak/>
              <w:t>2–3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1.774(0.619-5.084)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0.286</w:t>
            </w:r>
          </w:p>
        </w:tc>
        <w:tc>
          <w:tcPr>
            <w:tcW w:w="1192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54427" w:rsidRPr="002025B6" w:rsidTr="000602C2">
        <w:trPr>
          <w:trHeight w:val="60"/>
        </w:trPr>
        <w:tc>
          <w:tcPr>
            <w:tcW w:w="1315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eastAsia="楷体"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eastAsia="楷体" w:cs="Times New Roman"/>
                <w:color w:val="000000"/>
                <w:kern w:val="0"/>
                <w:sz w:val="24"/>
                <w:szCs w:val="24"/>
              </w:rPr>
              <w:t>＞</w:t>
            </w:r>
            <w:r w:rsidRPr="002025B6">
              <w:rPr>
                <w:rFonts w:eastAsia="楷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9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6.429(0.605-68.312)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  <w:r w:rsidRPr="002025B6">
              <w:rPr>
                <w:rFonts w:cs="Times New Roman"/>
                <w:color w:val="000000"/>
                <w:kern w:val="0"/>
                <w:sz w:val="24"/>
                <w:szCs w:val="24"/>
              </w:rPr>
              <w:t>0.123</w:t>
            </w:r>
          </w:p>
        </w:tc>
        <w:tc>
          <w:tcPr>
            <w:tcW w:w="1192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554427" w:rsidRPr="002025B6" w:rsidRDefault="00554427" w:rsidP="000602C2">
            <w:pPr>
              <w:spacing w:line="480" w:lineRule="auto"/>
              <w:rPr>
                <w:rFonts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DB328F" w:rsidRDefault="0014797B"/>
    <w:sectPr w:rsidR="00DB328F" w:rsidSect="00554427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97B" w:rsidRDefault="0014797B" w:rsidP="00554427">
      <w:r>
        <w:separator/>
      </w:r>
    </w:p>
  </w:endnote>
  <w:endnote w:type="continuationSeparator" w:id="0">
    <w:p w:rsidR="0014797B" w:rsidRDefault="0014797B" w:rsidP="00554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97B" w:rsidRDefault="0014797B" w:rsidP="00554427">
      <w:r>
        <w:separator/>
      </w:r>
    </w:p>
  </w:footnote>
  <w:footnote w:type="continuationSeparator" w:id="0">
    <w:p w:rsidR="0014797B" w:rsidRDefault="0014797B" w:rsidP="00554427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MD-YL">
    <w15:presenceInfo w15:providerId="None" w15:userId="WMD-Y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FDE"/>
    <w:rsid w:val="00117261"/>
    <w:rsid w:val="00130FD9"/>
    <w:rsid w:val="0014797B"/>
    <w:rsid w:val="00554427"/>
    <w:rsid w:val="005E7990"/>
    <w:rsid w:val="00772FDE"/>
    <w:rsid w:val="008155AB"/>
    <w:rsid w:val="00D3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427"/>
    <w:pPr>
      <w:jc w:val="both"/>
    </w:pPr>
    <w:rPr>
      <w:rFonts w:ascii="Times New Roman" w:eastAsia="SimSu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442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5442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54427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54427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0"/>
    <w:qFormat/>
    <w:rsid w:val="00554427"/>
    <w:rPr>
      <w:rFonts w:cs="Times New Roman"/>
      <w:sz w:val="20"/>
    </w:rPr>
  </w:style>
  <w:style w:type="character" w:customStyle="1" w:styleId="EndNoteBibliography0">
    <w:name w:val="EndNote Bibliography Знак"/>
    <w:basedOn w:val="DefaultParagraphFont"/>
    <w:link w:val="EndNoteBibliography"/>
    <w:qFormat/>
    <w:rsid w:val="00554427"/>
    <w:rPr>
      <w:rFonts w:ascii="Times New Roman" w:eastAsia="SimSun" w:hAnsi="Times New Roman" w:cs="Times New Roman"/>
      <w:sz w:val="20"/>
    </w:rPr>
  </w:style>
  <w:style w:type="character" w:styleId="LineNumber">
    <w:name w:val="line number"/>
    <w:basedOn w:val="DefaultParagraphFont"/>
    <w:uiPriority w:val="99"/>
    <w:semiHidden/>
    <w:unhideWhenUsed/>
    <w:rsid w:val="005544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427"/>
    <w:pPr>
      <w:jc w:val="both"/>
    </w:pPr>
    <w:rPr>
      <w:rFonts w:ascii="Times New Roman" w:eastAsia="SimSu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442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5442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54427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54427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0"/>
    <w:qFormat/>
    <w:rsid w:val="00554427"/>
    <w:rPr>
      <w:rFonts w:cs="Times New Roman"/>
      <w:sz w:val="20"/>
    </w:rPr>
  </w:style>
  <w:style w:type="character" w:customStyle="1" w:styleId="EndNoteBibliography0">
    <w:name w:val="EndNote Bibliography Знак"/>
    <w:basedOn w:val="DefaultParagraphFont"/>
    <w:link w:val="EndNoteBibliography"/>
    <w:qFormat/>
    <w:rsid w:val="00554427"/>
    <w:rPr>
      <w:rFonts w:ascii="Times New Roman" w:eastAsia="SimSun" w:hAnsi="Times New Roman" w:cs="Times New Roman"/>
      <w:sz w:val="20"/>
    </w:rPr>
  </w:style>
  <w:style w:type="character" w:styleId="LineNumber">
    <w:name w:val="line number"/>
    <w:basedOn w:val="DefaultParagraphFont"/>
    <w:uiPriority w:val="99"/>
    <w:semiHidden/>
    <w:unhideWhenUsed/>
    <w:rsid w:val="00554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E747412</cp:lastModifiedBy>
  <cp:revision>3</cp:revision>
  <dcterms:created xsi:type="dcterms:W3CDTF">2023-07-21T03:11:00Z</dcterms:created>
  <dcterms:modified xsi:type="dcterms:W3CDTF">2023-08-30T03:40:00Z</dcterms:modified>
</cp:coreProperties>
</file>