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</w:rPr>
        <w:t xml:space="preserve">Table S1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</w:rPr>
        <w:t>Periodontitis risk in each lifestyle combination (All combinations)</w:t>
      </w:r>
    </w:p>
    <w:p>
      <w:bookmarkStart w:id="0" w:name="_GoBack"/>
      <w:bookmarkEnd w:id="0"/>
    </w:p>
    <w:tbl>
      <w:tblPr>
        <w:tblStyle w:val="2"/>
        <w:tblW w:w="0" w:type="auto"/>
        <w:tblInd w:w="-56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416"/>
        <w:gridCol w:w="416"/>
        <w:gridCol w:w="416"/>
        <w:gridCol w:w="1540"/>
        <w:gridCol w:w="1063"/>
        <w:gridCol w:w="1511"/>
        <w:gridCol w:w="991"/>
        <w:gridCol w:w="1511"/>
        <w:gridCol w:w="991"/>
        <w:gridCol w:w="1511"/>
        <w:gridCol w:w="991"/>
        <w:gridCol w:w="1404"/>
        <w:gridCol w:w="9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36" w:type="dxa"/>
            <w:gridSpan w:val="4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roup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Age &lt; 65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Age &gt; 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236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Smok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ing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Sleep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Drink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=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5611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2935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2676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4407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1204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×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158 (2.82)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113 (3.85)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 (1.68)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137 (3.11)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Ref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 (1.74)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0.62(0.36,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85 (1.51)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0.69(0.34,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58 (1.98)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0.47 (0.18,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 (1.01)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0.63 (0.36,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83 (1.88)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0.52 (0.10, 2.88)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 (0.17)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0.60(0.41, 0.86)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 (3.56)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0.52 (0.31, 0.89)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159 (5.42)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0.65 (0.36, 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 (1.53)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0.65 (0.44, 0.96)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181 (4.11)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0.46 (0.12, 1.78)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 (1.58)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0.75(0.30,1.92)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693 (12.35)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0.72 (0.27, 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388 (13.22)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1.10 (0.16, 7.42)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305 (11.40)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0.70 (0.25, 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545 (12.37)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1.51 (0.07, 33.77)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148 (12.29)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0.31(0.17, 0.57)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48 (0.86)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0.38 (0.19, 0.77)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 (1.29)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0.18 (0.07, 0.52)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 (0.37)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0.30 (0.16, 0.56)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 (1.02)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 (0.25)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0.54(0.36, 0.81)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116 (2.07)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0.51 (0.30, 0.87)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90 (3.07)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0.52 (0.28, 0.96)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 (0.97)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0.60 (0.39, 0.91)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107 (2.43)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0.59 (0.16, 2.19)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 (0.75)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0.53(0.16,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798 (14.22)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0.35 (0.08,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364 (12.40)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1.26 (0.24, 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434 (16.22)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0.57 (0.16,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668 (15.16)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0.23 (0.01, 4.07)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130 (10.80)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0.91(0.28,2.92)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 (0.41)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1.68 (0.46,6.07)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 (0.55)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0.49 (0.09,2.60)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 (0.26)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1.16 (0.31,4.37)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 (0.48)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0.23 (0.03,1.81)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 (0.17)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0.53(0.34, 0.83)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966 (17.22)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0.76 (0.38,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534 (18.19)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0.39 (0.20, 0.76)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432 (16.14)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0.58 (0.36, 0.93)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644 (14.61)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0.59 (0.14, 2.47)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322 (26.74)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0.43(0.24, 0.77)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 (1.00)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0.40 (0.20, 0.80)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 (1.47)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0.54 (0.17,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 (0.49)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0.45 (0.24, 0.85)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 (1.07)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0.34 (0.05, 2.24)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 (0.75)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0.39(0.27, 0.58)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241 (4.30)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0.36 (0.20, 0.65)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131 (4.46)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0.40 (0.22, 0.70)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110 (4.11)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0.39 (0.26, 0.60)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184 (4.18)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0.53 (0.14, 2.05)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 (4.73)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0.42(0.26,0.66)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1114 (19.85)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0.58 (0.30,1.10)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540 (18.40)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0.32 (0.15,0.67)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574 (21.45)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0.40 (0.24,0.65)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895 (20.31)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0.76 (0.19,3.07)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219 (18.19)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0.38(0.24,0.58)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 (0.59)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0.38 (0.23,0.64)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 (0.75)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0.35 (0.19,0.64)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 (0.41)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0.35 (0.22,0.56)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 (0.66)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0.73 (0.19,2.80)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 (0.33)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0.47(0.16,1.35)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368 (6.56)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0.42 (0.11,1.63)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187 (6.37)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0.56 (0.10,3.09)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181 (6.76)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0.40 (0.13,1.21)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255 (5.79)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113 (9.39)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0.31(0.18,0.56)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215 (3.83)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0.36 (0.13,0.96)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81 (2.76)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0.26 (0.12,0.59)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134 (5.01)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0.35 (0.20,0.61)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171 (3.88)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0.32 (0.06,1.68)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44 (3.65)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0.32(0.21,0.50) **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497 (8.86)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0.36 (0.20,0.66) **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171 (5.83)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0.28 (0.14,0.57) **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326 (12.18)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0.30 (0.19,0.48) **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395 (8.96)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Style w:val="4"/>
                <w:sz w:val="18"/>
                <w:szCs w:val="18"/>
              </w:rPr>
              <w:t>0.81 (0.17,3.93)</w:t>
            </w:r>
          </w:p>
        </w:tc>
        <w:tc>
          <w:tcPr>
            <w:tcW w:w="0" w:type="auto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102 (8.47)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Odds ratio and 95% CI were calculated. P-values less than 0.05 (p &lt; 0.05) were considered significant. * Represented p &lt; 0.05, ** Represented p &lt; 0.01. N: number, CI: confidence interval.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OWMzODI5MWUwODYwMmZhY2M4NjEzY2Y5NjY4YzkifQ=="/>
  </w:docVars>
  <w:rsids>
    <w:rsidRoot w:val="74D578F1"/>
    <w:rsid w:val="74D5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2023-08-10T14:55:00Z</dcterms:created>
  <dc:creator>黄焱秋</dc:creator>
  <cp:lastModifiedBy>黄焱秋</cp:lastModifiedBy>
  <dcterms:modified xsi:type="dcterms:W3CDTF">2023-08-11T04:13:33Z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A38871B7A5034242A6CF2FEDDE702B01_11</vt:lpwstr>
  </property>
</Properties>
</file>