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720" w:type="dxa"/>
        <w:tblLook w:val="04A0" w:firstRow="1" w:lastRow="0" w:firstColumn="1" w:lastColumn="0" w:noHBand="0" w:noVBand="1"/>
      </w:tblPr>
      <w:tblGrid>
        <w:gridCol w:w="8630"/>
      </w:tblGrid>
      <w:tr w:rsidR="00484C57" w:rsidRPr="00137DF1" w14:paraId="417D413B" w14:textId="77777777" w:rsidTr="00C46E11">
        <w:tc>
          <w:tcPr>
            <w:tcW w:w="8630" w:type="dxa"/>
          </w:tcPr>
          <w:p w14:paraId="58CD58DB" w14:textId="77777777" w:rsidR="00484C57" w:rsidRPr="00137DF1" w:rsidRDefault="00484C57" w:rsidP="00C46E11">
            <w:pPr>
              <w:spacing w:line="480" w:lineRule="auto"/>
              <w:jc w:val="both"/>
              <w:rPr>
                <w:rFonts w:ascii="Times New Roman" w:hAnsi="Times New Roman" w:cs="Times New Roman"/>
                <w:sz w:val="24"/>
                <w:szCs w:val="24"/>
              </w:rPr>
            </w:pPr>
            <w:bookmarkStart w:id="0" w:name="_Hlk149119764"/>
            <w:r w:rsidRPr="00137DF1">
              <w:rPr>
                <w:rFonts w:ascii="Times New Roman" w:hAnsi="Times New Roman" w:cs="Times New Roman"/>
                <w:b/>
                <w:bCs/>
                <w:sz w:val="24"/>
                <w:szCs w:val="24"/>
              </w:rPr>
              <w:t xml:space="preserve">Economic evaluation: </w:t>
            </w:r>
            <w:r w:rsidRPr="00137DF1">
              <w:rPr>
                <w:rFonts w:ascii="Times New Roman" w:hAnsi="Times New Roman" w:cs="Times New Roman"/>
                <w:sz w:val="24"/>
                <w:szCs w:val="24"/>
              </w:rPr>
              <w:t xml:space="preserve">Economic evaluation analyzes the costs and effects of alternative interventions in order to support </w:t>
            </w:r>
            <w:r>
              <w:rPr>
                <w:rFonts w:ascii="Times New Roman" w:hAnsi="Times New Roman" w:cs="Times New Roman"/>
                <w:sz w:val="24"/>
                <w:szCs w:val="24"/>
              </w:rPr>
              <w:t>decision-making</w:t>
            </w:r>
            <w:r w:rsidRPr="00137DF1">
              <w:rPr>
                <w:rFonts w:ascii="Times New Roman" w:hAnsi="Times New Roman" w:cs="Times New Roman"/>
                <w:sz w:val="24"/>
                <w:szCs w:val="24"/>
              </w:rPr>
              <w:t>.</w:t>
            </w:r>
            <w:r w:rsidRPr="00710EF5">
              <w:rPr>
                <w:rFonts w:ascii="Times New Roman" w:hAnsi="Times New Roman" w:cs="Times New Roman"/>
                <w:noProof/>
                <w:sz w:val="24"/>
                <w:szCs w:val="24"/>
                <w:vertAlign w:val="superscript"/>
              </w:rPr>
              <w:t>1</w:t>
            </w:r>
          </w:p>
          <w:p w14:paraId="58D6BF7F" w14:textId="77777777" w:rsidR="00484C57" w:rsidRPr="00137DF1" w:rsidRDefault="00484C57" w:rsidP="00C46E11">
            <w:pPr>
              <w:spacing w:line="480" w:lineRule="auto"/>
              <w:jc w:val="both"/>
              <w:rPr>
                <w:rFonts w:ascii="Times New Roman" w:hAnsi="Times New Roman" w:cs="Times New Roman"/>
                <w:sz w:val="24"/>
                <w:szCs w:val="24"/>
              </w:rPr>
            </w:pPr>
            <w:r w:rsidRPr="00137DF1">
              <w:rPr>
                <w:rFonts w:ascii="Times New Roman" w:hAnsi="Times New Roman" w:cs="Times New Roman"/>
                <w:sz w:val="24"/>
                <w:szCs w:val="24"/>
              </w:rPr>
              <w:t>They are of four basic types, which vary in terms of outcome with the cost being a common aspect (cost-benefit analysis, cost-utility analysis, cost-minimization analysis, and cost-effectiveness analysis).</w:t>
            </w:r>
            <w:r w:rsidRPr="00710EF5">
              <w:rPr>
                <w:rFonts w:ascii="Times New Roman" w:hAnsi="Times New Roman" w:cs="Times New Roman"/>
                <w:noProof/>
                <w:sz w:val="24"/>
                <w:szCs w:val="24"/>
                <w:vertAlign w:val="superscript"/>
              </w:rPr>
              <w:t>2</w:t>
            </w:r>
          </w:p>
        </w:tc>
      </w:tr>
      <w:tr w:rsidR="00484C57" w:rsidRPr="00137DF1" w14:paraId="0BE198A2" w14:textId="77777777" w:rsidTr="00C46E11">
        <w:tc>
          <w:tcPr>
            <w:tcW w:w="8630" w:type="dxa"/>
          </w:tcPr>
          <w:p w14:paraId="7D3C42F4" w14:textId="77777777" w:rsidR="00484C57" w:rsidRPr="00137DF1" w:rsidRDefault="00484C57" w:rsidP="00C46E11">
            <w:pPr>
              <w:spacing w:line="480" w:lineRule="auto"/>
              <w:jc w:val="both"/>
              <w:rPr>
                <w:rFonts w:ascii="Times New Roman" w:hAnsi="Times New Roman" w:cs="Times New Roman"/>
                <w:sz w:val="24"/>
                <w:szCs w:val="24"/>
              </w:rPr>
            </w:pPr>
            <w:r w:rsidRPr="00137DF1">
              <w:rPr>
                <w:rFonts w:ascii="Times New Roman" w:hAnsi="Times New Roman" w:cs="Times New Roman"/>
                <w:b/>
                <w:bCs/>
                <w:sz w:val="24"/>
                <w:szCs w:val="24"/>
              </w:rPr>
              <w:t xml:space="preserve">Cost-benefit analysis: </w:t>
            </w:r>
            <w:r w:rsidRPr="00137DF1">
              <w:rPr>
                <w:rFonts w:ascii="Times New Roman" w:hAnsi="Times New Roman" w:cs="Times New Roman"/>
                <w:sz w:val="24"/>
                <w:szCs w:val="24"/>
              </w:rPr>
              <w:t>Cost-benefit analysis (CBA) compares the consequences of interventions in which both the costs and outcomes are expressed in monetary terms.</w:t>
            </w:r>
            <w:r w:rsidRPr="00710EF5">
              <w:rPr>
                <w:rFonts w:ascii="Times New Roman" w:hAnsi="Times New Roman" w:cs="Times New Roman"/>
                <w:noProof/>
                <w:sz w:val="24"/>
                <w:szCs w:val="24"/>
                <w:vertAlign w:val="superscript"/>
              </w:rPr>
              <w:t>3</w:t>
            </w:r>
            <w:r w:rsidRPr="00137DF1">
              <w:rPr>
                <w:rFonts w:ascii="Times New Roman" w:hAnsi="Times New Roman" w:cs="Times New Roman"/>
                <w:sz w:val="24"/>
                <w:szCs w:val="24"/>
              </w:rPr>
              <w:t xml:space="preserve"> It covers the broader impact of intervention on the economy as a whole. </w:t>
            </w:r>
          </w:p>
        </w:tc>
      </w:tr>
      <w:tr w:rsidR="00484C57" w:rsidRPr="00137DF1" w14:paraId="3F330438" w14:textId="77777777" w:rsidTr="00C46E11">
        <w:tc>
          <w:tcPr>
            <w:tcW w:w="8630" w:type="dxa"/>
          </w:tcPr>
          <w:p w14:paraId="68A93A6B" w14:textId="77777777" w:rsidR="00484C57" w:rsidRPr="00137DF1" w:rsidRDefault="00484C57" w:rsidP="00C46E11">
            <w:pPr>
              <w:spacing w:line="480" w:lineRule="auto"/>
              <w:jc w:val="both"/>
              <w:rPr>
                <w:rFonts w:ascii="Times New Roman" w:hAnsi="Times New Roman" w:cs="Times New Roman"/>
                <w:b/>
                <w:bCs/>
                <w:sz w:val="24"/>
                <w:szCs w:val="24"/>
              </w:rPr>
            </w:pPr>
            <w:r w:rsidRPr="00137DF1">
              <w:rPr>
                <w:rFonts w:ascii="Times New Roman" w:hAnsi="Times New Roman" w:cs="Times New Roman"/>
                <w:b/>
                <w:bCs/>
                <w:sz w:val="24"/>
                <w:szCs w:val="24"/>
              </w:rPr>
              <w:t xml:space="preserve">Cost-utility analysis: </w:t>
            </w:r>
            <w:r w:rsidRPr="00137DF1">
              <w:rPr>
                <w:rFonts w:ascii="Times New Roman" w:hAnsi="Times New Roman" w:cs="Times New Roman"/>
                <w:color w:val="0B0C0C"/>
                <w:sz w:val="24"/>
                <w:szCs w:val="24"/>
                <w:shd w:val="clear" w:color="auto" w:fill="FFFFFF"/>
              </w:rPr>
              <w:t>Cost-utility analysis (</w:t>
            </w:r>
            <w:r w:rsidRPr="00137DF1">
              <w:rPr>
                <w:rFonts w:ascii="Times New Roman" w:hAnsi="Times New Roman" w:cs="Times New Roman"/>
                <w:sz w:val="24"/>
                <w:szCs w:val="24"/>
              </w:rPr>
              <w:t>CUA</w:t>
            </w:r>
            <w:r w:rsidRPr="00137DF1">
              <w:rPr>
                <w:rFonts w:ascii="Times New Roman" w:hAnsi="Times New Roman" w:cs="Times New Roman"/>
                <w:color w:val="0B0C0C"/>
                <w:sz w:val="24"/>
                <w:szCs w:val="24"/>
                <w:shd w:val="clear" w:color="auto" w:fill="FFFFFF"/>
              </w:rPr>
              <w:t>) measures health effects in terms of both quantity (life years) and quality of life which are combined into a single measure of health: quality-adjusted life years (QALYs)</w:t>
            </w:r>
            <w:r w:rsidRPr="00137DF1">
              <w:rPr>
                <w:rFonts w:ascii="Times New Roman" w:hAnsi="Times New Roman" w:cs="Times New Roman"/>
                <w:sz w:val="24"/>
                <w:szCs w:val="24"/>
              </w:rPr>
              <w:t>.</w:t>
            </w:r>
            <w:r w:rsidRPr="00710EF5">
              <w:rPr>
                <w:rFonts w:ascii="Times New Roman" w:hAnsi="Times New Roman" w:cs="Times New Roman"/>
                <w:noProof/>
                <w:sz w:val="24"/>
                <w:szCs w:val="24"/>
                <w:vertAlign w:val="superscript"/>
              </w:rPr>
              <w:t>4</w:t>
            </w:r>
          </w:p>
        </w:tc>
      </w:tr>
      <w:tr w:rsidR="00484C57" w:rsidRPr="00137DF1" w14:paraId="603AAD23" w14:textId="77777777" w:rsidTr="00C46E11">
        <w:tc>
          <w:tcPr>
            <w:tcW w:w="8630" w:type="dxa"/>
          </w:tcPr>
          <w:p w14:paraId="2335C105" w14:textId="77777777" w:rsidR="00484C57" w:rsidRPr="00137DF1" w:rsidRDefault="00484C57" w:rsidP="00C46E11">
            <w:pPr>
              <w:spacing w:line="480" w:lineRule="auto"/>
              <w:jc w:val="both"/>
              <w:rPr>
                <w:rFonts w:ascii="Times New Roman" w:hAnsi="Times New Roman" w:cs="Times New Roman"/>
                <w:sz w:val="24"/>
                <w:szCs w:val="24"/>
              </w:rPr>
            </w:pPr>
            <w:r w:rsidRPr="00137DF1">
              <w:rPr>
                <w:rFonts w:ascii="Times New Roman" w:hAnsi="Times New Roman" w:cs="Times New Roman"/>
                <w:b/>
                <w:bCs/>
                <w:sz w:val="24"/>
                <w:szCs w:val="24"/>
              </w:rPr>
              <w:t xml:space="preserve">Cost-minimization analysis: </w:t>
            </w:r>
            <w:r w:rsidRPr="00137DF1">
              <w:rPr>
                <w:rFonts w:ascii="Times New Roman" w:hAnsi="Times New Roman" w:cs="Times New Roman"/>
                <w:sz w:val="24"/>
                <w:szCs w:val="24"/>
              </w:rPr>
              <w:t>Cost minimization analysis compares the costs of alternative interventions that are assumed to have an equivalent effectiveness.</w:t>
            </w:r>
            <w:r w:rsidRPr="00710EF5">
              <w:rPr>
                <w:rFonts w:ascii="Times New Roman" w:hAnsi="Times New Roman" w:cs="Times New Roman"/>
                <w:noProof/>
                <w:sz w:val="24"/>
                <w:szCs w:val="24"/>
                <w:vertAlign w:val="superscript"/>
              </w:rPr>
              <w:t>5</w:t>
            </w:r>
          </w:p>
        </w:tc>
      </w:tr>
      <w:tr w:rsidR="00484C57" w:rsidRPr="00137DF1" w14:paraId="173176AB" w14:textId="77777777" w:rsidTr="00C46E11">
        <w:tc>
          <w:tcPr>
            <w:tcW w:w="8630" w:type="dxa"/>
          </w:tcPr>
          <w:p w14:paraId="46110D21" w14:textId="77777777" w:rsidR="00484C57" w:rsidRPr="00137DF1" w:rsidRDefault="00484C57" w:rsidP="00C46E11">
            <w:pPr>
              <w:spacing w:line="480" w:lineRule="auto"/>
              <w:jc w:val="both"/>
              <w:rPr>
                <w:rFonts w:ascii="Times New Roman" w:hAnsi="Times New Roman" w:cs="Times New Roman"/>
                <w:color w:val="000000"/>
                <w:sz w:val="24"/>
                <w:szCs w:val="24"/>
                <w:shd w:val="clear" w:color="auto" w:fill="FFFFFF"/>
              </w:rPr>
            </w:pPr>
            <w:r w:rsidRPr="00137DF1">
              <w:rPr>
                <w:rFonts w:ascii="Times New Roman" w:hAnsi="Times New Roman" w:cs="Times New Roman"/>
                <w:b/>
                <w:bCs/>
                <w:sz w:val="24"/>
                <w:szCs w:val="24"/>
              </w:rPr>
              <w:t xml:space="preserve">Cost-effectiveness analysis: </w:t>
            </w:r>
            <w:r w:rsidRPr="00137DF1">
              <w:rPr>
                <w:rFonts w:ascii="Times New Roman" w:hAnsi="Times New Roman" w:cs="Times New Roman"/>
                <w:color w:val="000000"/>
                <w:sz w:val="24"/>
                <w:szCs w:val="24"/>
                <w:shd w:val="clear" w:color="auto" w:fill="FFFFFF"/>
              </w:rPr>
              <w:t>Cost-effectiveness analysis compares an intervention to another by estimating how much it costs to gain a unit of health outcome, like a life year gained or death prevented.</w:t>
            </w:r>
            <w:r w:rsidRPr="00710EF5">
              <w:rPr>
                <w:rFonts w:ascii="Times New Roman" w:hAnsi="Times New Roman" w:cs="Times New Roman"/>
                <w:noProof/>
                <w:color w:val="000000"/>
                <w:sz w:val="24"/>
                <w:szCs w:val="24"/>
                <w:shd w:val="clear" w:color="auto" w:fill="FFFFFF"/>
                <w:vertAlign w:val="superscript"/>
              </w:rPr>
              <w:t>6</w:t>
            </w:r>
            <w:r w:rsidRPr="00137DF1">
              <w:rPr>
                <w:rFonts w:ascii="Times New Roman" w:hAnsi="Times New Roman" w:cs="Times New Roman"/>
                <w:color w:val="000000"/>
                <w:sz w:val="24"/>
                <w:szCs w:val="24"/>
                <w:shd w:val="clear" w:color="auto" w:fill="FFFFFF"/>
              </w:rPr>
              <w:t xml:space="preserve"> </w:t>
            </w:r>
          </w:p>
        </w:tc>
      </w:tr>
      <w:tr w:rsidR="00484C57" w:rsidRPr="00137DF1" w14:paraId="754F3D6A" w14:textId="77777777" w:rsidTr="00C46E11">
        <w:trPr>
          <w:trHeight w:val="4426"/>
        </w:trPr>
        <w:tc>
          <w:tcPr>
            <w:tcW w:w="8630" w:type="dxa"/>
          </w:tcPr>
          <w:p w14:paraId="5FA24321" w14:textId="77777777" w:rsidR="00484C57" w:rsidRPr="00137DF1" w:rsidRDefault="00484C57" w:rsidP="00C46E11">
            <w:pPr>
              <w:spacing w:line="480" w:lineRule="auto"/>
              <w:jc w:val="both"/>
              <w:rPr>
                <w:rFonts w:ascii="Times New Roman" w:hAnsi="Times New Roman" w:cs="Times New Roman"/>
                <w:color w:val="333333"/>
                <w:sz w:val="24"/>
                <w:szCs w:val="24"/>
                <w:shd w:val="clear" w:color="auto" w:fill="FFFFFF"/>
              </w:rPr>
            </w:pPr>
            <w:r w:rsidRPr="00137DF1">
              <w:rPr>
                <w:rFonts w:ascii="Times New Roman" w:hAnsi="Times New Roman" w:cs="Times New Roman"/>
                <w:b/>
                <w:bCs/>
                <w:color w:val="0B0C0C"/>
                <w:sz w:val="24"/>
                <w:szCs w:val="24"/>
                <w:shd w:val="clear" w:color="auto" w:fill="FFFFFF"/>
              </w:rPr>
              <w:lastRenderedPageBreak/>
              <w:t xml:space="preserve">Incremental cost-effectiveness ratio (ICER): </w:t>
            </w:r>
            <w:r w:rsidRPr="00137DF1">
              <w:rPr>
                <w:rFonts w:ascii="Times New Roman" w:hAnsi="Times New Roman" w:cs="Times New Roman"/>
                <w:color w:val="333333"/>
                <w:sz w:val="24"/>
                <w:szCs w:val="24"/>
                <w:shd w:val="clear" w:color="auto" w:fill="FFFFFF"/>
              </w:rPr>
              <w:t>An incremental cost-effectiveness ratio (ICER) is the main output of an economic evaluation and is calculated by dividing the difference in total costs by the difference in the chosen measure of health outcomes like Life Years (LYs) gained etc.</w:t>
            </w:r>
            <w:r w:rsidRPr="00710EF5">
              <w:rPr>
                <w:rFonts w:ascii="Times New Roman" w:hAnsi="Times New Roman" w:cs="Times New Roman"/>
                <w:noProof/>
                <w:color w:val="333333"/>
                <w:sz w:val="24"/>
                <w:szCs w:val="24"/>
                <w:shd w:val="clear" w:color="auto" w:fill="FFFFFF"/>
                <w:vertAlign w:val="superscript"/>
              </w:rPr>
              <w:t>7</w:t>
            </w:r>
            <w:r w:rsidRPr="00137DF1">
              <w:rPr>
                <w:rFonts w:ascii="Times New Roman" w:hAnsi="Times New Roman" w:cs="Times New Roman"/>
                <w:color w:val="333333"/>
                <w:sz w:val="24"/>
                <w:szCs w:val="24"/>
                <w:shd w:val="clear" w:color="auto" w:fill="FFFFFF"/>
              </w:rPr>
              <w:t xml:space="preserve"> </w:t>
            </w:r>
          </w:p>
          <w:p w14:paraId="6EF62DFD" w14:textId="77777777" w:rsidR="00484C57" w:rsidRPr="00137DF1" w:rsidRDefault="00484C57" w:rsidP="00C46E11">
            <w:pPr>
              <w:spacing w:line="480" w:lineRule="auto"/>
              <w:jc w:val="both"/>
              <w:rPr>
                <w:rFonts w:ascii="Times New Roman" w:hAnsi="Times New Roman" w:cs="Times New Roman"/>
                <w:color w:val="333333"/>
                <w:sz w:val="24"/>
                <w:szCs w:val="24"/>
                <w:shd w:val="clear" w:color="auto" w:fill="FFFFFF"/>
              </w:rPr>
            </w:pPr>
            <w:r w:rsidRPr="00137DF1">
              <w:rPr>
                <w:rFonts w:ascii="Times New Roman" w:hAnsi="Times New Roman" w:cs="Times New Roman"/>
                <w:color w:val="333333"/>
                <w:sz w:val="24"/>
                <w:szCs w:val="24"/>
                <w:shd w:val="clear" w:color="auto" w:fill="FFFFFF"/>
              </w:rPr>
              <w:t xml:space="preserve">ICERs may be positive or negative. </w:t>
            </w:r>
            <w:r w:rsidRPr="00137DF1">
              <w:rPr>
                <w:rFonts w:ascii="Times New Roman" w:hAnsi="Times New Roman" w:cs="Times New Roman"/>
                <w:sz w:val="24"/>
                <w:szCs w:val="24"/>
              </w:rPr>
              <w:t>Positive ICER values indicate the additional cost per effectiveness gain, whereas negative values indicate the additional cost per decreased effectiveness. Strategies with positive ICERs dominate the comparators whereas that with negative ICERs are dominated by the comparator.</w:t>
            </w:r>
          </w:p>
        </w:tc>
      </w:tr>
      <w:tr w:rsidR="00484C57" w:rsidRPr="00137DF1" w14:paraId="5C5B17E6" w14:textId="77777777" w:rsidTr="00C46E11">
        <w:tc>
          <w:tcPr>
            <w:tcW w:w="8630" w:type="dxa"/>
          </w:tcPr>
          <w:p w14:paraId="7BF40B1B" w14:textId="77777777" w:rsidR="00484C57" w:rsidRPr="00137DF1" w:rsidRDefault="00484C57" w:rsidP="00C46E11">
            <w:pPr>
              <w:spacing w:line="480" w:lineRule="auto"/>
              <w:jc w:val="both"/>
              <w:rPr>
                <w:rFonts w:ascii="Times New Roman" w:hAnsi="Times New Roman" w:cs="Times New Roman"/>
                <w:color w:val="0E0E0E"/>
                <w:sz w:val="24"/>
                <w:szCs w:val="24"/>
                <w:shd w:val="clear" w:color="auto" w:fill="FBFAF8"/>
              </w:rPr>
            </w:pPr>
            <w:r w:rsidRPr="00137DF1">
              <w:rPr>
                <w:rFonts w:ascii="Times New Roman" w:hAnsi="Times New Roman" w:cs="Times New Roman"/>
                <w:b/>
                <w:bCs/>
                <w:sz w:val="24"/>
                <w:szCs w:val="24"/>
              </w:rPr>
              <w:t xml:space="preserve">Willingness-to-pay (WTP): </w:t>
            </w:r>
            <w:r w:rsidRPr="00137DF1">
              <w:rPr>
                <w:rFonts w:ascii="Times New Roman" w:hAnsi="Times New Roman" w:cs="Times New Roman"/>
                <w:color w:val="333333"/>
                <w:sz w:val="24"/>
                <w:szCs w:val="24"/>
                <w:shd w:val="clear" w:color="auto" w:fill="FFFFFF"/>
              </w:rPr>
              <w:t xml:space="preserve">Willingness-to-pay (WTP) is </w:t>
            </w:r>
            <w:r w:rsidRPr="00137DF1">
              <w:rPr>
                <w:rFonts w:ascii="Times New Roman" w:hAnsi="Times New Roman" w:cs="Times New Roman"/>
                <w:color w:val="414042"/>
                <w:sz w:val="24"/>
                <w:szCs w:val="24"/>
                <w:shd w:val="clear" w:color="auto" w:fill="FFFFFF"/>
              </w:rPr>
              <w:t>an estimate of what a consumer of the health care system might be prepared to pay for the health benefit and is often based on a country’s per capita gross domestic product.</w:t>
            </w:r>
            <w:r w:rsidRPr="00710EF5">
              <w:rPr>
                <w:rFonts w:ascii="Times New Roman" w:hAnsi="Times New Roman" w:cs="Times New Roman"/>
                <w:noProof/>
                <w:color w:val="414042"/>
                <w:sz w:val="24"/>
                <w:szCs w:val="24"/>
                <w:shd w:val="clear" w:color="auto" w:fill="FFFFFF"/>
                <w:vertAlign w:val="superscript"/>
              </w:rPr>
              <w:t>8</w:t>
            </w:r>
            <w:r w:rsidRPr="00137DF1">
              <w:rPr>
                <w:rFonts w:ascii="Times New Roman" w:hAnsi="Times New Roman" w:cs="Times New Roman"/>
                <w:color w:val="414042"/>
                <w:sz w:val="24"/>
                <w:szCs w:val="24"/>
                <w:shd w:val="clear" w:color="auto" w:fill="FFFFFF"/>
              </w:rPr>
              <w:t xml:space="preserve"> In the United States, a WTP threshold of $50,000 to $100,000 is referenced and used by public and private policymakers, insurers, and researchers. </w:t>
            </w:r>
          </w:p>
        </w:tc>
      </w:tr>
      <w:tr w:rsidR="00484C57" w:rsidRPr="00137DF1" w14:paraId="6E006E4B" w14:textId="77777777" w:rsidTr="00C46E11">
        <w:tc>
          <w:tcPr>
            <w:tcW w:w="8630" w:type="dxa"/>
          </w:tcPr>
          <w:p w14:paraId="2DB0AD98" w14:textId="77777777" w:rsidR="00484C57" w:rsidRPr="00137DF1" w:rsidRDefault="00484C57" w:rsidP="00C46E11">
            <w:pPr>
              <w:spacing w:line="480" w:lineRule="auto"/>
              <w:jc w:val="both"/>
              <w:rPr>
                <w:rFonts w:ascii="Times New Roman" w:hAnsi="Times New Roman" w:cs="Times New Roman"/>
                <w:b/>
                <w:bCs/>
                <w:color w:val="0E0E0E"/>
                <w:sz w:val="24"/>
                <w:szCs w:val="24"/>
                <w:shd w:val="clear" w:color="auto" w:fill="FBFAF8"/>
              </w:rPr>
            </w:pPr>
            <w:r w:rsidRPr="00137DF1">
              <w:rPr>
                <w:rFonts w:ascii="Times New Roman" w:hAnsi="Times New Roman" w:cs="Times New Roman"/>
                <w:b/>
                <w:bCs/>
                <w:color w:val="0E0E0E"/>
                <w:sz w:val="24"/>
                <w:szCs w:val="24"/>
                <w:shd w:val="clear" w:color="auto" w:fill="FBFAF8"/>
              </w:rPr>
              <w:t xml:space="preserve">Base case analysis: </w:t>
            </w:r>
            <w:r w:rsidRPr="00137DF1">
              <w:rPr>
                <w:rFonts w:ascii="Times New Roman" w:hAnsi="Times New Roman" w:cs="Times New Roman"/>
                <w:color w:val="333333"/>
                <w:sz w:val="24"/>
                <w:szCs w:val="24"/>
                <w:shd w:val="clear" w:color="auto" w:fill="FFFFFF"/>
              </w:rPr>
              <w:t>A base case analysis refers to the results obtained from running an economic model with the preferred set of assumptions and input values.</w:t>
            </w:r>
            <w:r w:rsidRPr="00710EF5">
              <w:rPr>
                <w:rFonts w:ascii="Times New Roman" w:hAnsi="Times New Roman" w:cs="Times New Roman"/>
                <w:noProof/>
                <w:color w:val="333333"/>
                <w:sz w:val="24"/>
                <w:szCs w:val="24"/>
                <w:shd w:val="clear" w:color="auto" w:fill="FFFFFF"/>
                <w:vertAlign w:val="superscript"/>
              </w:rPr>
              <w:t>9</w:t>
            </w:r>
            <w:r w:rsidRPr="00137DF1">
              <w:rPr>
                <w:rFonts w:ascii="Times New Roman" w:hAnsi="Times New Roman" w:cs="Times New Roman"/>
                <w:b/>
                <w:bCs/>
                <w:color w:val="0E0E0E"/>
                <w:sz w:val="24"/>
                <w:szCs w:val="24"/>
                <w:shd w:val="clear" w:color="auto" w:fill="FBFAF8"/>
              </w:rPr>
              <w:t xml:space="preserve"> </w:t>
            </w:r>
          </w:p>
        </w:tc>
      </w:tr>
      <w:tr w:rsidR="00484C57" w:rsidRPr="00137DF1" w14:paraId="495384E4" w14:textId="77777777" w:rsidTr="00C46E11">
        <w:tc>
          <w:tcPr>
            <w:tcW w:w="8630" w:type="dxa"/>
          </w:tcPr>
          <w:p w14:paraId="2194176D" w14:textId="77777777" w:rsidR="00484C57" w:rsidRPr="00137DF1" w:rsidRDefault="00484C57" w:rsidP="00C46E11">
            <w:pPr>
              <w:spacing w:line="480" w:lineRule="auto"/>
              <w:jc w:val="both"/>
              <w:rPr>
                <w:rFonts w:ascii="Times New Roman" w:hAnsi="Times New Roman" w:cs="Times New Roman"/>
                <w:b/>
                <w:bCs/>
                <w:sz w:val="24"/>
                <w:szCs w:val="24"/>
              </w:rPr>
            </w:pPr>
            <w:r w:rsidRPr="00137DF1">
              <w:rPr>
                <w:rFonts w:ascii="Times New Roman" w:hAnsi="Times New Roman" w:cs="Times New Roman"/>
                <w:b/>
                <w:bCs/>
                <w:color w:val="0E0E0E"/>
                <w:sz w:val="24"/>
                <w:szCs w:val="24"/>
                <w:shd w:val="clear" w:color="auto" w:fill="FBFAF8"/>
              </w:rPr>
              <w:t xml:space="preserve">Probabilistic Sensitivity Analysis (PSA): </w:t>
            </w:r>
            <w:r w:rsidRPr="00137DF1">
              <w:rPr>
                <w:rFonts w:ascii="Times New Roman" w:hAnsi="Times New Roman" w:cs="Times New Roman"/>
                <w:color w:val="333333"/>
                <w:sz w:val="24"/>
                <w:szCs w:val="24"/>
                <w:shd w:val="clear" w:color="auto" w:fill="FFFFFF"/>
              </w:rPr>
              <w:t>Probabilistic sensitivity analysis (PSA) allows quantifying the level of confidence about uncertainty in the model inputs which may have been derived from clinical trials or expert opinion. The parameters are represented as distributions around the point estimate, which can be summarized using mean and standard deviation for a normal distribution.</w:t>
            </w:r>
            <w:r w:rsidRPr="00710EF5">
              <w:rPr>
                <w:rFonts w:ascii="Times New Roman" w:hAnsi="Times New Roman" w:cs="Times New Roman"/>
                <w:noProof/>
                <w:color w:val="333333"/>
                <w:sz w:val="24"/>
                <w:szCs w:val="24"/>
                <w:shd w:val="clear" w:color="auto" w:fill="FFFFFF"/>
                <w:vertAlign w:val="superscript"/>
              </w:rPr>
              <w:t>10</w:t>
            </w:r>
            <w:r w:rsidRPr="00137DF1">
              <w:rPr>
                <w:rFonts w:ascii="Times New Roman" w:hAnsi="Times New Roman" w:cs="Times New Roman"/>
                <w:b/>
                <w:bCs/>
                <w:sz w:val="24"/>
                <w:szCs w:val="24"/>
              </w:rPr>
              <w:t xml:space="preserve"> </w:t>
            </w:r>
          </w:p>
        </w:tc>
      </w:tr>
    </w:tbl>
    <w:bookmarkEnd w:id="0"/>
    <w:p w14:paraId="241E05EE" w14:textId="77777777" w:rsidR="00484C57" w:rsidRDefault="00484C57" w:rsidP="00064F2F">
      <w:pPr>
        <w:pStyle w:val="Caption"/>
        <w:jc w:val="center"/>
        <w:rPr>
          <w:rFonts w:ascii="Times New Roman" w:hAnsi="Times New Roman" w:cs="Times New Roman"/>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            Supplementary T</w:t>
      </w:r>
      <w:r w:rsidRPr="00721505">
        <w:rPr>
          <w:rFonts w:ascii="Times New Roman" w:hAnsi="Times New Roman" w:cs="Times New Roman"/>
          <w:b/>
          <w:bCs/>
          <w:i w:val="0"/>
          <w:iCs w:val="0"/>
          <w:color w:val="000000" w:themeColor="text1"/>
          <w:sz w:val="24"/>
          <w:szCs w:val="24"/>
        </w:rPr>
        <w:t>able</w:t>
      </w:r>
      <w:r>
        <w:rPr>
          <w:rFonts w:ascii="Times New Roman" w:hAnsi="Times New Roman" w:cs="Times New Roman"/>
          <w:b/>
          <w:bCs/>
          <w:i w:val="0"/>
          <w:iCs w:val="0"/>
          <w:color w:val="000000" w:themeColor="text1"/>
          <w:sz w:val="24"/>
          <w:szCs w:val="24"/>
        </w:rPr>
        <w:t xml:space="preserve"> 1</w:t>
      </w:r>
      <w:r w:rsidRPr="00721505">
        <w:rPr>
          <w:rFonts w:ascii="Times New Roman" w:hAnsi="Times New Roman" w:cs="Times New Roman"/>
          <w:b/>
          <w:bCs/>
          <w:i w:val="0"/>
          <w:iCs w:val="0"/>
          <w:color w:val="000000" w:themeColor="text1"/>
          <w:sz w:val="24"/>
          <w:szCs w:val="24"/>
        </w:rPr>
        <w:t xml:space="preserve"> </w:t>
      </w:r>
      <w:r>
        <w:rPr>
          <w:rFonts w:ascii="Times New Roman" w:hAnsi="Times New Roman" w:cs="Times New Roman"/>
          <w:i w:val="0"/>
          <w:iCs w:val="0"/>
          <w:color w:val="000000" w:themeColor="text1"/>
          <w:sz w:val="24"/>
          <w:szCs w:val="24"/>
        </w:rPr>
        <w:t>Operational definition of terminologies related to health economics</w:t>
      </w:r>
    </w:p>
    <w:p w14:paraId="2ED652E7" w14:textId="77777777" w:rsidR="00484C57" w:rsidRDefault="00484C57" w:rsidP="00466DD9"/>
    <w:p w14:paraId="6F3740C8" w14:textId="77777777" w:rsidR="00484C57" w:rsidRDefault="00484C57" w:rsidP="00466DD9"/>
    <w:tbl>
      <w:tblPr>
        <w:tblStyle w:val="TableGrid"/>
        <w:tblW w:w="10458" w:type="dxa"/>
        <w:tblLook w:val="04A0" w:firstRow="1" w:lastRow="0" w:firstColumn="1" w:lastColumn="0" w:noHBand="0" w:noVBand="1"/>
      </w:tblPr>
      <w:tblGrid>
        <w:gridCol w:w="6228"/>
        <w:gridCol w:w="4230"/>
      </w:tblGrid>
      <w:tr w:rsidR="00484C57" w14:paraId="4DA9E1A0" w14:textId="77777777" w:rsidTr="00466DD9">
        <w:tc>
          <w:tcPr>
            <w:tcW w:w="6228" w:type="dxa"/>
            <w:tcBorders>
              <w:top w:val="single" w:sz="4" w:space="0" w:color="auto"/>
              <w:left w:val="single" w:sz="4" w:space="0" w:color="auto"/>
              <w:bottom w:val="single" w:sz="4" w:space="0" w:color="auto"/>
              <w:right w:val="single" w:sz="4" w:space="0" w:color="auto"/>
            </w:tcBorders>
            <w:hideMark/>
          </w:tcPr>
          <w:p w14:paraId="35BD22D5" w14:textId="77777777" w:rsidR="00484C57" w:rsidRDefault="00484C5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Literature</w:t>
            </w:r>
          </w:p>
        </w:tc>
        <w:tc>
          <w:tcPr>
            <w:tcW w:w="4230" w:type="dxa"/>
            <w:tcBorders>
              <w:top w:val="single" w:sz="4" w:space="0" w:color="auto"/>
              <w:left w:val="single" w:sz="4" w:space="0" w:color="auto"/>
              <w:bottom w:val="single" w:sz="4" w:space="0" w:color="auto"/>
              <w:right w:val="single" w:sz="4" w:space="0" w:color="auto"/>
            </w:tcBorders>
            <w:hideMark/>
          </w:tcPr>
          <w:p w14:paraId="33EE07B1" w14:textId="77777777" w:rsidR="00484C57" w:rsidRDefault="00484C5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Source</w:t>
            </w:r>
          </w:p>
        </w:tc>
      </w:tr>
      <w:tr w:rsidR="00484C57" w14:paraId="725DEB39" w14:textId="77777777" w:rsidTr="00466DD9">
        <w:tc>
          <w:tcPr>
            <w:tcW w:w="6228" w:type="dxa"/>
            <w:tcBorders>
              <w:top w:val="single" w:sz="4" w:space="0" w:color="auto"/>
              <w:left w:val="single" w:sz="4" w:space="0" w:color="auto"/>
              <w:bottom w:val="single" w:sz="4" w:space="0" w:color="auto"/>
              <w:right w:val="single" w:sz="4" w:space="0" w:color="auto"/>
            </w:tcBorders>
            <w:hideMark/>
          </w:tcPr>
          <w:p w14:paraId="0941862E" w14:textId="77777777" w:rsidR="00484C57" w:rsidRDefault="00484C57" w:rsidP="0055262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color w:val="212121"/>
                <w:sz w:val="24"/>
                <w:szCs w:val="24"/>
                <w:shd w:val="clear" w:color="auto" w:fill="FFFFFF"/>
              </w:rPr>
              <w:t>Pulpotomy for mature carious teeth with symptoms of irreversible pulpitis: A systematic review.</w:t>
            </w:r>
          </w:p>
        </w:tc>
        <w:tc>
          <w:tcPr>
            <w:tcW w:w="4230" w:type="dxa"/>
            <w:tcBorders>
              <w:top w:val="single" w:sz="4" w:space="0" w:color="auto"/>
              <w:left w:val="single" w:sz="4" w:space="0" w:color="auto"/>
              <w:bottom w:val="single" w:sz="4" w:space="0" w:color="auto"/>
              <w:right w:val="single" w:sz="4" w:space="0" w:color="auto"/>
            </w:tcBorders>
            <w:hideMark/>
          </w:tcPr>
          <w:p w14:paraId="31C53807"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Cushley S, Duncan HF, Lappin MJ, Tomson PL, Lundy FT, Cooper P, Clarke M, El Karim IA. </w:t>
            </w:r>
          </w:p>
          <w:p w14:paraId="7603298D" w14:textId="77777777" w:rsidR="00484C57" w:rsidRDefault="00484C57">
            <w:pPr>
              <w:spacing w:line="480" w:lineRule="auto"/>
              <w:jc w:val="both"/>
              <w:rPr>
                <w:rFonts w:ascii="Times New Roman" w:hAnsi="Times New Roman" w:cs="Times New Roman"/>
                <w:sz w:val="24"/>
                <w:szCs w:val="24"/>
              </w:rPr>
            </w:pPr>
            <w:r>
              <w:rPr>
                <w:rFonts w:ascii="Times New Roman" w:hAnsi="Times New Roman" w:cs="Times New Roman"/>
                <w:b/>
                <w:bCs/>
                <w:color w:val="212121"/>
                <w:sz w:val="24"/>
                <w:szCs w:val="24"/>
                <w:shd w:val="clear" w:color="auto" w:fill="FFFFFF"/>
              </w:rPr>
              <w:t xml:space="preserve">(J Dent. 2019) </w:t>
            </w:r>
            <w:r w:rsidRPr="00710EF5">
              <w:rPr>
                <w:rFonts w:ascii="Times New Roman" w:hAnsi="Times New Roman" w:cs="Times New Roman"/>
                <w:noProof/>
                <w:color w:val="212121"/>
                <w:sz w:val="24"/>
                <w:szCs w:val="24"/>
                <w:shd w:val="clear" w:color="auto" w:fill="FFFFFF"/>
                <w:vertAlign w:val="superscript"/>
              </w:rPr>
              <w:t>14</w:t>
            </w:r>
          </w:p>
        </w:tc>
      </w:tr>
      <w:tr w:rsidR="00484C57" w14:paraId="18026FA2" w14:textId="77777777" w:rsidTr="00466DD9">
        <w:tc>
          <w:tcPr>
            <w:tcW w:w="6228" w:type="dxa"/>
            <w:tcBorders>
              <w:top w:val="single" w:sz="4" w:space="0" w:color="auto"/>
              <w:left w:val="single" w:sz="4" w:space="0" w:color="auto"/>
              <w:bottom w:val="single" w:sz="4" w:space="0" w:color="auto"/>
              <w:right w:val="single" w:sz="4" w:space="0" w:color="auto"/>
            </w:tcBorders>
            <w:hideMark/>
          </w:tcPr>
          <w:p w14:paraId="1815E438" w14:textId="77777777" w:rsidR="00484C57" w:rsidRDefault="00484C57" w:rsidP="0055262F">
            <w:pPr>
              <w:pStyle w:val="ListParagraph"/>
              <w:numPr>
                <w:ilvl w:val="0"/>
                <w:numId w:val="1"/>
              </w:num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Coronal pulpotomy for cariously exposed permanent posterior teeth with closed apices: A systematic review and meta-analysis. </w:t>
            </w:r>
          </w:p>
        </w:tc>
        <w:tc>
          <w:tcPr>
            <w:tcW w:w="4230" w:type="dxa"/>
            <w:tcBorders>
              <w:top w:val="single" w:sz="4" w:space="0" w:color="auto"/>
              <w:left w:val="single" w:sz="4" w:space="0" w:color="auto"/>
              <w:bottom w:val="single" w:sz="4" w:space="0" w:color="auto"/>
              <w:right w:val="single" w:sz="4" w:space="0" w:color="auto"/>
            </w:tcBorders>
            <w:hideMark/>
          </w:tcPr>
          <w:p w14:paraId="1AE0EB39"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Alqaderi H, Lee CT, Borzangy S, Pagonis TC. </w:t>
            </w:r>
          </w:p>
          <w:p w14:paraId="41ACA9FF"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(J Dent. 2016) </w:t>
            </w:r>
            <w:r w:rsidRPr="00710EF5">
              <w:rPr>
                <w:rFonts w:ascii="Times New Roman" w:hAnsi="Times New Roman" w:cs="Times New Roman"/>
                <w:noProof/>
                <w:color w:val="212121"/>
                <w:sz w:val="24"/>
                <w:szCs w:val="24"/>
                <w:shd w:val="clear" w:color="auto" w:fill="FFFFFF"/>
                <w:vertAlign w:val="superscript"/>
              </w:rPr>
              <w:t>15</w:t>
            </w:r>
          </w:p>
        </w:tc>
      </w:tr>
      <w:tr w:rsidR="00484C57" w14:paraId="0ED8AEAC" w14:textId="77777777" w:rsidTr="00466DD9">
        <w:tc>
          <w:tcPr>
            <w:tcW w:w="6228" w:type="dxa"/>
            <w:tcBorders>
              <w:top w:val="single" w:sz="4" w:space="0" w:color="auto"/>
              <w:left w:val="single" w:sz="4" w:space="0" w:color="auto"/>
              <w:bottom w:val="single" w:sz="4" w:space="0" w:color="auto"/>
              <w:right w:val="single" w:sz="4" w:space="0" w:color="auto"/>
            </w:tcBorders>
            <w:hideMark/>
          </w:tcPr>
          <w:p w14:paraId="30816515" w14:textId="77777777" w:rsidR="00484C57" w:rsidRDefault="00484C57" w:rsidP="0055262F">
            <w:pPr>
              <w:pStyle w:val="ListParagraph"/>
              <w:numPr>
                <w:ilvl w:val="0"/>
                <w:numId w:val="1"/>
              </w:num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Pulpotomy for carious pulp exposures in permanent teeth: A systematic review and meta-analysis.</w:t>
            </w:r>
          </w:p>
        </w:tc>
        <w:tc>
          <w:tcPr>
            <w:tcW w:w="4230" w:type="dxa"/>
            <w:tcBorders>
              <w:top w:val="single" w:sz="4" w:space="0" w:color="auto"/>
              <w:left w:val="single" w:sz="4" w:space="0" w:color="auto"/>
              <w:bottom w:val="single" w:sz="4" w:space="0" w:color="auto"/>
              <w:right w:val="single" w:sz="4" w:space="0" w:color="auto"/>
            </w:tcBorders>
            <w:hideMark/>
          </w:tcPr>
          <w:p w14:paraId="6F0F9830"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Li Y, Sui B, Dahl C, Bergeron B, Shipman P, Niu L, Chen J, Tay FR. </w:t>
            </w:r>
          </w:p>
          <w:p w14:paraId="444E672B"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(J Dent. 2019) </w:t>
            </w:r>
            <w:r w:rsidRPr="00710EF5">
              <w:rPr>
                <w:rFonts w:ascii="Times New Roman" w:hAnsi="Times New Roman" w:cs="Times New Roman"/>
                <w:noProof/>
                <w:color w:val="212121"/>
                <w:sz w:val="24"/>
                <w:szCs w:val="24"/>
                <w:shd w:val="clear" w:color="auto" w:fill="FFFFFF"/>
                <w:vertAlign w:val="superscript"/>
              </w:rPr>
              <w:t>16</w:t>
            </w:r>
          </w:p>
        </w:tc>
      </w:tr>
      <w:tr w:rsidR="00484C57" w14:paraId="591340A8" w14:textId="77777777" w:rsidTr="00466DD9">
        <w:tc>
          <w:tcPr>
            <w:tcW w:w="6228" w:type="dxa"/>
            <w:tcBorders>
              <w:top w:val="single" w:sz="4" w:space="0" w:color="auto"/>
              <w:left w:val="single" w:sz="4" w:space="0" w:color="auto"/>
              <w:bottom w:val="single" w:sz="4" w:space="0" w:color="auto"/>
              <w:right w:val="single" w:sz="4" w:space="0" w:color="auto"/>
            </w:tcBorders>
            <w:hideMark/>
          </w:tcPr>
          <w:p w14:paraId="29B1ABFE" w14:textId="77777777" w:rsidR="00484C57" w:rsidRDefault="00484C57" w:rsidP="0055262F">
            <w:pPr>
              <w:pStyle w:val="ListParagraph"/>
              <w:numPr>
                <w:ilvl w:val="0"/>
                <w:numId w:val="1"/>
              </w:num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Vital pulp therapy in carious pulp-exposed permanent teeth: an umbrella review.</w:t>
            </w:r>
          </w:p>
        </w:tc>
        <w:tc>
          <w:tcPr>
            <w:tcW w:w="4230" w:type="dxa"/>
            <w:tcBorders>
              <w:top w:val="single" w:sz="4" w:space="0" w:color="auto"/>
              <w:left w:val="single" w:sz="4" w:space="0" w:color="auto"/>
              <w:bottom w:val="single" w:sz="4" w:space="0" w:color="auto"/>
              <w:right w:val="single" w:sz="4" w:space="0" w:color="auto"/>
            </w:tcBorders>
            <w:hideMark/>
          </w:tcPr>
          <w:p w14:paraId="201FE8E5"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Leong DJX, Yap AU. </w:t>
            </w:r>
          </w:p>
          <w:p w14:paraId="033666D2"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(Clin Oral Investig. 2021) </w:t>
            </w:r>
            <w:r w:rsidRPr="00710EF5">
              <w:rPr>
                <w:rFonts w:ascii="Times New Roman" w:hAnsi="Times New Roman" w:cs="Times New Roman"/>
                <w:noProof/>
                <w:color w:val="212121"/>
                <w:sz w:val="24"/>
                <w:szCs w:val="24"/>
                <w:shd w:val="clear" w:color="auto" w:fill="FFFFFF"/>
                <w:vertAlign w:val="superscript"/>
              </w:rPr>
              <w:t>17</w:t>
            </w:r>
          </w:p>
        </w:tc>
      </w:tr>
      <w:tr w:rsidR="00484C57" w14:paraId="73109919" w14:textId="77777777" w:rsidTr="00466DD9">
        <w:tc>
          <w:tcPr>
            <w:tcW w:w="6228" w:type="dxa"/>
            <w:tcBorders>
              <w:top w:val="single" w:sz="4" w:space="0" w:color="auto"/>
              <w:left w:val="single" w:sz="4" w:space="0" w:color="auto"/>
              <w:bottom w:val="single" w:sz="4" w:space="0" w:color="auto"/>
              <w:right w:val="single" w:sz="4" w:space="0" w:color="auto"/>
            </w:tcBorders>
            <w:hideMark/>
          </w:tcPr>
          <w:p w14:paraId="52A459FA" w14:textId="77777777" w:rsidR="00484C57" w:rsidRPr="00D22C60" w:rsidRDefault="00484C57" w:rsidP="0055262F">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color w:val="212121"/>
                <w:sz w:val="24"/>
                <w:szCs w:val="24"/>
                <w:shd w:val="clear" w:color="auto" w:fill="FFFFFF"/>
              </w:rPr>
              <w:t>Long-term Pulpal and Restorative Outcomes of Pulpotomy in Mature Permanent Teeth. </w:t>
            </w:r>
          </w:p>
          <w:p w14:paraId="061CC0B6" w14:textId="77777777" w:rsidR="00484C57" w:rsidRDefault="00484C57" w:rsidP="00D22C60">
            <w:pPr>
              <w:pStyle w:val="ListParagraph"/>
              <w:spacing w:line="480" w:lineRule="auto"/>
              <w:jc w:val="both"/>
              <w:rPr>
                <w:rFonts w:ascii="Times New Roman" w:hAnsi="Times New Roman" w:cs="Times New Roman"/>
                <w:sz w:val="24"/>
                <w:szCs w:val="24"/>
              </w:rPr>
            </w:pPr>
          </w:p>
        </w:tc>
        <w:tc>
          <w:tcPr>
            <w:tcW w:w="4230" w:type="dxa"/>
            <w:tcBorders>
              <w:top w:val="single" w:sz="4" w:space="0" w:color="auto"/>
              <w:left w:val="single" w:sz="4" w:space="0" w:color="auto"/>
              <w:bottom w:val="single" w:sz="4" w:space="0" w:color="auto"/>
              <w:right w:val="single" w:sz="4" w:space="0" w:color="auto"/>
            </w:tcBorders>
            <w:hideMark/>
          </w:tcPr>
          <w:p w14:paraId="1819C762" w14:textId="77777777" w:rsidR="00484C57" w:rsidRDefault="00484C57">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Tan SY, Yu VSH, Lim KC, Tan BCK, Neo CLJ, Shen L, Messer HH. </w:t>
            </w:r>
          </w:p>
          <w:p w14:paraId="3002B619" w14:textId="77777777" w:rsidR="00484C57" w:rsidRDefault="00484C57">
            <w:pPr>
              <w:spacing w:line="480" w:lineRule="auto"/>
              <w:jc w:val="both"/>
              <w:rPr>
                <w:rFonts w:ascii="Times New Roman" w:hAnsi="Times New Roman" w:cs="Times New Roman"/>
                <w:sz w:val="24"/>
                <w:szCs w:val="24"/>
              </w:rPr>
            </w:pPr>
            <w:r>
              <w:rPr>
                <w:rFonts w:ascii="Times New Roman" w:hAnsi="Times New Roman" w:cs="Times New Roman"/>
                <w:b/>
                <w:bCs/>
                <w:color w:val="212121"/>
                <w:sz w:val="24"/>
                <w:szCs w:val="24"/>
                <w:shd w:val="clear" w:color="auto" w:fill="FFFFFF"/>
              </w:rPr>
              <w:t xml:space="preserve">(J Endod. 2020) </w:t>
            </w:r>
            <w:r>
              <w:rPr>
                <w:rFonts w:ascii="Times New Roman" w:hAnsi="Times New Roman" w:cs="Times New Roman"/>
                <w:noProof/>
                <w:color w:val="212121"/>
                <w:sz w:val="24"/>
                <w:szCs w:val="24"/>
                <w:shd w:val="clear" w:color="auto" w:fill="FFFFFF"/>
                <w:vertAlign w:val="superscript"/>
              </w:rPr>
              <w:t>18</w:t>
            </w:r>
          </w:p>
        </w:tc>
      </w:tr>
      <w:tr w:rsidR="00484C57" w14:paraId="7003C482" w14:textId="77777777" w:rsidTr="00466DD9">
        <w:tc>
          <w:tcPr>
            <w:tcW w:w="6228" w:type="dxa"/>
            <w:tcBorders>
              <w:top w:val="single" w:sz="4" w:space="0" w:color="auto"/>
              <w:left w:val="single" w:sz="4" w:space="0" w:color="auto"/>
              <w:bottom w:val="single" w:sz="4" w:space="0" w:color="auto"/>
              <w:right w:val="single" w:sz="4" w:space="0" w:color="auto"/>
            </w:tcBorders>
          </w:tcPr>
          <w:p w14:paraId="5ECE40E0" w14:textId="77777777" w:rsidR="00484C57" w:rsidRDefault="00484C57" w:rsidP="00D22C60">
            <w:pPr>
              <w:pStyle w:val="ListParagraph"/>
              <w:numPr>
                <w:ilvl w:val="0"/>
                <w:numId w:val="1"/>
              </w:num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noProof/>
                <w:sz w:val="24"/>
                <w:szCs w:val="24"/>
              </w:rPr>
              <w:t>Outcome of primary root canal treatment: systematic review of the literature - part 1. Effects of study characteristics on probability of success.</w:t>
            </w:r>
          </w:p>
        </w:tc>
        <w:tc>
          <w:tcPr>
            <w:tcW w:w="4230" w:type="dxa"/>
            <w:tcBorders>
              <w:top w:val="single" w:sz="4" w:space="0" w:color="auto"/>
              <w:left w:val="single" w:sz="4" w:space="0" w:color="auto"/>
              <w:bottom w:val="single" w:sz="4" w:space="0" w:color="auto"/>
              <w:right w:val="single" w:sz="4" w:space="0" w:color="auto"/>
            </w:tcBorders>
          </w:tcPr>
          <w:p w14:paraId="299BC7B0" w14:textId="77777777" w:rsidR="00484C57" w:rsidRDefault="00484C57" w:rsidP="00D22C60">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Ng YL, Mann V, Rahbaran S, Lewsey J, Gulabivala K </w:t>
            </w:r>
          </w:p>
          <w:p w14:paraId="58487D82" w14:textId="77777777" w:rsidR="00484C57" w:rsidRDefault="00484C57" w:rsidP="00D22C60">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(Int Endod J. 2007) </w:t>
            </w:r>
            <w:r w:rsidRPr="00710EF5">
              <w:rPr>
                <w:rFonts w:ascii="Times New Roman" w:hAnsi="Times New Roman" w:cs="Times New Roman"/>
                <w:noProof/>
                <w:color w:val="212121"/>
                <w:sz w:val="24"/>
                <w:szCs w:val="24"/>
                <w:shd w:val="clear" w:color="auto" w:fill="FFFFFF"/>
                <w:vertAlign w:val="superscript"/>
              </w:rPr>
              <w:t>11</w:t>
            </w:r>
          </w:p>
        </w:tc>
      </w:tr>
      <w:tr w:rsidR="00484C57" w14:paraId="3183AB50" w14:textId="77777777" w:rsidTr="00466DD9">
        <w:tc>
          <w:tcPr>
            <w:tcW w:w="6228" w:type="dxa"/>
            <w:tcBorders>
              <w:top w:val="single" w:sz="4" w:space="0" w:color="auto"/>
              <w:left w:val="single" w:sz="4" w:space="0" w:color="auto"/>
              <w:bottom w:val="single" w:sz="4" w:space="0" w:color="auto"/>
              <w:right w:val="single" w:sz="4" w:space="0" w:color="auto"/>
            </w:tcBorders>
          </w:tcPr>
          <w:p w14:paraId="5B9698B9" w14:textId="77777777" w:rsidR="00484C57" w:rsidRDefault="00484C57" w:rsidP="00D22C60">
            <w:pPr>
              <w:pStyle w:val="ListParagraph"/>
              <w:numPr>
                <w:ilvl w:val="0"/>
                <w:numId w:val="1"/>
              </w:num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Outcome of primary root canal treatment: systematic review of the literature -- Part 2. Influence of clinical factors.</w:t>
            </w:r>
          </w:p>
        </w:tc>
        <w:tc>
          <w:tcPr>
            <w:tcW w:w="4230" w:type="dxa"/>
            <w:tcBorders>
              <w:top w:val="single" w:sz="4" w:space="0" w:color="auto"/>
              <w:left w:val="single" w:sz="4" w:space="0" w:color="auto"/>
              <w:bottom w:val="single" w:sz="4" w:space="0" w:color="auto"/>
              <w:right w:val="single" w:sz="4" w:space="0" w:color="auto"/>
            </w:tcBorders>
          </w:tcPr>
          <w:p w14:paraId="3B6DE7D2" w14:textId="77777777" w:rsidR="00484C57" w:rsidRDefault="00484C57" w:rsidP="00D22C60">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Ng YL, Mann V, Rahbaran S, Lewsey J, Gulabivala K. </w:t>
            </w:r>
          </w:p>
          <w:p w14:paraId="02632B60" w14:textId="77777777" w:rsidR="00484C57" w:rsidRDefault="00484C57" w:rsidP="00D22C60">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(Int Endod J. 2008) </w:t>
            </w:r>
            <w:r w:rsidRPr="00710EF5">
              <w:rPr>
                <w:rFonts w:ascii="Times New Roman" w:hAnsi="Times New Roman" w:cs="Times New Roman"/>
                <w:noProof/>
                <w:color w:val="212121"/>
                <w:sz w:val="24"/>
                <w:szCs w:val="24"/>
                <w:shd w:val="clear" w:color="auto" w:fill="FFFFFF"/>
                <w:vertAlign w:val="superscript"/>
              </w:rPr>
              <w:t>12</w:t>
            </w:r>
          </w:p>
        </w:tc>
      </w:tr>
      <w:tr w:rsidR="00484C57" w14:paraId="1952D42A" w14:textId="77777777" w:rsidTr="00466DD9">
        <w:tc>
          <w:tcPr>
            <w:tcW w:w="6228" w:type="dxa"/>
            <w:tcBorders>
              <w:top w:val="single" w:sz="4" w:space="0" w:color="auto"/>
              <w:left w:val="single" w:sz="4" w:space="0" w:color="auto"/>
              <w:bottom w:val="single" w:sz="4" w:space="0" w:color="auto"/>
              <w:right w:val="single" w:sz="4" w:space="0" w:color="auto"/>
            </w:tcBorders>
          </w:tcPr>
          <w:p w14:paraId="234FE0B4" w14:textId="77777777" w:rsidR="00484C57" w:rsidRDefault="00484C57" w:rsidP="00D22C60">
            <w:pPr>
              <w:pStyle w:val="ListParagraph"/>
              <w:numPr>
                <w:ilvl w:val="0"/>
                <w:numId w:val="1"/>
              </w:num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lastRenderedPageBreak/>
              <w:t>Endodontic treatment outcomes in a large patient population in the USA: an epidemiological study. </w:t>
            </w:r>
          </w:p>
        </w:tc>
        <w:tc>
          <w:tcPr>
            <w:tcW w:w="4230" w:type="dxa"/>
            <w:tcBorders>
              <w:top w:val="single" w:sz="4" w:space="0" w:color="auto"/>
              <w:left w:val="single" w:sz="4" w:space="0" w:color="auto"/>
              <w:bottom w:val="single" w:sz="4" w:space="0" w:color="auto"/>
              <w:right w:val="single" w:sz="4" w:space="0" w:color="auto"/>
            </w:tcBorders>
          </w:tcPr>
          <w:p w14:paraId="4A6C0C31" w14:textId="77777777" w:rsidR="00484C57" w:rsidRDefault="00484C57" w:rsidP="00D22C60">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Salehrabi R, Rotstein I. </w:t>
            </w:r>
          </w:p>
          <w:p w14:paraId="2E1C937C" w14:textId="77777777" w:rsidR="00484C57" w:rsidRDefault="00484C57" w:rsidP="00D22C60">
            <w:pPr>
              <w:spacing w:line="480" w:lineRule="auto"/>
              <w:jc w:val="both"/>
              <w:rPr>
                <w:rFonts w:ascii="Times New Roman" w:hAnsi="Times New Roman" w:cs="Times New Roman"/>
                <w:color w:val="212121"/>
                <w:sz w:val="24"/>
                <w:szCs w:val="24"/>
                <w:shd w:val="clear" w:color="auto" w:fill="FFFFFF"/>
              </w:rPr>
            </w:pPr>
            <w:r>
              <w:rPr>
                <w:rFonts w:ascii="Times New Roman" w:hAnsi="Times New Roman" w:cs="Times New Roman"/>
                <w:b/>
                <w:bCs/>
                <w:color w:val="212121"/>
                <w:sz w:val="24"/>
                <w:szCs w:val="24"/>
                <w:shd w:val="clear" w:color="auto" w:fill="FFFFFF"/>
              </w:rPr>
              <w:t xml:space="preserve">(J Endod. 2004) </w:t>
            </w:r>
            <w:r w:rsidRPr="00710EF5">
              <w:rPr>
                <w:rFonts w:ascii="Times New Roman" w:hAnsi="Times New Roman" w:cs="Times New Roman"/>
                <w:noProof/>
                <w:color w:val="212121"/>
                <w:sz w:val="24"/>
                <w:szCs w:val="24"/>
                <w:shd w:val="clear" w:color="auto" w:fill="FFFFFF"/>
                <w:vertAlign w:val="superscript"/>
              </w:rPr>
              <w:t>13</w:t>
            </w:r>
          </w:p>
        </w:tc>
      </w:tr>
    </w:tbl>
    <w:p w14:paraId="19A21A1D" w14:textId="77777777" w:rsidR="00484C57" w:rsidRDefault="00484C57" w:rsidP="00466DD9"/>
    <w:p w14:paraId="7AD08F9E" w14:textId="77777777" w:rsidR="00484C57" w:rsidRDefault="00484C57" w:rsidP="00466DD9">
      <w:r>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5855BCE6" wp14:editId="6C3CB585">
                <wp:simplePos x="0" y="0"/>
                <wp:positionH relativeFrom="column">
                  <wp:posOffset>0</wp:posOffset>
                </wp:positionH>
                <wp:positionV relativeFrom="paragraph">
                  <wp:posOffset>45085</wp:posOffset>
                </wp:positionV>
                <wp:extent cx="6607175" cy="596265"/>
                <wp:effectExtent l="0" t="0" r="22225" b="10160"/>
                <wp:wrapSquare wrapText="bothSides"/>
                <wp:docPr id="11029071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175" cy="596265"/>
                        </a:xfrm>
                        <a:prstGeom prst="rect">
                          <a:avLst/>
                        </a:prstGeom>
                        <a:solidFill>
                          <a:srgbClr val="FFFFFF"/>
                        </a:solidFill>
                        <a:ln w="9525">
                          <a:solidFill>
                            <a:srgbClr val="000000"/>
                          </a:solidFill>
                          <a:miter lim="800000"/>
                          <a:headEnd/>
                          <a:tailEnd/>
                        </a:ln>
                      </wps:spPr>
                      <wps:txbx>
                        <w:txbxContent>
                          <w:p w14:paraId="6A8F17F0" w14:textId="77777777" w:rsidR="00484C57" w:rsidRDefault="00484C57" w:rsidP="00466DD9">
                            <w:pPr>
                              <w:jc w:val="both"/>
                              <w:rPr>
                                <w:rFonts w:ascii="Times New Roman" w:hAnsi="Times New Roman" w:cs="Times New Roman"/>
                                <w:sz w:val="24"/>
                                <w:szCs w:val="24"/>
                              </w:rPr>
                            </w:pPr>
                            <w:r>
                              <w:rPr>
                                <w:rFonts w:ascii="Times New Roman" w:hAnsi="Times New Roman" w:cs="Times New Roman"/>
                                <w:b/>
                                <w:bCs/>
                                <w:sz w:val="24"/>
                                <w:szCs w:val="24"/>
                              </w:rPr>
                              <w:t>Supplementary Table 2</w:t>
                            </w:r>
                            <w:r>
                              <w:rPr>
                                <w:rFonts w:ascii="Times New Roman" w:hAnsi="Times New Roman" w:cs="Times New Roman"/>
                                <w:sz w:val="24"/>
                                <w:szCs w:val="24"/>
                              </w:rPr>
                              <w:t xml:space="preserve"> An extensive literature search was done, and the above-mentioned studies were utilized to estimate the success of the interventions as well as transition probabilities.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55BCE6" id="_x0000_t202" coordsize="21600,21600" o:spt="202" path="m,l,21600r21600,l21600,xe">
                <v:stroke joinstyle="miter"/>
                <v:path gradientshapeok="t" o:connecttype="rect"/>
              </v:shapetype>
              <v:shape id="Text Box 1" o:spid="_x0000_s1026" type="#_x0000_t202" style="position:absolute;margin-left:0;margin-top:3.55pt;width:520.25pt;height:46.9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">
                <v:textbox style="mso-fit-shape-to-text:t">
                  <w:txbxContent>
                    <w:p w14:paraId="6A8F17F0" w14:textId="77777777" w:rsidR="00484C57" w:rsidRDefault="00484C57" w:rsidP="00466DD9">
                      <w:pPr>
                        <w:jc w:val="both"/>
                        <w:rPr>
                          <w:rFonts w:ascii="Times New Roman" w:hAnsi="Times New Roman" w:cs="Times New Roman"/>
                          <w:sz w:val="24"/>
                          <w:szCs w:val="24"/>
                        </w:rPr>
                      </w:pPr>
                      <w:r>
                        <w:rPr>
                          <w:rFonts w:ascii="Times New Roman" w:hAnsi="Times New Roman" w:cs="Times New Roman"/>
                          <w:b/>
                          <w:bCs/>
                          <w:sz w:val="24"/>
                          <w:szCs w:val="24"/>
                        </w:rPr>
                        <w:t>Supplementary Table 2</w:t>
                      </w:r>
                      <w:r>
                        <w:rPr>
                          <w:rFonts w:ascii="Times New Roman" w:hAnsi="Times New Roman" w:cs="Times New Roman"/>
                          <w:sz w:val="24"/>
                          <w:szCs w:val="24"/>
                        </w:rPr>
                        <w:t xml:space="preserve"> An extensive literature search was done, and the above-mentioned studies were utilized to estimate the success of the interventions as well as transition probabilities.</w:t>
                      </w:r>
                    </w:p>
                  </w:txbxContent>
                </v:textbox>
                <w10:wrap type="square"/>
              </v:shape>
            </w:pict>
          </mc:Fallback>
        </mc:AlternateContent>
      </w:r>
    </w:p>
    <w:p w14:paraId="2E228C5F" w14:textId="77777777" w:rsidR="00484C57" w:rsidRDefault="00484C57" w:rsidP="00466DD9"/>
    <w:p w14:paraId="7E6FE89B" w14:textId="77777777" w:rsidR="00484C57" w:rsidRDefault="00484C57" w:rsidP="00466DD9"/>
    <w:p w14:paraId="263B892E" w14:textId="77777777" w:rsidR="00484C57" w:rsidRDefault="00484C57" w:rsidP="00466DD9"/>
    <w:p w14:paraId="550A81C0" w14:textId="77777777" w:rsidR="00484C57" w:rsidRDefault="00484C57" w:rsidP="00466DD9"/>
    <w:p w14:paraId="0F208D00" w14:textId="77777777" w:rsidR="00484C57" w:rsidRDefault="00484C57" w:rsidP="00466DD9"/>
    <w:p w14:paraId="6ECE0234" w14:textId="77777777" w:rsidR="00484C57" w:rsidRDefault="00484C57" w:rsidP="00466DD9"/>
    <w:p w14:paraId="7037707C" w14:textId="77777777" w:rsidR="00484C57" w:rsidRDefault="00484C57" w:rsidP="00466DD9"/>
    <w:p w14:paraId="19E33EF5" w14:textId="77777777" w:rsidR="00484C57" w:rsidRDefault="00484C57" w:rsidP="00466DD9"/>
    <w:p w14:paraId="3DF304DC" w14:textId="77777777" w:rsidR="00484C57" w:rsidRPr="00466DD9" w:rsidRDefault="00484C57" w:rsidP="00466DD9"/>
    <w:p w14:paraId="2F0E4D2E" w14:textId="77777777" w:rsidR="00484C57" w:rsidRDefault="00484C57"/>
    <w:p w14:paraId="52B3AEB5" w14:textId="77777777" w:rsidR="00484C57" w:rsidRDefault="00484C57"/>
    <w:p w14:paraId="52423D27" w14:textId="77777777" w:rsidR="00484C57" w:rsidRDefault="00484C57">
      <w:pPr>
        <w:rPr>
          <w:rFonts w:ascii="Times New Roman" w:hAnsi="Times New Roman" w:cs="Times New Roman"/>
          <w:b/>
          <w:bCs/>
          <w:noProof/>
          <w:sz w:val="24"/>
          <w:szCs w:val="24"/>
        </w:rPr>
      </w:pPr>
    </w:p>
    <w:p w14:paraId="5230F47B" w14:textId="77777777" w:rsidR="00484C57" w:rsidRPr="00180F54" w:rsidRDefault="00484C57" w:rsidP="00180F54"/>
    <w:p w14:paraId="3B20016E" w14:textId="77777777" w:rsidR="00484C57" w:rsidRPr="00180F54" w:rsidRDefault="00484C57" w:rsidP="00180F54"/>
    <w:p w14:paraId="55E39E45" w14:textId="77777777" w:rsidR="00484C57" w:rsidRDefault="00484C57" w:rsidP="00180F54">
      <w:pPr>
        <w:tabs>
          <w:tab w:val="left" w:pos="5696"/>
        </w:tabs>
      </w:pPr>
    </w:p>
    <w:p w14:paraId="183B9795" w14:textId="77777777" w:rsidR="00484C57" w:rsidRDefault="00484C57" w:rsidP="00180F54">
      <w:pPr>
        <w:tabs>
          <w:tab w:val="left" w:pos="5696"/>
        </w:tabs>
      </w:pPr>
    </w:p>
    <w:p w14:paraId="4132F2CA" w14:textId="77777777" w:rsidR="00484C57" w:rsidRDefault="00484C57" w:rsidP="00180F54">
      <w:pPr>
        <w:tabs>
          <w:tab w:val="left" w:pos="5696"/>
        </w:tabs>
      </w:pPr>
    </w:p>
    <w:p w14:paraId="5A990A0B" w14:textId="77777777" w:rsidR="00484C57" w:rsidRDefault="00484C57" w:rsidP="00180F54">
      <w:pPr>
        <w:tabs>
          <w:tab w:val="left" w:pos="5696"/>
        </w:tabs>
      </w:pPr>
    </w:p>
    <w:p w14:paraId="3C233FF5" w14:textId="77777777" w:rsidR="00484C57" w:rsidRDefault="00484C57" w:rsidP="00180F54">
      <w:pPr>
        <w:tabs>
          <w:tab w:val="left" w:pos="5696"/>
        </w:tabs>
      </w:pPr>
    </w:p>
    <w:p w14:paraId="2F596C6D" w14:textId="77777777" w:rsidR="00484C57" w:rsidRDefault="00484C57" w:rsidP="00180F54">
      <w:pPr>
        <w:tabs>
          <w:tab w:val="left" w:pos="5696"/>
        </w:tabs>
      </w:pPr>
      <w:r>
        <w:tab/>
      </w:r>
    </w:p>
    <w:p w14:paraId="14A163F2" w14:textId="77777777" w:rsidR="00484C57" w:rsidRDefault="00484C57" w:rsidP="00180F54">
      <w:pPr>
        <w:tabs>
          <w:tab w:val="left" w:pos="5696"/>
        </w:tabs>
      </w:pPr>
    </w:p>
    <w:tbl>
      <w:tblPr>
        <w:tblStyle w:val="TableGrid"/>
        <w:tblW w:w="9985" w:type="dxa"/>
        <w:tblLook w:val="04A0" w:firstRow="1" w:lastRow="0" w:firstColumn="1" w:lastColumn="0" w:noHBand="0" w:noVBand="1"/>
      </w:tblPr>
      <w:tblGrid>
        <w:gridCol w:w="6655"/>
        <w:gridCol w:w="3330"/>
      </w:tblGrid>
      <w:tr w:rsidR="00484C57" w:rsidRPr="00352D26" w14:paraId="5CC48082" w14:textId="77777777" w:rsidTr="00C46E11">
        <w:trPr>
          <w:trHeight w:val="521"/>
        </w:trPr>
        <w:tc>
          <w:tcPr>
            <w:tcW w:w="6655" w:type="dxa"/>
          </w:tcPr>
          <w:p w14:paraId="0E84064C" w14:textId="77777777" w:rsidR="00484C57" w:rsidRPr="00352D26" w:rsidRDefault="00484C57" w:rsidP="00C46E1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Input parameters</w:t>
            </w:r>
          </w:p>
        </w:tc>
        <w:tc>
          <w:tcPr>
            <w:tcW w:w="3330" w:type="dxa"/>
          </w:tcPr>
          <w:p w14:paraId="79F23ABE" w14:textId="77777777" w:rsidR="00484C57" w:rsidRPr="00352D26" w:rsidRDefault="00484C57" w:rsidP="00C46E1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Mean ± SD values</w:t>
            </w:r>
          </w:p>
        </w:tc>
      </w:tr>
      <w:tr w:rsidR="00484C57" w:rsidRPr="00352D26" w14:paraId="3F470B3A" w14:textId="77777777" w:rsidTr="00C46E11">
        <w:tc>
          <w:tcPr>
            <w:tcW w:w="6655" w:type="dxa"/>
          </w:tcPr>
          <w:p w14:paraId="313BC107" w14:textId="77777777" w:rsidR="00484C57" w:rsidRPr="00352D26" w:rsidRDefault="00484C57" w:rsidP="00A0019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Pulpotomy </w:t>
            </w:r>
          </w:p>
        </w:tc>
        <w:tc>
          <w:tcPr>
            <w:tcW w:w="3330" w:type="dxa"/>
          </w:tcPr>
          <w:p w14:paraId="5C68E5DC" w14:textId="77777777" w:rsidR="00484C57" w:rsidRPr="00352D26" w:rsidRDefault="00484C57" w:rsidP="00A00196">
            <w:pPr>
              <w:spacing w:line="480" w:lineRule="auto"/>
              <w:jc w:val="center"/>
              <w:rPr>
                <w:rFonts w:ascii="Times New Roman" w:hAnsi="Times New Roman" w:cs="Times New Roman"/>
                <w:sz w:val="24"/>
                <w:szCs w:val="24"/>
              </w:rPr>
            </w:pPr>
            <w:r>
              <w:rPr>
                <w:rFonts w:ascii="Times New Roman" w:hAnsi="Times New Roman" w:cs="Times New Roman"/>
                <w:sz w:val="24"/>
                <w:szCs w:val="24"/>
              </w:rPr>
              <w:t>210.50 ± 10%</w:t>
            </w:r>
          </w:p>
        </w:tc>
      </w:tr>
      <w:tr w:rsidR="000330E8" w:rsidRPr="00352D26" w14:paraId="513D276E" w14:textId="77777777" w:rsidTr="00C46E11">
        <w:tc>
          <w:tcPr>
            <w:tcW w:w="6655" w:type="dxa"/>
          </w:tcPr>
          <w:p w14:paraId="6573AEE2" w14:textId="68888AC8" w:rsidR="000330E8" w:rsidRDefault="000330E8" w:rsidP="000330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Root canal treatment </w:t>
            </w:r>
          </w:p>
        </w:tc>
        <w:tc>
          <w:tcPr>
            <w:tcW w:w="3330" w:type="dxa"/>
          </w:tcPr>
          <w:p w14:paraId="2209137B" w14:textId="5941165D" w:rsidR="000330E8"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1,109.31 ± 10%</w:t>
            </w:r>
          </w:p>
        </w:tc>
      </w:tr>
      <w:tr w:rsidR="000330E8" w:rsidRPr="00352D26" w14:paraId="6C210852" w14:textId="77777777" w:rsidTr="00C46E11">
        <w:tc>
          <w:tcPr>
            <w:tcW w:w="6655" w:type="dxa"/>
          </w:tcPr>
          <w:p w14:paraId="238695E6" w14:textId="77777777" w:rsidR="000330E8" w:rsidRPr="00352D26" w:rsidRDefault="000330E8" w:rsidP="000330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Direct composite restoration </w:t>
            </w:r>
          </w:p>
        </w:tc>
        <w:tc>
          <w:tcPr>
            <w:tcW w:w="3330" w:type="dxa"/>
          </w:tcPr>
          <w:p w14:paraId="7D316C9F" w14:textId="77777777" w:rsidR="000330E8" w:rsidRPr="00352D26"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294.82 ± 10%</w:t>
            </w:r>
          </w:p>
        </w:tc>
      </w:tr>
      <w:tr w:rsidR="000330E8" w:rsidRPr="00352D26" w14:paraId="21C1D881" w14:textId="77777777" w:rsidTr="00C46E11">
        <w:tc>
          <w:tcPr>
            <w:tcW w:w="6655" w:type="dxa"/>
          </w:tcPr>
          <w:p w14:paraId="4A4915AB" w14:textId="77777777" w:rsidR="000330E8" w:rsidRPr="00352D26" w:rsidRDefault="000330E8" w:rsidP="000330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Crown (porcelain fused to metal)  </w:t>
            </w:r>
          </w:p>
        </w:tc>
        <w:tc>
          <w:tcPr>
            <w:tcW w:w="3330" w:type="dxa"/>
          </w:tcPr>
          <w:p w14:paraId="70D11FE7" w14:textId="77777777" w:rsidR="000330E8" w:rsidRPr="00352D26"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1,095.76 ± 10%</w:t>
            </w:r>
          </w:p>
        </w:tc>
      </w:tr>
      <w:tr w:rsidR="000330E8" w:rsidRPr="00352D26" w14:paraId="7C1BD1E2" w14:textId="77777777" w:rsidTr="00C46E11">
        <w:tc>
          <w:tcPr>
            <w:tcW w:w="6655" w:type="dxa"/>
          </w:tcPr>
          <w:p w14:paraId="249BA2CF" w14:textId="77777777" w:rsidR="000330E8" w:rsidRPr="00352D26" w:rsidRDefault="000330E8" w:rsidP="000330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Nonsurgical retreatment </w:t>
            </w:r>
          </w:p>
        </w:tc>
        <w:tc>
          <w:tcPr>
            <w:tcW w:w="3330" w:type="dxa"/>
          </w:tcPr>
          <w:p w14:paraId="01C19FCB" w14:textId="77777777" w:rsidR="000330E8" w:rsidRPr="00352D26"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1,246.06 ± 10%</w:t>
            </w:r>
          </w:p>
        </w:tc>
      </w:tr>
      <w:tr w:rsidR="000330E8" w:rsidRPr="00352D26" w14:paraId="60E93AAD" w14:textId="77777777" w:rsidTr="00C46E11">
        <w:tc>
          <w:tcPr>
            <w:tcW w:w="6655" w:type="dxa"/>
          </w:tcPr>
          <w:p w14:paraId="524FD293" w14:textId="77777777" w:rsidR="000330E8" w:rsidRPr="00352D26" w:rsidRDefault="000330E8" w:rsidP="000330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Surgical retreatment </w:t>
            </w:r>
          </w:p>
        </w:tc>
        <w:tc>
          <w:tcPr>
            <w:tcW w:w="3330" w:type="dxa"/>
          </w:tcPr>
          <w:p w14:paraId="5B4E2B8A" w14:textId="77777777" w:rsidR="000330E8" w:rsidRPr="00352D26"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961.87 ± 10%</w:t>
            </w:r>
          </w:p>
        </w:tc>
      </w:tr>
      <w:tr w:rsidR="000330E8" w:rsidRPr="00352D26" w14:paraId="0FCEEBCB" w14:textId="77777777" w:rsidTr="00C46E11">
        <w:tc>
          <w:tcPr>
            <w:tcW w:w="6655" w:type="dxa"/>
          </w:tcPr>
          <w:p w14:paraId="6E7CEE1D" w14:textId="77777777" w:rsidR="000330E8" w:rsidRPr="00352D26" w:rsidRDefault="000330E8" w:rsidP="000330E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Extraction </w:t>
            </w:r>
          </w:p>
        </w:tc>
        <w:tc>
          <w:tcPr>
            <w:tcW w:w="3330" w:type="dxa"/>
          </w:tcPr>
          <w:p w14:paraId="49C7C49F" w14:textId="77777777" w:rsidR="000330E8" w:rsidRPr="00352D26"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189.83 ± 10%</w:t>
            </w:r>
          </w:p>
        </w:tc>
      </w:tr>
      <w:tr w:rsidR="000330E8" w:rsidRPr="00352D26" w14:paraId="2FF08F2F" w14:textId="77777777" w:rsidTr="00C46E11">
        <w:tc>
          <w:tcPr>
            <w:tcW w:w="6655" w:type="dxa"/>
          </w:tcPr>
          <w:p w14:paraId="10389108" w14:textId="77777777" w:rsidR="000330E8" w:rsidRPr="00352D26" w:rsidRDefault="000330E8" w:rsidP="000330E8">
            <w:pPr>
              <w:tabs>
                <w:tab w:val="left" w:pos="186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Success probability of pulpotomy </w:t>
            </w:r>
          </w:p>
        </w:tc>
        <w:tc>
          <w:tcPr>
            <w:tcW w:w="3330" w:type="dxa"/>
          </w:tcPr>
          <w:p w14:paraId="6520A1EB" w14:textId="77777777" w:rsidR="000330E8" w:rsidRPr="00352D26"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0.05 ± 0.02</w:t>
            </w:r>
          </w:p>
        </w:tc>
      </w:tr>
      <w:tr w:rsidR="000330E8" w:rsidRPr="00352D26" w14:paraId="1E5C454B" w14:textId="77777777" w:rsidTr="00C46E11">
        <w:tc>
          <w:tcPr>
            <w:tcW w:w="6655" w:type="dxa"/>
          </w:tcPr>
          <w:p w14:paraId="3AB1DD9C" w14:textId="77777777" w:rsidR="000330E8" w:rsidRDefault="000330E8" w:rsidP="000330E8">
            <w:pPr>
              <w:tabs>
                <w:tab w:val="left" w:pos="1860"/>
              </w:tabs>
              <w:spacing w:line="480" w:lineRule="auto"/>
              <w:jc w:val="both"/>
              <w:rPr>
                <w:rFonts w:ascii="Times New Roman" w:hAnsi="Times New Roman" w:cs="Times New Roman"/>
                <w:sz w:val="24"/>
                <w:szCs w:val="24"/>
              </w:rPr>
            </w:pPr>
            <w:r>
              <w:rPr>
                <w:rFonts w:ascii="Times New Roman" w:hAnsi="Times New Roman" w:cs="Times New Roman"/>
                <w:sz w:val="24"/>
                <w:szCs w:val="24"/>
              </w:rPr>
              <w:t>Success probability of root canal treatment</w:t>
            </w:r>
          </w:p>
        </w:tc>
        <w:tc>
          <w:tcPr>
            <w:tcW w:w="3330" w:type="dxa"/>
          </w:tcPr>
          <w:p w14:paraId="548F73DA" w14:textId="77777777" w:rsidR="000330E8" w:rsidRDefault="000330E8" w:rsidP="000330E8">
            <w:pPr>
              <w:spacing w:line="480" w:lineRule="auto"/>
              <w:jc w:val="center"/>
              <w:rPr>
                <w:rFonts w:ascii="Times New Roman" w:hAnsi="Times New Roman" w:cs="Times New Roman"/>
                <w:sz w:val="24"/>
                <w:szCs w:val="24"/>
              </w:rPr>
            </w:pPr>
            <w:r>
              <w:rPr>
                <w:rFonts w:ascii="Times New Roman" w:hAnsi="Times New Roman" w:cs="Times New Roman"/>
                <w:sz w:val="24"/>
                <w:szCs w:val="24"/>
              </w:rPr>
              <w:t>0.03 ± 0.02</w:t>
            </w:r>
          </w:p>
        </w:tc>
      </w:tr>
    </w:tbl>
    <w:p w14:paraId="08F31008" w14:textId="77777777" w:rsidR="003D5B86" w:rsidRDefault="00484C57" w:rsidP="00180F54">
      <w:pPr>
        <w:tabs>
          <w:tab w:val="left" w:pos="5696"/>
        </w:tabs>
        <w:rPr>
          <w:rFonts w:ascii="Times New Roman" w:hAnsi="Times New Roman" w:cs="Times New Roman"/>
          <w:b/>
          <w:bCs/>
          <w:sz w:val="24"/>
          <w:szCs w:val="24"/>
        </w:rPr>
      </w:pPr>
      <w:r w:rsidRPr="003D5B8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00C93B8" wp14:editId="2D8BE2F8">
                <wp:simplePos x="0" y="0"/>
                <wp:positionH relativeFrom="margin">
                  <wp:posOffset>25400</wp:posOffset>
                </wp:positionH>
                <wp:positionV relativeFrom="paragraph">
                  <wp:posOffset>30641</wp:posOffset>
                </wp:positionV>
                <wp:extent cx="6236970" cy="51816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236970" cy="518160"/>
                        </a:xfrm>
                        <a:prstGeom prst="rect">
                          <a:avLst/>
                        </a:prstGeom>
                        <a:solidFill>
                          <a:prstClr val="white"/>
                        </a:solidFill>
                        <a:ln>
                          <a:noFill/>
                        </a:ln>
                      </wps:spPr>
                      <wps:txbx>
                        <w:txbxContent>
                          <w:p w14:paraId="339C6946" w14:textId="77777777" w:rsidR="00484C57" w:rsidRPr="00A12122" w:rsidRDefault="00484C57" w:rsidP="00180F54">
                            <w:pPr>
                              <w:pStyle w:val="Caption"/>
                              <w:jc w:val="center"/>
                              <w:rPr>
                                <w:rFonts w:ascii="Times New Roman" w:hAnsi="Times New Roman" w:cs="Times New Roman"/>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Supplementary </w:t>
                            </w:r>
                            <w:r w:rsidRPr="00721505">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t xml:space="preserve">3: </w:t>
                            </w:r>
                            <w:r>
                              <w:rPr>
                                <w:rFonts w:ascii="Times New Roman" w:hAnsi="Times New Roman" w:cs="Times New Roman"/>
                                <w:i w:val="0"/>
                                <w:iCs w:val="0"/>
                                <w:color w:val="000000" w:themeColor="text1"/>
                                <w:sz w:val="24"/>
                                <w:szCs w:val="24"/>
                              </w:rPr>
                              <w:t>Mean and SD values for</w:t>
                            </w:r>
                            <w:r w:rsidRPr="00A57827">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input parameters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C93B8" id="Text Box 6" o:spid="_x0000_s1027" type="#_x0000_t202" style="position:absolute;margin-left:2pt;margin-top:2.4pt;width:491.1pt;height:4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" stroked="f">
                <v:textbox inset="0,0,0,0">
                  <w:txbxContent>
                    <w:p w14:paraId="339C6946" w14:textId="77777777" w:rsidR="00484C57" w:rsidRPr="00A12122" w:rsidRDefault="00484C57" w:rsidP="00180F54">
                      <w:pPr>
                        <w:pStyle w:val="Caption"/>
                        <w:jc w:val="center"/>
                        <w:rPr>
                          <w:rFonts w:ascii="Times New Roman" w:hAnsi="Times New Roman" w:cs="Times New Roman"/>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Supplementary </w:t>
                      </w:r>
                      <w:r w:rsidRPr="00721505">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t xml:space="preserve">3: </w:t>
                      </w:r>
                      <w:r>
                        <w:rPr>
                          <w:rFonts w:ascii="Times New Roman" w:hAnsi="Times New Roman" w:cs="Times New Roman"/>
                          <w:i w:val="0"/>
                          <w:iCs w:val="0"/>
                          <w:color w:val="000000" w:themeColor="text1"/>
                          <w:sz w:val="24"/>
                          <w:szCs w:val="24"/>
                        </w:rPr>
                        <w:t>Mean and SD values for</w:t>
                      </w:r>
                      <w:r w:rsidRPr="00A57827">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input parameters</w:t>
                      </w:r>
                    </w:p>
                  </w:txbxContent>
                </v:textbox>
                <w10:wrap type="square" anchorx="margin"/>
              </v:shape>
            </w:pict>
          </mc:Fallback>
        </mc:AlternateContent>
      </w:r>
      <w:r w:rsidR="003D5B86" w:rsidRPr="003D5B86">
        <w:rPr>
          <w:rFonts w:ascii="Times New Roman" w:hAnsi="Times New Roman" w:cs="Times New Roman"/>
          <w:b/>
          <w:bCs/>
          <w:sz w:val="24"/>
          <w:szCs w:val="24"/>
        </w:rPr>
        <w:t xml:space="preserve">Link to the model file: </w:t>
      </w:r>
    </w:p>
    <w:p w14:paraId="54DB1294" w14:textId="4996C541" w:rsidR="00484C57" w:rsidRPr="003D5B86" w:rsidRDefault="003D5B86" w:rsidP="00180F54">
      <w:pPr>
        <w:tabs>
          <w:tab w:val="left" w:pos="5696"/>
        </w:tabs>
        <w:rPr>
          <w:rFonts w:ascii="Times New Roman" w:hAnsi="Times New Roman" w:cs="Times New Roman"/>
          <w:b/>
          <w:bCs/>
        </w:rPr>
      </w:pPr>
      <w:hyperlink r:id="rId5" w:history="1">
        <w:r w:rsidRPr="004F47F2">
          <w:rPr>
            <w:rStyle w:val="Hyperlink"/>
            <w:rFonts w:ascii="Times New Roman" w:hAnsi="Times New Roman" w:cs="Times New Roman"/>
            <w:b/>
            <w:bCs/>
            <w:sz w:val="24"/>
            <w:szCs w:val="24"/>
          </w:rPr>
          <w:t>https://drive.google.com/file/d/1qjnD6</w:t>
        </w:r>
        <w:r w:rsidRPr="004F47F2">
          <w:rPr>
            <w:rStyle w:val="Hyperlink"/>
            <w:rFonts w:ascii="Times New Roman" w:hAnsi="Times New Roman" w:cs="Times New Roman"/>
            <w:b/>
            <w:bCs/>
            <w:sz w:val="24"/>
            <w:szCs w:val="24"/>
          </w:rPr>
          <w:t>L</w:t>
        </w:r>
        <w:r w:rsidRPr="004F47F2">
          <w:rPr>
            <w:rStyle w:val="Hyperlink"/>
            <w:rFonts w:ascii="Times New Roman" w:hAnsi="Times New Roman" w:cs="Times New Roman"/>
            <w:b/>
            <w:bCs/>
            <w:sz w:val="24"/>
            <w:szCs w:val="24"/>
          </w:rPr>
          <w:t>mhGRSDnoEcxdwvGa6M0i6w4Ghx/view?usp=sharing</w:t>
        </w:r>
      </w:hyperlink>
      <w:r w:rsidRPr="003D5B86">
        <w:rPr>
          <w:rFonts w:ascii="Times New Roman" w:hAnsi="Times New Roman" w:cs="Times New Roman"/>
          <w:b/>
          <w:bCs/>
          <w:sz w:val="24"/>
          <w:szCs w:val="24"/>
        </w:rPr>
        <w:t xml:space="preserve"> </w:t>
      </w:r>
    </w:p>
    <w:p w14:paraId="09F2EB7E" w14:textId="77777777" w:rsidR="003D5B86" w:rsidRDefault="003D5B86" w:rsidP="00A13444">
      <w:pPr>
        <w:tabs>
          <w:tab w:val="left" w:pos="5696"/>
        </w:tabs>
        <w:spacing w:line="480" w:lineRule="auto"/>
        <w:rPr>
          <w:rFonts w:ascii="Times New Roman" w:hAnsi="Times New Roman" w:cs="Times New Roman"/>
          <w:b/>
          <w:bCs/>
          <w:sz w:val="24"/>
          <w:szCs w:val="24"/>
        </w:rPr>
      </w:pPr>
    </w:p>
    <w:p w14:paraId="21BECEBC" w14:textId="77777777" w:rsidR="003D5B86" w:rsidRDefault="003D5B86" w:rsidP="00A13444">
      <w:pPr>
        <w:tabs>
          <w:tab w:val="left" w:pos="5696"/>
        </w:tabs>
        <w:spacing w:line="480" w:lineRule="auto"/>
        <w:rPr>
          <w:rFonts w:ascii="Times New Roman" w:hAnsi="Times New Roman" w:cs="Times New Roman"/>
          <w:b/>
          <w:bCs/>
          <w:sz w:val="24"/>
          <w:szCs w:val="24"/>
        </w:rPr>
      </w:pPr>
    </w:p>
    <w:p w14:paraId="1BD79E04" w14:textId="77777777" w:rsidR="003D5B86" w:rsidRDefault="003D5B86" w:rsidP="00A13444">
      <w:pPr>
        <w:tabs>
          <w:tab w:val="left" w:pos="5696"/>
        </w:tabs>
        <w:spacing w:line="480" w:lineRule="auto"/>
        <w:rPr>
          <w:rFonts w:ascii="Times New Roman" w:hAnsi="Times New Roman" w:cs="Times New Roman"/>
          <w:b/>
          <w:bCs/>
          <w:sz w:val="24"/>
          <w:szCs w:val="24"/>
        </w:rPr>
      </w:pPr>
    </w:p>
    <w:p w14:paraId="55C56B90" w14:textId="77777777" w:rsidR="003D5B86" w:rsidRDefault="003D5B86" w:rsidP="00A13444">
      <w:pPr>
        <w:tabs>
          <w:tab w:val="left" w:pos="5696"/>
        </w:tabs>
        <w:spacing w:line="480" w:lineRule="auto"/>
        <w:rPr>
          <w:rFonts w:ascii="Times New Roman" w:hAnsi="Times New Roman" w:cs="Times New Roman"/>
          <w:b/>
          <w:bCs/>
          <w:sz w:val="24"/>
          <w:szCs w:val="24"/>
        </w:rPr>
      </w:pPr>
    </w:p>
    <w:p w14:paraId="02C881BD" w14:textId="77777777" w:rsidR="003D5B86" w:rsidRDefault="003D5B86" w:rsidP="00A13444">
      <w:pPr>
        <w:tabs>
          <w:tab w:val="left" w:pos="5696"/>
        </w:tabs>
        <w:spacing w:line="480" w:lineRule="auto"/>
        <w:rPr>
          <w:rFonts w:ascii="Times New Roman" w:hAnsi="Times New Roman" w:cs="Times New Roman"/>
          <w:b/>
          <w:bCs/>
          <w:sz w:val="24"/>
          <w:szCs w:val="24"/>
        </w:rPr>
      </w:pPr>
    </w:p>
    <w:p w14:paraId="02966947" w14:textId="77777777" w:rsidR="003D5B86" w:rsidRDefault="003D5B86" w:rsidP="00A13444">
      <w:pPr>
        <w:tabs>
          <w:tab w:val="left" w:pos="5696"/>
        </w:tabs>
        <w:spacing w:line="480" w:lineRule="auto"/>
        <w:rPr>
          <w:rFonts w:ascii="Times New Roman" w:hAnsi="Times New Roman" w:cs="Times New Roman"/>
          <w:b/>
          <w:bCs/>
          <w:sz w:val="24"/>
          <w:szCs w:val="24"/>
        </w:rPr>
      </w:pPr>
    </w:p>
    <w:p w14:paraId="528F6675" w14:textId="77777777" w:rsidR="003D5B86" w:rsidRDefault="003D5B86" w:rsidP="00A13444">
      <w:pPr>
        <w:tabs>
          <w:tab w:val="left" w:pos="5696"/>
        </w:tabs>
        <w:spacing w:line="480" w:lineRule="auto"/>
        <w:rPr>
          <w:rFonts w:ascii="Times New Roman" w:hAnsi="Times New Roman" w:cs="Times New Roman"/>
          <w:b/>
          <w:bCs/>
          <w:sz w:val="24"/>
          <w:szCs w:val="24"/>
        </w:rPr>
      </w:pPr>
    </w:p>
    <w:p w14:paraId="7364AAC7" w14:textId="5F517200" w:rsidR="00484C57" w:rsidRPr="00A13444" w:rsidRDefault="00484C57" w:rsidP="00A13444">
      <w:pPr>
        <w:tabs>
          <w:tab w:val="left" w:pos="5696"/>
        </w:tabs>
        <w:spacing w:line="480" w:lineRule="auto"/>
        <w:rPr>
          <w:rFonts w:ascii="Times New Roman" w:hAnsi="Times New Roman" w:cs="Times New Roman"/>
          <w:b/>
          <w:bCs/>
          <w:sz w:val="24"/>
          <w:szCs w:val="24"/>
        </w:rPr>
      </w:pPr>
      <w:r w:rsidRPr="00A13444">
        <w:rPr>
          <w:rFonts w:ascii="Times New Roman" w:hAnsi="Times New Roman" w:cs="Times New Roman"/>
          <w:b/>
          <w:bCs/>
          <w:sz w:val="24"/>
          <w:szCs w:val="24"/>
        </w:rPr>
        <w:lastRenderedPageBreak/>
        <w:t>References:</w:t>
      </w:r>
    </w:p>
    <w:p w14:paraId="77F88D86" w14:textId="44762B7B"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w:t>
      </w:r>
      <w:r w:rsidRPr="00A13444">
        <w:rPr>
          <w:rFonts w:ascii="Times New Roman" w:hAnsi="Times New Roman" w:cs="Times New Roman"/>
          <w:sz w:val="24"/>
          <w:szCs w:val="24"/>
        </w:rPr>
        <w:tab/>
        <w:t xml:space="preserve"> [Available from: </w:t>
      </w:r>
      <w:hyperlink r:id="rId6" w:history="1">
        <w:r w:rsidR="00A13444" w:rsidRPr="004F47F2">
          <w:rPr>
            <w:rStyle w:val="Hyperlink"/>
            <w:rFonts w:ascii="Times New Roman" w:hAnsi="Times New Roman" w:cs="Times New Roman"/>
            <w:sz w:val="24"/>
            <w:szCs w:val="24"/>
          </w:rPr>
          <w:t>https://yhec.co.uk/glossary/economic-evaluation</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155A49FD"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2.</w:t>
      </w:r>
      <w:r w:rsidRPr="00A13444">
        <w:rPr>
          <w:rFonts w:ascii="Times New Roman" w:hAnsi="Times New Roman" w:cs="Times New Roman"/>
          <w:sz w:val="24"/>
          <w:szCs w:val="24"/>
        </w:rPr>
        <w:tab/>
        <w:t>Rogers HJ, Freitas RD, Beeson MJ, Vernazza CR. Economic evaluations in paediatric dentistry clinical trials. Int J Paediatr Dent. 2020;31 Suppl 1:56-65.</w:t>
      </w:r>
    </w:p>
    <w:p w14:paraId="43D52F93" w14:textId="1FB3C09C"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3.</w:t>
      </w:r>
      <w:r w:rsidRPr="00A13444">
        <w:rPr>
          <w:rFonts w:ascii="Times New Roman" w:hAnsi="Times New Roman" w:cs="Times New Roman"/>
          <w:sz w:val="24"/>
          <w:szCs w:val="24"/>
        </w:rPr>
        <w:tab/>
        <w:t xml:space="preserve"> [Available from: </w:t>
      </w:r>
      <w:hyperlink r:id="rId7" w:history="1">
        <w:r w:rsidR="00A13444" w:rsidRPr="004F47F2">
          <w:rPr>
            <w:rStyle w:val="Hyperlink"/>
            <w:rFonts w:ascii="Times New Roman" w:hAnsi="Times New Roman" w:cs="Times New Roman"/>
            <w:sz w:val="24"/>
            <w:szCs w:val="24"/>
          </w:rPr>
          <w:t>https://yhec.co.uk/glossary/cost-benefit-analysis</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648EEAE0" w14:textId="42DAEF7C"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4.</w:t>
      </w:r>
      <w:r w:rsidRPr="00A13444">
        <w:rPr>
          <w:rFonts w:ascii="Times New Roman" w:hAnsi="Times New Roman" w:cs="Times New Roman"/>
          <w:sz w:val="24"/>
          <w:szCs w:val="24"/>
        </w:rPr>
        <w:tab/>
        <w:t xml:space="preserve"> [Available from: </w:t>
      </w:r>
      <w:hyperlink r:id="rId8" w:history="1">
        <w:r w:rsidR="00A13444" w:rsidRPr="004F47F2">
          <w:rPr>
            <w:rStyle w:val="Hyperlink"/>
            <w:rFonts w:ascii="Times New Roman" w:hAnsi="Times New Roman" w:cs="Times New Roman"/>
            <w:sz w:val="24"/>
            <w:szCs w:val="24"/>
          </w:rPr>
          <w:t>https://www.gov.uk/guidance/cost-utility-analysis-health-economic-studies</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59D5705C" w14:textId="4852ACF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5.</w:t>
      </w:r>
      <w:r w:rsidRPr="00A13444">
        <w:rPr>
          <w:rFonts w:ascii="Times New Roman" w:hAnsi="Times New Roman" w:cs="Times New Roman"/>
          <w:sz w:val="24"/>
          <w:szCs w:val="24"/>
        </w:rPr>
        <w:tab/>
        <w:t xml:space="preserve"> [Available from: </w:t>
      </w:r>
      <w:hyperlink r:id="rId9" w:history="1">
        <w:r w:rsidR="00A13444" w:rsidRPr="004F47F2">
          <w:rPr>
            <w:rStyle w:val="Hyperlink"/>
            <w:rFonts w:ascii="Times New Roman" w:hAnsi="Times New Roman" w:cs="Times New Roman"/>
            <w:sz w:val="24"/>
            <w:szCs w:val="24"/>
          </w:rPr>
          <w:t>https://yhec.co.uk/glossary/cost-minimisation-analysis</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6C446338" w14:textId="2974A53B"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6.</w:t>
      </w:r>
      <w:r w:rsidRPr="00A13444">
        <w:rPr>
          <w:rFonts w:ascii="Times New Roman" w:hAnsi="Times New Roman" w:cs="Times New Roman"/>
          <w:sz w:val="24"/>
          <w:szCs w:val="24"/>
        </w:rPr>
        <w:tab/>
        <w:t xml:space="preserve">CEA.  [Available from: </w:t>
      </w:r>
      <w:hyperlink r:id="rId10" w:history="1">
        <w:r w:rsidR="00A13444" w:rsidRPr="004F47F2">
          <w:rPr>
            <w:rStyle w:val="Hyperlink"/>
            <w:rFonts w:ascii="Times New Roman" w:hAnsi="Times New Roman" w:cs="Times New Roman"/>
            <w:sz w:val="24"/>
            <w:szCs w:val="24"/>
          </w:rPr>
          <w:t>https://www.cdc.gov/policy/polaris/economics/cost-effectiveness/index.html</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169F4778" w14:textId="40D89871"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7.</w:t>
      </w:r>
      <w:r w:rsidRPr="00A13444">
        <w:rPr>
          <w:rFonts w:ascii="Times New Roman" w:hAnsi="Times New Roman" w:cs="Times New Roman"/>
          <w:sz w:val="24"/>
          <w:szCs w:val="24"/>
        </w:rPr>
        <w:tab/>
        <w:t xml:space="preserve">ICER.  [Available from: </w:t>
      </w:r>
      <w:hyperlink r:id="rId11" w:history="1">
        <w:r w:rsidR="00A13444" w:rsidRPr="004F47F2">
          <w:rPr>
            <w:rStyle w:val="Hyperlink"/>
            <w:rFonts w:ascii="Times New Roman" w:hAnsi="Times New Roman" w:cs="Times New Roman"/>
            <w:sz w:val="24"/>
            <w:szCs w:val="24"/>
          </w:rPr>
          <w:t>https://yhec.co.uk/glossary/incremental-cost-effectiveness-ratio-icer/</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77857E43" w14:textId="27DB3009"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8.</w:t>
      </w:r>
      <w:r w:rsidRPr="00A13444">
        <w:rPr>
          <w:rFonts w:ascii="Times New Roman" w:hAnsi="Times New Roman" w:cs="Times New Roman"/>
          <w:sz w:val="24"/>
          <w:szCs w:val="24"/>
        </w:rPr>
        <w:tab/>
        <w:t xml:space="preserve">WTP.  [Available from: </w:t>
      </w:r>
      <w:hyperlink r:id="rId12" w:history="1">
        <w:r w:rsidR="00A13444" w:rsidRPr="004F47F2">
          <w:rPr>
            <w:rStyle w:val="Hyperlink"/>
            <w:rFonts w:ascii="Times New Roman" w:hAnsi="Times New Roman" w:cs="Times New Roman"/>
            <w:sz w:val="24"/>
            <w:szCs w:val="24"/>
          </w:rPr>
          <w:t>https://yhec.co.uk/glossary/willingness-to-pay/</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5749CEF8" w14:textId="6631809A"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9.</w:t>
      </w:r>
      <w:r w:rsidRPr="00A13444">
        <w:rPr>
          <w:rFonts w:ascii="Times New Roman" w:hAnsi="Times New Roman" w:cs="Times New Roman"/>
          <w:sz w:val="24"/>
          <w:szCs w:val="24"/>
        </w:rPr>
        <w:tab/>
        <w:t xml:space="preserve">BCA.  [Available from: </w:t>
      </w:r>
      <w:hyperlink r:id="rId13" w:history="1">
        <w:r w:rsidR="00A13444" w:rsidRPr="004F47F2">
          <w:rPr>
            <w:rStyle w:val="Hyperlink"/>
            <w:rFonts w:ascii="Times New Roman" w:hAnsi="Times New Roman" w:cs="Times New Roman"/>
            <w:sz w:val="24"/>
            <w:szCs w:val="24"/>
          </w:rPr>
          <w:t>https://yhec.co.uk/glossary/base-case-analysis/</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4595D909" w14:textId="78BA0169"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10.</w:t>
      </w:r>
      <w:r w:rsidRPr="00A13444">
        <w:rPr>
          <w:rFonts w:ascii="Times New Roman" w:hAnsi="Times New Roman" w:cs="Times New Roman"/>
          <w:sz w:val="24"/>
          <w:szCs w:val="24"/>
        </w:rPr>
        <w:tab/>
        <w:t xml:space="preserve">PSA.  [Available from: </w:t>
      </w:r>
      <w:hyperlink r:id="rId14" w:history="1">
        <w:r w:rsidR="00A13444" w:rsidRPr="004F47F2">
          <w:rPr>
            <w:rStyle w:val="Hyperlink"/>
            <w:rFonts w:ascii="Times New Roman" w:hAnsi="Times New Roman" w:cs="Times New Roman"/>
            <w:sz w:val="24"/>
            <w:szCs w:val="24"/>
          </w:rPr>
          <w:t>https://yhec.co.uk/glossary/probabilistic-stochastic-sensitivity-analysis/</w:t>
        </w:r>
      </w:hyperlink>
      <w:r w:rsidRPr="00A13444">
        <w:rPr>
          <w:rFonts w:ascii="Times New Roman" w:hAnsi="Times New Roman" w:cs="Times New Roman"/>
          <w:sz w:val="24"/>
          <w:szCs w:val="24"/>
        </w:rPr>
        <w:t>.</w:t>
      </w:r>
      <w:r w:rsidR="00A13444">
        <w:rPr>
          <w:rFonts w:ascii="Times New Roman" w:hAnsi="Times New Roman" w:cs="Times New Roman"/>
          <w:sz w:val="24"/>
          <w:szCs w:val="24"/>
        </w:rPr>
        <w:t xml:space="preserve">] </w:t>
      </w:r>
      <w:r w:rsidR="00A13444">
        <w:rPr>
          <w:rFonts w:ascii="Times New Roman" w:hAnsi="Times New Roman" w:cs="Times New Roman"/>
          <w:sz w:val="24"/>
          <w:szCs w:val="24"/>
        </w:rPr>
        <w:t>[cited 2023 Dec 7]</w:t>
      </w:r>
    </w:p>
    <w:p w14:paraId="20B3F90D"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11.</w:t>
      </w:r>
      <w:r w:rsidRPr="00A13444">
        <w:rPr>
          <w:rFonts w:ascii="Times New Roman" w:hAnsi="Times New Roman" w:cs="Times New Roman"/>
          <w:sz w:val="24"/>
          <w:szCs w:val="24"/>
        </w:rPr>
        <w:tab/>
        <w:t>Ng YL, Mann V, Rahbaran S, Lewsey J, Gulabivala K. Outcome of primary root canal treatment: systematic review of the literature - part 1. Effects of study characteristics on probability of success. Int Endod J. 2007;40(12):921-39.</w:t>
      </w:r>
    </w:p>
    <w:p w14:paraId="336625D7"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lastRenderedPageBreak/>
        <w:t>12.</w:t>
      </w:r>
      <w:r w:rsidRPr="00A13444">
        <w:rPr>
          <w:rFonts w:ascii="Times New Roman" w:hAnsi="Times New Roman" w:cs="Times New Roman"/>
          <w:sz w:val="24"/>
          <w:szCs w:val="24"/>
        </w:rPr>
        <w:tab/>
        <w:t>Ng YL, Mann V, Rahbaran S, Lewsey J, Gulabivala K. Outcome of primary root canal treatment: systematic review of the literature -- Part 2. Influence of clinical factors. Int Endod J. 2008;41(1):6-31.</w:t>
      </w:r>
    </w:p>
    <w:p w14:paraId="70C672D5" w14:textId="1F36E315"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13.</w:t>
      </w:r>
      <w:r w:rsidRPr="00A13444">
        <w:rPr>
          <w:rFonts w:ascii="Times New Roman" w:hAnsi="Times New Roman" w:cs="Times New Roman"/>
          <w:sz w:val="24"/>
          <w:szCs w:val="24"/>
        </w:rPr>
        <w:tab/>
        <w:t xml:space="preserve">Salehrabi R, Rotstein I. Endodontic treatment outcomes in a large patient population in the USA: an epidemiological study. </w:t>
      </w:r>
      <w:r w:rsidR="0081780A" w:rsidRPr="00A13444">
        <w:rPr>
          <w:rFonts w:ascii="Times New Roman" w:hAnsi="Times New Roman" w:cs="Times New Roman"/>
          <w:sz w:val="24"/>
          <w:szCs w:val="24"/>
        </w:rPr>
        <w:t>J.</w:t>
      </w:r>
      <w:r w:rsidR="0081780A">
        <w:rPr>
          <w:rFonts w:ascii="Times New Roman" w:hAnsi="Times New Roman" w:cs="Times New Roman"/>
          <w:sz w:val="24"/>
          <w:szCs w:val="24"/>
        </w:rPr>
        <w:t xml:space="preserve"> Endod.</w:t>
      </w:r>
      <w:r w:rsidR="0081780A" w:rsidRPr="00A13444">
        <w:rPr>
          <w:rFonts w:ascii="Times New Roman" w:hAnsi="Times New Roman" w:cs="Times New Roman"/>
          <w:sz w:val="24"/>
          <w:szCs w:val="24"/>
        </w:rPr>
        <w:t xml:space="preserve"> </w:t>
      </w:r>
      <w:r w:rsidRPr="00A13444">
        <w:rPr>
          <w:rFonts w:ascii="Times New Roman" w:hAnsi="Times New Roman" w:cs="Times New Roman"/>
          <w:sz w:val="24"/>
          <w:szCs w:val="24"/>
        </w:rPr>
        <w:t>2004;30(12):846-50.</w:t>
      </w:r>
    </w:p>
    <w:p w14:paraId="08304B65"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14.</w:t>
      </w:r>
      <w:r w:rsidRPr="00A13444">
        <w:rPr>
          <w:rFonts w:ascii="Times New Roman" w:hAnsi="Times New Roman" w:cs="Times New Roman"/>
          <w:sz w:val="24"/>
          <w:szCs w:val="24"/>
        </w:rPr>
        <w:tab/>
        <w:t>Cushley S, Duncan HF, Lappin MJ, Tomson PL, Lundy FT, Cooper P, et al. Pulpotomy for mature carious teeth with symptoms of irreversible pulpitis: A systematic review. J Dent. 2019;88:103158.</w:t>
      </w:r>
    </w:p>
    <w:p w14:paraId="3FC91877"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15.</w:t>
      </w:r>
      <w:r w:rsidRPr="00A13444">
        <w:rPr>
          <w:rFonts w:ascii="Times New Roman" w:hAnsi="Times New Roman" w:cs="Times New Roman"/>
          <w:sz w:val="24"/>
          <w:szCs w:val="24"/>
        </w:rPr>
        <w:tab/>
        <w:t>Alqaderi H, Lee CT, Borzangy S, Pagonis TC. Coronal pulpotomy for cariously exposed permanent posterior teeth with closed apices: A systematic review and meta-analysis. J Dent. 2016;44:1-7.</w:t>
      </w:r>
    </w:p>
    <w:p w14:paraId="20BC5E9B"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16.</w:t>
      </w:r>
      <w:r w:rsidRPr="00A13444">
        <w:rPr>
          <w:rFonts w:ascii="Times New Roman" w:hAnsi="Times New Roman" w:cs="Times New Roman"/>
          <w:sz w:val="24"/>
          <w:szCs w:val="24"/>
        </w:rPr>
        <w:tab/>
        <w:t>Li Y, Sui B, Dahl C, Bergeron B, Shipman P, Niu L, et al. Pulpotomy for carious pulp exposures in permanent teeth: A systematic review and meta-analysis. J Dent. 2019;84:1-8.</w:t>
      </w:r>
    </w:p>
    <w:p w14:paraId="75861DD2" w14:textId="77777777" w:rsidR="00484C57" w:rsidRPr="00A13444" w:rsidRDefault="00484C57" w:rsidP="00A13444">
      <w:pPr>
        <w:pStyle w:val="EndNoteBibliography"/>
        <w:spacing w:after="0" w:line="480" w:lineRule="auto"/>
        <w:rPr>
          <w:rFonts w:ascii="Times New Roman" w:hAnsi="Times New Roman" w:cs="Times New Roman"/>
          <w:sz w:val="24"/>
          <w:szCs w:val="24"/>
        </w:rPr>
      </w:pPr>
      <w:r w:rsidRPr="00A13444">
        <w:rPr>
          <w:rFonts w:ascii="Times New Roman" w:hAnsi="Times New Roman" w:cs="Times New Roman"/>
          <w:sz w:val="24"/>
          <w:szCs w:val="24"/>
        </w:rPr>
        <w:t>17.</w:t>
      </w:r>
      <w:r w:rsidRPr="00A13444">
        <w:rPr>
          <w:rFonts w:ascii="Times New Roman" w:hAnsi="Times New Roman" w:cs="Times New Roman"/>
          <w:sz w:val="24"/>
          <w:szCs w:val="24"/>
        </w:rPr>
        <w:tab/>
        <w:t>Leong DJX, Yap AU. Vital pulp therapy in carious pulp-exposed permanent teeth: an umbrella review. Clin Oral Investig. 2021;25(12):6743-56.</w:t>
      </w:r>
    </w:p>
    <w:p w14:paraId="3533065D" w14:textId="7D4C8575" w:rsidR="00484C57" w:rsidRPr="00A13444" w:rsidRDefault="00484C57" w:rsidP="00A13444">
      <w:pPr>
        <w:pStyle w:val="EndNoteBibliography"/>
        <w:spacing w:line="480" w:lineRule="auto"/>
        <w:rPr>
          <w:rFonts w:ascii="Times New Roman" w:hAnsi="Times New Roman" w:cs="Times New Roman"/>
          <w:sz w:val="24"/>
          <w:szCs w:val="24"/>
        </w:rPr>
      </w:pPr>
      <w:r w:rsidRPr="00A13444">
        <w:rPr>
          <w:rFonts w:ascii="Times New Roman" w:hAnsi="Times New Roman" w:cs="Times New Roman"/>
          <w:sz w:val="24"/>
          <w:szCs w:val="24"/>
        </w:rPr>
        <w:t>18.</w:t>
      </w:r>
      <w:r w:rsidRPr="00A13444">
        <w:rPr>
          <w:rFonts w:ascii="Times New Roman" w:hAnsi="Times New Roman" w:cs="Times New Roman"/>
          <w:sz w:val="24"/>
          <w:szCs w:val="24"/>
        </w:rPr>
        <w:tab/>
        <w:t>Tan SY, Yu VSH, Lim KC, Tan BCK, Neo CLJ, Shen L, et al. Long-term Pulpal and Restorative Outcomes of Pulpotomy in Mature Permanent Teeth. J.</w:t>
      </w:r>
      <w:r w:rsidR="00A13444">
        <w:rPr>
          <w:rFonts w:ascii="Times New Roman" w:hAnsi="Times New Roman" w:cs="Times New Roman"/>
          <w:sz w:val="24"/>
          <w:szCs w:val="24"/>
        </w:rPr>
        <w:t xml:space="preserve"> Endod.</w:t>
      </w:r>
      <w:r w:rsidRPr="00A13444">
        <w:rPr>
          <w:rFonts w:ascii="Times New Roman" w:hAnsi="Times New Roman" w:cs="Times New Roman"/>
          <w:sz w:val="24"/>
          <w:szCs w:val="24"/>
        </w:rPr>
        <w:t xml:space="preserve"> 2020;46(3):383-90.</w:t>
      </w:r>
    </w:p>
    <w:p w14:paraId="0187E80B" w14:textId="77777777" w:rsidR="00484C57" w:rsidRPr="00180F54" w:rsidRDefault="00484C57" w:rsidP="00180F54">
      <w:pPr>
        <w:tabs>
          <w:tab w:val="left" w:pos="5696"/>
        </w:tabs>
      </w:pPr>
    </w:p>
    <w:p w14:paraId="55DDA1B2" w14:textId="77777777" w:rsidR="0014043B" w:rsidRDefault="0014043B"/>
    <w:sectPr w:rsidR="00140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A6995"/>
    <w:multiLevelType w:val="hybridMultilevel"/>
    <w:tmpl w:val="A3E65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58576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84C57"/>
    <w:rsid w:val="000330E8"/>
    <w:rsid w:val="0014043B"/>
    <w:rsid w:val="003D5B86"/>
    <w:rsid w:val="00484C57"/>
    <w:rsid w:val="0081780A"/>
    <w:rsid w:val="00A13444"/>
    <w:rsid w:val="00B7404C"/>
    <w:rsid w:val="00EC4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A4A55"/>
  <w15:chartTrackingRefBased/>
  <w15:docId w15:val="{CF7B6331-AA41-4BAD-99B4-EDF79B05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C57"/>
    <w:rPr>
      <w:kern w:val="0"/>
      <w14:ligatures w14:val="none"/>
    </w:rPr>
  </w:style>
  <w:style w:type="character" w:default="1" w:styleId="DefaultParagraphFont">
    <w:name w:val="Default Paragraph Font"/>
    <w:uiPriority w:val="1"/>
    <w:semiHidden/>
    <w:unhideWhenUsed/>
    <w:rsid w:val="00484C5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4C57"/>
  </w:style>
  <w:style w:type="table" w:styleId="TableGrid">
    <w:name w:val="Table Grid"/>
    <w:basedOn w:val="TableNormal"/>
    <w:uiPriority w:val="39"/>
    <w:rsid w:val="00484C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84C57"/>
    <w:pPr>
      <w:spacing w:after="200" w:line="240" w:lineRule="auto"/>
    </w:pPr>
    <w:rPr>
      <w:i/>
      <w:iCs/>
      <w:color w:val="44546A" w:themeColor="text2"/>
      <w:sz w:val="18"/>
      <w:szCs w:val="18"/>
    </w:rPr>
  </w:style>
  <w:style w:type="paragraph" w:styleId="ListParagraph">
    <w:name w:val="List Paragraph"/>
    <w:basedOn w:val="Normal"/>
    <w:uiPriority w:val="34"/>
    <w:qFormat/>
    <w:rsid w:val="00484C57"/>
    <w:pPr>
      <w:spacing w:line="256" w:lineRule="auto"/>
      <w:ind w:left="720"/>
      <w:contextualSpacing/>
    </w:pPr>
  </w:style>
  <w:style w:type="paragraph" w:customStyle="1" w:styleId="EndNoteBibliographyTitle">
    <w:name w:val="EndNote Bibliography Title"/>
    <w:basedOn w:val="Normal"/>
    <w:link w:val="EndNoteBibliographyTitleChar"/>
    <w:rsid w:val="00484C5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84C57"/>
    <w:rPr>
      <w:rFonts w:ascii="Calibri" w:hAnsi="Calibri" w:cs="Calibri"/>
      <w:noProof/>
      <w:kern w:val="0"/>
      <w14:ligatures w14:val="none"/>
    </w:rPr>
  </w:style>
  <w:style w:type="paragraph" w:customStyle="1" w:styleId="EndNoteBibliography">
    <w:name w:val="EndNote Bibliography"/>
    <w:basedOn w:val="Normal"/>
    <w:link w:val="EndNoteBibliographyChar"/>
    <w:rsid w:val="00484C5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84C57"/>
    <w:rPr>
      <w:rFonts w:ascii="Calibri" w:hAnsi="Calibri" w:cs="Calibri"/>
      <w:noProof/>
      <w:kern w:val="0"/>
      <w14:ligatures w14:val="none"/>
    </w:rPr>
  </w:style>
  <w:style w:type="character" w:styleId="Hyperlink">
    <w:name w:val="Hyperlink"/>
    <w:basedOn w:val="DefaultParagraphFont"/>
    <w:uiPriority w:val="99"/>
    <w:unhideWhenUsed/>
    <w:rsid w:val="00484C57"/>
    <w:rPr>
      <w:color w:val="0563C1" w:themeColor="hyperlink"/>
      <w:u w:val="single"/>
    </w:rPr>
  </w:style>
  <w:style w:type="character" w:styleId="UnresolvedMention">
    <w:name w:val="Unresolved Mention"/>
    <w:basedOn w:val="DefaultParagraphFont"/>
    <w:uiPriority w:val="99"/>
    <w:semiHidden/>
    <w:unhideWhenUsed/>
    <w:rsid w:val="00484C57"/>
    <w:rPr>
      <w:color w:val="605E5C"/>
      <w:shd w:val="clear" w:color="auto" w:fill="E1DFDD"/>
    </w:rPr>
  </w:style>
  <w:style w:type="character" w:styleId="FollowedHyperlink">
    <w:name w:val="FollowedHyperlink"/>
    <w:basedOn w:val="DefaultParagraphFont"/>
    <w:uiPriority w:val="99"/>
    <w:semiHidden/>
    <w:unhideWhenUsed/>
    <w:rsid w:val="003D5B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cost-utility-analysis-health-economic-studies" TargetMode="External"/><Relationship Id="rId13" Type="http://schemas.openxmlformats.org/officeDocument/2006/relationships/hyperlink" Target="https://yhec.co.uk/glossary/base-case-analysis/" TargetMode="External"/><Relationship Id="rId3" Type="http://schemas.openxmlformats.org/officeDocument/2006/relationships/settings" Target="settings.xml"/><Relationship Id="rId7" Type="http://schemas.openxmlformats.org/officeDocument/2006/relationships/hyperlink" Target="https://yhec.co.uk/glossary/cost-benefit-analysis" TargetMode="External"/><Relationship Id="rId12" Type="http://schemas.openxmlformats.org/officeDocument/2006/relationships/hyperlink" Target="https://yhec.co.uk/glossary/willingness-to-pa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yhec.co.uk/glossary/economic-evaluation" TargetMode="External"/><Relationship Id="rId11" Type="http://schemas.openxmlformats.org/officeDocument/2006/relationships/hyperlink" Target="https://yhec.co.uk/glossary/incremental-cost-effectiveness-ratio-icer/" TargetMode="External"/><Relationship Id="rId5" Type="http://schemas.openxmlformats.org/officeDocument/2006/relationships/hyperlink" Target="https://drive.google.com/file/d/1qjnD6LmhGRSDnoEcxdwvGa6M0i6w4Ghx/view?usp=sharing" TargetMode="External"/><Relationship Id="rId15" Type="http://schemas.openxmlformats.org/officeDocument/2006/relationships/fontTable" Target="fontTable.xml"/><Relationship Id="rId10" Type="http://schemas.openxmlformats.org/officeDocument/2006/relationships/hyperlink" Target="https://www.cdc.gov/policy/polaris/economics/cost-effectiveness/index.html" TargetMode="External"/><Relationship Id="rId4" Type="http://schemas.openxmlformats.org/officeDocument/2006/relationships/webSettings" Target="webSettings.xml"/><Relationship Id="rId9" Type="http://schemas.openxmlformats.org/officeDocument/2006/relationships/hyperlink" Target="https://yhec.co.uk/glossary/cost-minimisation-analysis" TargetMode="External"/><Relationship Id="rId14" Type="http://schemas.openxmlformats.org/officeDocument/2006/relationships/hyperlink" Target="https://yhec.co.uk/glossary/probabilistic-stochastic-sensitivity-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1042</Words>
  <Characters>6284</Characters>
  <Application>Microsoft Office Word</Application>
  <DocSecurity>0</DocSecurity>
  <Lines>178</Lines>
  <Paragraphs>79</Paragraphs>
  <ScaleCrop>false</ScaleCrop>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Nighat Naved</dc:creator>
  <cp:keywords/>
  <dc:description/>
  <cp:lastModifiedBy>Nighat Naved</cp:lastModifiedBy>
  <cp:revision>7</cp:revision>
  <dcterms:created xsi:type="dcterms:W3CDTF">2023-12-09T19:02:00Z</dcterms:created>
  <dcterms:modified xsi:type="dcterms:W3CDTF">2023-12-09T19:19:00Z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a3fea9d5-bf4f-4521-bc0a-8168ad43bd61</vt:lpwstr>
  </property>
</Properties>
</file>