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48037" w14:textId="6F09D7D9" w:rsidR="00932E38" w:rsidRPr="008C3925" w:rsidRDefault="009C5A0A" w:rsidP="00D656BD">
      <w:pPr>
        <w:spacing w:after="0"/>
        <w:ind w:left="-1267"/>
        <w:rPr>
          <w:rFonts w:asciiTheme="majorBidi" w:eastAsia="Arial" w:hAnsiTheme="majorBidi" w:cs="Arial"/>
          <w:b/>
          <w:bCs/>
          <w:color w:val="003673"/>
          <w:sz w:val="20"/>
          <w:szCs w:val="20"/>
          <w:lang w:eastAsia="en-US" w:bidi="en-US"/>
        </w:rPr>
      </w:pPr>
      <w:r w:rsidRPr="008C3925">
        <w:rPr>
          <w:rFonts w:asciiTheme="majorBidi" w:eastAsia="Arial" w:hAnsiTheme="majorBidi" w:cstheme="majorBidi"/>
          <w:b/>
          <w:bCs/>
          <w:color w:val="000000"/>
          <w:sz w:val="20"/>
          <w:szCs w:val="20"/>
          <w:lang w:eastAsia="en-US" w:bidi="en-US"/>
        </w:rPr>
        <w:t xml:space="preserve">    </w:t>
      </w:r>
      <w:r w:rsidR="00D656BD">
        <w:rPr>
          <w:rFonts w:asciiTheme="majorBidi" w:eastAsia="Arial" w:hAnsiTheme="majorBidi" w:cstheme="majorBidi"/>
          <w:b/>
          <w:bCs/>
          <w:color w:val="000000"/>
          <w:sz w:val="20"/>
          <w:szCs w:val="20"/>
          <w:lang w:eastAsia="en-US" w:bidi="en-US"/>
        </w:rPr>
        <w:t>A</w:t>
      </w:r>
      <w:r w:rsidR="00D656BD" w:rsidRPr="00D656BD">
        <w:rPr>
          <w:rFonts w:asciiTheme="majorBidi" w:eastAsia="Arial" w:hAnsiTheme="majorBidi" w:cstheme="majorBidi"/>
          <w:b/>
          <w:bCs/>
          <w:color w:val="000000"/>
          <w:sz w:val="20"/>
          <w:szCs w:val="20"/>
          <w:lang w:eastAsia="en-US" w:bidi="en-US"/>
        </w:rPr>
        <w:t>dditional file</w:t>
      </w:r>
      <w:r w:rsidR="00D656BD" w:rsidRPr="008C3925">
        <w:rPr>
          <w:rFonts w:asciiTheme="majorBidi" w:eastAsia="Arial" w:hAnsiTheme="majorBidi" w:cstheme="majorBidi"/>
          <w:b/>
          <w:bCs/>
          <w:color w:val="000000"/>
          <w:sz w:val="20"/>
          <w:szCs w:val="20"/>
          <w:lang w:eastAsia="en-US" w:bidi="en-US"/>
        </w:rPr>
        <w:t xml:space="preserve"> </w:t>
      </w:r>
      <w:bookmarkStart w:id="0" w:name="_GoBack"/>
      <w:bookmarkEnd w:id="0"/>
      <w:r w:rsidR="00711472" w:rsidRPr="008C3925">
        <w:rPr>
          <w:rFonts w:asciiTheme="majorBidi" w:eastAsia="Arial" w:hAnsiTheme="majorBidi" w:cstheme="majorBidi"/>
          <w:b/>
          <w:bCs/>
          <w:color w:val="000000"/>
          <w:sz w:val="20"/>
          <w:szCs w:val="20"/>
          <w:lang w:eastAsia="en-US" w:bidi="en-US"/>
        </w:rPr>
        <w:t>1</w:t>
      </w:r>
      <w:r w:rsidR="00BE3A96" w:rsidRPr="008C3925">
        <w:rPr>
          <w:rFonts w:asciiTheme="majorBidi" w:eastAsia="Arial" w:hAnsiTheme="majorBidi" w:cstheme="majorBidi"/>
          <w:b/>
          <w:bCs/>
          <w:color w:val="000000"/>
          <w:sz w:val="20"/>
          <w:szCs w:val="20"/>
          <w:lang w:eastAsia="en-US" w:bidi="en-US"/>
        </w:rPr>
        <w:t xml:space="preserve">  </w:t>
      </w:r>
      <w:r w:rsidR="00932E38" w:rsidRPr="008C3925">
        <w:rPr>
          <w:rFonts w:asciiTheme="majorBidi" w:eastAsia="Arial" w:hAnsiTheme="majorBidi" w:cstheme="majorBidi"/>
          <w:color w:val="000000"/>
          <w:sz w:val="20"/>
          <w:szCs w:val="20"/>
          <w:lang w:eastAsia="en-US" w:bidi="en-US"/>
        </w:rPr>
        <w:t xml:space="preserve"> </w:t>
      </w:r>
      <w:r w:rsidR="00932E38" w:rsidRPr="008C3925">
        <w:rPr>
          <w:rFonts w:asciiTheme="majorBidi" w:hAnsiTheme="majorBidi" w:cstheme="majorBidi"/>
          <w:color w:val="000000"/>
          <w:sz w:val="20"/>
          <w:szCs w:val="20"/>
        </w:rPr>
        <w:t xml:space="preserve">Shows </w:t>
      </w:r>
      <w:r w:rsidR="00074D4D" w:rsidRPr="008C3925">
        <w:rPr>
          <w:rFonts w:asciiTheme="majorBidi" w:hAnsiTheme="majorBidi" w:cstheme="majorBidi"/>
          <w:color w:val="000000"/>
          <w:sz w:val="20"/>
          <w:szCs w:val="20"/>
        </w:rPr>
        <w:t>the</w:t>
      </w:r>
      <w:r w:rsidR="00E773E4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="00E773E4">
        <w:rPr>
          <w:rFonts w:asciiTheme="majorBidi" w:hAnsiTheme="majorBidi" w:cstheme="majorBidi"/>
          <w:noProof/>
          <w:sz w:val="20"/>
          <w:szCs w:val="20"/>
        </w:rPr>
        <w:t xml:space="preserve">quantitative and qualitative </w:t>
      </w:r>
      <w:r w:rsidR="00E773E4" w:rsidRPr="00F51BC0">
        <w:rPr>
          <w:rFonts w:asciiTheme="majorBidi" w:hAnsiTheme="majorBidi" w:cstheme="majorBidi"/>
          <w:noProof/>
          <w:sz w:val="20"/>
          <w:szCs w:val="20"/>
        </w:rPr>
        <w:t>TMJ</w:t>
      </w:r>
      <w:r w:rsidR="00074D4D" w:rsidRPr="008C3925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="00252FA5" w:rsidRPr="008C3925">
        <w:rPr>
          <w:rFonts w:asciiTheme="majorBidi" w:hAnsiTheme="majorBidi" w:cstheme="majorBidi"/>
          <w:color w:val="000000"/>
          <w:sz w:val="20"/>
          <w:szCs w:val="20"/>
        </w:rPr>
        <w:t>landmarks definition</w:t>
      </w:r>
    </w:p>
    <w:tbl>
      <w:tblPr>
        <w:tblW w:w="622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8863"/>
      </w:tblGrid>
      <w:tr w:rsidR="00252FA5" w:rsidRPr="008C3925" w14:paraId="2750F275" w14:textId="77777777" w:rsidTr="008C3925">
        <w:trPr>
          <w:trHeight w:val="316"/>
          <w:jc w:val="center"/>
        </w:trPr>
        <w:tc>
          <w:tcPr>
            <w:tcW w:w="879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776EE9" w14:textId="77777777" w:rsidR="00252FA5" w:rsidRPr="008C3925" w:rsidRDefault="00252FA5" w:rsidP="00324A33">
            <w:pPr>
              <w:spacing w:line="252" w:lineRule="atLeast"/>
              <w:jc w:val="center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  <w:lang w:eastAsia="en-US" w:bidi="en-US"/>
              </w:rPr>
              <w:t xml:space="preserve">Abbreviation </w:t>
            </w:r>
          </w:p>
        </w:tc>
        <w:tc>
          <w:tcPr>
            <w:tcW w:w="4121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6AB93" w14:textId="77777777" w:rsidR="00252FA5" w:rsidRPr="008C3925" w:rsidRDefault="00252FA5" w:rsidP="00380A26">
            <w:pPr>
              <w:spacing w:line="252" w:lineRule="atLeast"/>
              <w:jc w:val="center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  <w:lang w:eastAsia="en-US" w:bidi="en-US"/>
              </w:rPr>
              <w:t>Definition</w:t>
            </w:r>
          </w:p>
        </w:tc>
      </w:tr>
      <w:tr w:rsidR="008C3925" w:rsidRPr="008C3925" w14:paraId="5B121F5F" w14:textId="77777777" w:rsidTr="008C3925">
        <w:trPr>
          <w:trHeight w:val="316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1A110E6" w14:textId="5C60B2AF" w:rsidR="008C3925" w:rsidRPr="008C3925" w:rsidRDefault="008C3925" w:rsidP="008C3925">
            <w:pPr>
              <w:spacing w:line="252" w:lineRule="atLeast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 xml:space="preserve">Quantitative </w:t>
            </w:r>
            <w:r w:rsidRPr="008C3925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landmarks</w:t>
            </w:r>
          </w:p>
        </w:tc>
      </w:tr>
      <w:tr w:rsidR="003E01C6" w:rsidRPr="008C3925" w14:paraId="63E91260" w14:textId="77777777" w:rsidTr="008C3925">
        <w:trPr>
          <w:trHeight w:val="316"/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4FFCA869" w14:textId="00C96337" w:rsidR="003E01C6" w:rsidRPr="008C3925" w:rsidRDefault="003E01C6" w:rsidP="00E8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SF</w:t>
            </w:r>
          </w:p>
        </w:tc>
        <w:tc>
          <w:tcPr>
            <w:tcW w:w="41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5B763" w14:textId="5628117F" w:rsidR="003E01C6" w:rsidRPr="008C3925" w:rsidRDefault="003E01C6" w:rsidP="008C3925">
            <w:pPr>
              <w:spacing w:after="0" w:line="252" w:lineRule="atLeast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The uppermost area of the glenoid fossa on the true horizontal line (THL) </w:t>
            </w:r>
            <w:r w:rsidR="001325C3"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is</w:t>
            </w: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 used as a reference line.</w:t>
            </w:r>
          </w:p>
        </w:tc>
      </w:tr>
      <w:tr w:rsidR="003E01C6" w:rsidRPr="008C3925" w14:paraId="7DD88188" w14:textId="77777777" w:rsidTr="008C3925">
        <w:trPr>
          <w:trHeight w:val="316"/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37E8CA4B" w14:textId="218C174D" w:rsidR="003E01C6" w:rsidRPr="008C3925" w:rsidRDefault="003E01C6" w:rsidP="00E8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SC</w:t>
            </w:r>
          </w:p>
        </w:tc>
        <w:tc>
          <w:tcPr>
            <w:tcW w:w="41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57077" w14:textId="166697B4" w:rsidR="003E01C6" w:rsidRPr="008C3925" w:rsidRDefault="003E01C6" w:rsidP="008C3925">
            <w:pPr>
              <w:spacing w:after="0" w:line="252" w:lineRule="atLeast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The superior-most mandibular condyle point in the sagittal section. The line perpendicular to the most superior aspects of the condyle (SC) was drawn from (SF).</w:t>
            </w:r>
          </w:p>
        </w:tc>
      </w:tr>
      <w:tr w:rsidR="003E01C6" w:rsidRPr="008C3925" w14:paraId="04ACFB19" w14:textId="77777777" w:rsidTr="008C3925">
        <w:trPr>
          <w:trHeight w:val="316"/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64EC8E0F" w14:textId="58FC0342" w:rsidR="003E01C6" w:rsidRPr="008C3925" w:rsidRDefault="003E01C6" w:rsidP="00E8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AC</w:t>
            </w:r>
          </w:p>
        </w:tc>
        <w:tc>
          <w:tcPr>
            <w:tcW w:w="41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2C218" w14:textId="5715EBE4" w:rsidR="003E01C6" w:rsidRPr="008C3925" w:rsidRDefault="003E01C6" w:rsidP="008C3925">
            <w:pPr>
              <w:spacing w:after="0" w:line="252" w:lineRule="atLeast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The anterior-most mandibular condyle point in the sagittal section. The line tangent to the most prominent anterior aspects of the condyle (AC) was drawn from (SF).</w:t>
            </w:r>
          </w:p>
        </w:tc>
      </w:tr>
      <w:tr w:rsidR="003E01C6" w:rsidRPr="008C3925" w14:paraId="13231722" w14:textId="77777777" w:rsidTr="008C3925">
        <w:trPr>
          <w:trHeight w:val="316"/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340F59CE" w14:textId="5DBD584B" w:rsidR="003E01C6" w:rsidRPr="008C3925" w:rsidRDefault="003E01C6" w:rsidP="00E8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PC</w:t>
            </w:r>
          </w:p>
        </w:tc>
        <w:tc>
          <w:tcPr>
            <w:tcW w:w="41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50DE6" w14:textId="43F12A36" w:rsidR="003E01C6" w:rsidRPr="008C3925" w:rsidRDefault="003E01C6" w:rsidP="008C3925">
            <w:pPr>
              <w:spacing w:after="0" w:line="252" w:lineRule="atLeast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The posterior-most mandibular condyle point in the sagittal section. The line tangent to the most prominent posterior aspects of the condyle (PC) was drawn from (SF).</w:t>
            </w:r>
          </w:p>
        </w:tc>
      </w:tr>
      <w:tr w:rsidR="003E01C6" w:rsidRPr="008C3925" w14:paraId="531794EB" w14:textId="77777777" w:rsidTr="008C3925">
        <w:trPr>
          <w:trHeight w:val="316"/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7E52C657" w14:textId="45385F91" w:rsidR="003E01C6" w:rsidRPr="008C3925" w:rsidRDefault="003E01C6" w:rsidP="00E8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CM</w:t>
            </w:r>
          </w:p>
        </w:tc>
        <w:tc>
          <w:tcPr>
            <w:tcW w:w="41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FE381" w14:textId="1EB7206F" w:rsidR="003E01C6" w:rsidRPr="008C3925" w:rsidRDefault="003E01C6" w:rsidP="008C3925">
            <w:pPr>
              <w:spacing w:after="0" w:line="252" w:lineRule="atLeast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/>
              </w:rPr>
              <w:t xml:space="preserve">The </w:t>
            </w: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medial point of the condyle in the coronal section.</w:t>
            </w:r>
          </w:p>
        </w:tc>
      </w:tr>
      <w:tr w:rsidR="003E01C6" w:rsidRPr="008C3925" w14:paraId="22CE019B" w14:textId="77777777" w:rsidTr="008C3925">
        <w:trPr>
          <w:trHeight w:val="316"/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0FADEAB3" w14:textId="0229B082" w:rsidR="003E01C6" w:rsidRPr="008C3925" w:rsidRDefault="003E01C6" w:rsidP="00E8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CL</w:t>
            </w:r>
          </w:p>
        </w:tc>
        <w:tc>
          <w:tcPr>
            <w:tcW w:w="41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19000" w14:textId="1465194F" w:rsidR="003E01C6" w:rsidRPr="008C3925" w:rsidRDefault="003E01C6" w:rsidP="008C3925">
            <w:pPr>
              <w:spacing w:after="0" w:line="252" w:lineRule="atLeast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The lateral point of the condyle in the coronal section.</w:t>
            </w:r>
          </w:p>
        </w:tc>
      </w:tr>
      <w:tr w:rsidR="003E01C6" w:rsidRPr="008C3925" w14:paraId="25951C29" w14:textId="77777777" w:rsidTr="008C3925">
        <w:trPr>
          <w:trHeight w:val="316"/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3A04C7EA" w14:textId="6962DB13" w:rsidR="003E01C6" w:rsidRPr="008C3925" w:rsidRDefault="003E01C6" w:rsidP="00E8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ACp</w:t>
            </w:r>
          </w:p>
        </w:tc>
        <w:tc>
          <w:tcPr>
            <w:tcW w:w="41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3326" w14:textId="53BC12D2" w:rsidR="003E01C6" w:rsidRPr="008C3925" w:rsidRDefault="003E01C6" w:rsidP="008C3925">
            <w:pPr>
              <w:spacing w:after="0" w:line="252" w:lineRule="atLeast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Most anterior condyle point </w:t>
            </w:r>
            <w:r w:rsidR="001325C3"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are </w:t>
            </w: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on an area of maximum convex curvature on the anterior side of the condyle in the sagittal section.</w:t>
            </w:r>
          </w:p>
        </w:tc>
      </w:tr>
      <w:tr w:rsidR="003E01C6" w:rsidRPr="008C3925" w14:paraId="67D3C681" w14:textId="77777777" w:rsidTr="008C3925">
        <w:trPr>
          <w:trHeight w:val="316"/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50705F46" w14:textId="2B9EEEA2" w:rsidR="003E01C6" w:rsidRPr="008C3925" w:rsidRDefault="003E01C6" w:rsidP="00E8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8C3925">
              <w:rPr>
                <w:rFonts w:asciiTheme="majorBidi" w:eastAsia="Times New Roman" w:hAnsiTheme="majorBidi" w:cstheme="majorBidi"/>
                <w:sz w:val="20"/>
                <w:szCs w:val="20"/>
              </w:rPr>
              <w:t>PCp</w:t>
            </w:r>
          </w:p>
        </w:tc>
        <w:tc>
          <w:tcPr>
            <w:tcW w:w="41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3D374" w14:textId="05A89CCB" w:rsidR="003E01C6" w:rsidRPr="008C3925" w:rsidRDefault="003E01C6" w:rsidP="008C3925">
            <w:pPr>
              <w:spacing w:after="0" w:line="252" w:lineRule="atLeast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Most posterior condyle point </w:t>
            </w:r>
            <w:r w:rsidR="001325C3"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are </w:t>
            </w: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on an area of maximum convex curvature on the posterior side of the condyle in the sagittal section.</w:t>
            </w:r>
          </w:p>
        </w:tc>
      </w:tr>
      <w:tr w:rsidR="003E01C6" w:rsidRPr="008C3925" w14:paraId="593DAE5D" w14:textId="77777777" w:rsidTr="008C3925">
        <w:trPr>
          <w:trHeight w:val="316"/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1588492E" w14:textId="4BE0C19A" w:rsidR="003E01C6" w:rsidRPr="008C3925" w:rsidRDefault="003E01C6" w:rsidP="00E8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MCp</w:t>
            </w:r>
          </w:p>
        </w:tc>
        <w:tc>
          <w:tcPr>
            <w:tcW w:w="41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C2E6C" w14:textId="08700FBC" w:rsidR="003E01C6" w:rsidRPr="008C3925" w:rsidRDefault="003E01C6" w:rsidP="008C3925">
            <w:pPr>
              <w:spacing w:after="0" w:line="252" w:lineRule="atLeast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Most medial condyle point on an area of maximum convex curvature on the medial side of the condyle in the coronal section.</w:t>
            </w:r>
          </w:p>
        </w:tc>
      </w:tr>
      <w:tr w:rsidR="003E01C6" w:rsidRPr="008C3925" w14:paraId="74AD8575" w14:textId="77777777" w:rsidTr="008C3925">
        <w:trPr>
          <w:trHeight w:val="316"/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52D7F1C1" w14:textId="14E1B67A" w:rsidR="003E01C6" w:rsidRPr="008C3925" w:rsidRDefault="003E01C6" w:rsidP="00E8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8C3925">
              <w:rPr>
                <w:rFonts w:asciiTheme="majorBidi" w:eastAsia="Times New Roman" w:hAnsiTheme="majorBidi" w:cstheme="majorBidi"/>
                <w:sz w:val="20"/>
                <w:szCs w:val="20"/>
              </w:rPr>
              <w:t>LCp</w:t>
            </w:r>
          </w:p>
        </w:tc>
        <w:tc>
          <w:tcPr>
            <w:tcW w:w="41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256EC" w14:textId="796C7375" w:rsidR="003E01C6" w:rsidRPr="008C3925" w:rsidRDefault="003E01C6" w:rsidP="008C3925">
            <w:pPr>
              <w:spacing w:after="0" w:line="252" w:lineRule="atLeast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Most lateral condyle point </w:t>
            </w:r>
            <w:r w:rsidR="001325C3"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are </w:t>
            </w: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on the area of maximum convex curvature on the lateral side of the condyle in the coronal section.</w:t>
            </w:r>
          </w:p>
        </w:tc>
      </w:tr>
      <w:tr w:rsidR="003E01C6" w:rsidRPr="008C3925" w14:paraId="18234499" w14:textId="77777777" w:rsidTr="008C3925">
        <w:trPr>
          <w:trHeight w:val="316"/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56FB0FC4" w14:textId="7CFCCCE9" w:rsidR="003E01C6" w:rsidRPr="008C3925" w:rsidRDefault="003E01C6" w:rsidP="00E8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P</w:t>
            </w:r>
          </w:p>
        </w:tc>
        <w:tc>
          <w:tcPr>
            <w:tcW w:w="41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8C750" w14:textId="094DF013" w:rsidR="003E01C6" w:rsidRPr="008C3925" w:rsidRDefault="003E01C6" w:rsidP="008C3925">
            <w:pPr>
              <w:spacing w:after="0" w:line="252" w:lineRule="atLeast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/>
              </w:rPr>
              <w:t>T</w:t>
            </w: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he lowest point of the external auditory meatus.</w:t>
            </w:r>
          </w:p>
        </w:tc>
      </w:tr>
      <w:tr w:rsidR="003E01C6" w:rsidRPr="008C3925" w14:paraId="172DF33A" w14:textId="77777777" w:rsidTr="008C3925">
        <w:trPr>
          <w:trHeight w:val="316"/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7924B8D2" w14:textId="2472435D" w:rsidR="003E01C6" w:rsidRPr="008C3925" w:rsidRDefault="003E01C6" w:rsidP="00E8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C</w:t>
            </w:r>
          </w:p>
        </w:tc>
        <w:tc>
          <w:tcPr>
            <w:tcW w:w="41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359EF" w14:textId="4E8F1216" w:rsidR="003E01C6" w:rsidRPr="008C3925" w:rsidRDefault="003E01C6" w:rsidP="008C3925">
            <w:pPr>
              <w:spacing w:after="0" w:line="252" w:lineRule="atLeast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The lowermost point of the articular tuberosity.</w:t>
            </w:r>
          </w:p>
        </w:tc>
      </w:tr>
      <w:tr w:rsidR="003E01C6" w:rsidRPr="008C3925" w14:paraId="214A2F28" w14:textId="77777777" w:rsidTr="008C3925">
        <w:trPr>
          <w:trHeight w:val="316"/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64CB35CC" w14:textId="154F0BB7" w:rsidR="003E01C6" w:rsidRPr="008C3925" w:rsidRDefault="003E01C6" w:rsidP="00E8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L</w:t>
            </w:r>
          </w:p>
        </w:tc>
        <w:tc>
          <w:tcPr>
            <w:tcW w:w="41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BB20B" w14:textId="14811764" w:rsidR="003E01C6" w:rsidRPr="008C3925" w:rsidRDefault="003E01C6" w:rsidP="008C3925">
            <w:pPr>
              <w:spacing w:after="0" w:line="252" w:lineRule="atLeast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The line connects points C and P.</w:t>
            </w:r>
          </w:p>
        </w:tc>
      </w:tr>
      <w:tr w:rsidR="003E01C6" w:rsidRPr="008C3925" w14:paraId="234167AC" w14:textId="77777777" w:rsidTr="00D659A5">
        <w:trPr>
          <w:trHeight w:val="316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77233FD" w14:textId="2313F548" w:rsidR="003E01C6" w:rsidRPr="008C3925" w:rsidRDefault="003E01C6" w:rsidP="008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宋体" w:hAnsiTheme="majorBidi" w:cstheme="majorBidi"/>
                <w:b/>
                <w:bCs/>
                <w:sz w:val="20"/>
                <w:szCs w:val="20"/>
              </w:rPr>
            </w:pPr>
            <w:r w:rsidRPr="008C3925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>Qualitative</w:t>
            </w:r>
            <w:r w:rsidRPr="008C3925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landmarks</w:t>
            </w:r>
          </w:p>
        </w:tc>
      </w:tr>
      <w:tr w:rsidR="003E01C6" w:rsidRPr="008C3925" w14:paraId="1E2A9F9F" w14:textId="77777777" w:rsidTr="008C3925">
        <w:trPr>
          <w:trHeight w:val="316"/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1F330781" w14:textId="04DE2F74" w:rsidR="003E01C6" w:rsidRPr="008C3925" w:rsidRDefault="003E01C6" w:rsidP="00BC36C5">
            <w:pPr>
              <w:spacing w:after="0" w:line="252" w:lineRule="atLeast"/>
              <w:jc w:val="center"/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宋体" w:hAnsiTheme="majorBidi" w:cstheme="maj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41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A76C" w14:textId="13BCA9F6" w:rsidR="003E01C6" w:rsidRPr="008C3925" w:rsidRDefault="003E01C6" w:rsidP="004C6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The ellipse region </w:t>
            </w:r>
            <w:r w:rsidR="004C6CB2"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was </w:t>
            </w: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selected on the anterior slope of the condyle in </w:t>
            </w:r>
            <w:r w:rsidR="004C6CB2"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the </w:t>
            </w: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sagittal section.</w:t>
            </w:r>
          </w:p>
        </w:tc>
      </w:tr>
      <w:tr w:rsidR="003E01C6" w:rsidRPr="008C3925" w14:paraId="14F9109E" w14:textId="77777777" w:rsidTr="008C3925">
        <w:trPr>
          <w:trHeight w:val="316"/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643A51E1" w14:textId="16E44AEE" w:rsidR="003E01C6" w:rsidRPr="008C3925" w:rsidRDefault="003E01C6" w:rsidP="00BC36C5">
            <w:pPr>
              <w:spacing w:after="0" w:line="252" w:lineRule="atLeast"/>
              <w:jc w:val="center"/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宋体" w:hAnsiTheme="majorBidi" w:cstheme="majorBidi"/>
                <w:sz w:val="20"/>
                <w:szCs w:val="20"/>
              </w:rPr>
              <w:t>SS</w:t>
            </w:r>
          </w:p>
        </w:tc>
        <w:tc>
          <w:tcPr>
            <w:tcW w:w="41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40AA4" w14:textId="3C3D02DB" w:rsidR="003E01C6" w:rsidRPr="008C3925" w:rsidRDefault="003E01C6" w:rsidP="00BC36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The ellipse region </w:t>
            </w:r>
            <w:r w:rsidR="004C6CB2"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was </w:t>
            </w: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selected on the superior slope of the condyle in </w:t>
            </w:r>
            <w:r w:rsidR="004C6CB2"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the </w:t>
            </w: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sagittal section.</w:t>
            </w:r>
          </w:p>
        </w:tc>
      </w:tr>
      <w:tr w:rsidR="003E01C6" w:rsidRPr="008C3925" w14:paraId="410C23EF" w14:textId="77777777" w:rsidTr="008C3925">
        <w:trPr>
          <w:trHeight w:val="316"/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31FF4B7A" w14:textId="5C82B73B" w:rsidR="003E01C6" w:rsidRPr="008C3925" w:rsidRDefault="003E01C6" w:rsidP="00BC36C5">
            <w:pPr>
              <w:spacing w:after="0" w:line="252" w:lineRule="atLeast"/>
              <w:jc w:val="center"/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宋体" w:hAnsiTheme="majorBidi" w:cstheme="majorBidi"/>
                <w:sz w:val="20"/>
                <w:szCs w:val="20"/>
              </w:rPr>
              <w:t>PS</w:t>
            </w:r>
          </w:p>
        </w:tc>
        <w:tc>
          <w:tcPr>
            <w:tcW w:w="41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F4523" w14:textId="2D1CD5FE" w:rsidR="003E01C6" w:rsidRPr="008C3925" w:rsidRDefault="003E01C6" w:rsidP="004C6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The ellipse region </w:t>
            </w:r>
            <w:r w:rsidR="004C6CB2"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was </w:t>
            </w: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selected on the posterior slope of the condyle in </w:t>
            </w:r>
            <w:r w:rsidR="004C6CB2"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the </w:t>
            </w: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sagittal section.</w:t>
            </w:r>
          </w:p>
        </w:tc>
      </w:tr>
      <w:tr w:rsidR="003E01C6" w:rsidRPr="008C3925" w14:paraId="0C8F7C2B" w14:textId="77777777" w:rsidTr="008C3925">
        <w:trPr>
          <w:trHeight w:val="316"/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09CB67F6" w14:textId="4AADF9A2" w:rsidR="003E01C6" w:rsidRPr="008C3925" w:rsidRDefault="003E01C6" w:rsidP="00BC36C5">
            <w:pPr>
              <w:spacing w:after="0" w:line="252" w:lineRule="atLeast"/>
              <w:jc w:val="center"/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宋体" w:hAnsiTheme="majorBidi" w:cstheme="majorBidi" w:hint="cs"/>
                <w:sz w:val="20"/>
                <w:szCs w:val="20"/>
              </w:rPr>
              <w:t>MS</w:t>
            </w:r>
          </w:p>
        </w:tc>
        <w:tc>
          <w:tcPr>
            <w:tcW w:w="41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FFD91" w14:textId="652DB954" w:rsidR="003E01C6" w:rsidRPr="008C3925" w:rsidRDefault="003E01C6" w:rsidP="00BC36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The ellipse region </w:t>
            </w:r>
            <w:r w:rsidR="004C6CB2"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was </w:t>
            </w: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selected on the</w:t>
            </w: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medial point of the condyle in the coronal section.</w:t>
            </w:r>
          </w:p>
        </w:tc>
      </w:tr>
      <w:tr w:rsidR="003E01C6" w:rsidRPr="008C3925" w14:paraId="17782B9B" w14:textId="77777777" w:rsidTr="008C3925">
        <w:trPr>
          <w:trHeight w:val="316"/>
          <w:jc w:val="center"/>
        </w:trPr>
        <w:tc>
          <w:tcPr>
            <w:tcW w:w="879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79B44F3" w14:textId="13BB86B2" w:rsidR="003E01C6" w:rsidRPr="008C3925" w:rsidRDefault="003E01C6" w:rsidP="00BC36C5">
            <w:pPr>
              <w:spacing w:after="0" w:line="252" w:lineRule="atLeast"/>
              <w:jc w:val="center"/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宋体" w:hAnsiTheme="majorBidi" w:cstheme="majorBidi"/>
                <w:sz w:val="20"/>
                <w:szCs w:val="20"/>
              </w:rPr>
              <w:t>LS</w:t>
            </w:r>
          </w:p>
        </w:tc>
        <w:tc>
          <w:tcPr>
            <w:tcW w:w="4121" w:type="pct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11B7C" w14:textId="4176A66C" w:rsidR="003E01C6" w:rsidRPr="008C3925" w:rsidRDefault="003E01C6" w:rsidP="00BC36C5">
            <w:pPr>
              <w:spacing w:after="0" w:line="252" w:lineRule="atLeast"/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</w:pP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The ellipse region </w:t>
            </w:r>
            <w:r w:rsidR="004C6CB2"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 xml:space="preserve">was </w:t>
            </w:r>
            <w:r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selected on the lateral point of the condyle in the coronal section</w:t>
            </w:r>
            <w:r w:rsidR="001325C3" w:rsidRPr="008C3925">
              <w:rPr>
                <w:rFonts w:asciiTheme="majorBidi" w:eastAsia="Arial" w:hAnsiTheme="majorBidi" w:cstheme="majorBidi"/>
                <w:color w:val="000000"/>
                <w:sz w:val="20"/>
                <w:szCs w:val="20"/>
                <w:lang w:eastAsia="en-US" w:bidi="en-US"/>
              </w:rPr>
              <w:t>.</w:t>
            </w:r>
          </w:p>
        </w:tc>
      </w:tr>
    </w:tbl>
    <w:p w14:paraId="7C7AC20F" w14:textId="77777777" w:rsidR="00A12D9E" w:rsidRDefault="00A12D9E" w:rsidP="00A12D9E">
      <w:pPr>
        <w:spacing w:line="240" w:lineRule="auto"/>
        <w:jc w:val="both"/>
        <w:rPr>
          <w:rFonts w:asciiTheme="majorBidi" w:hAnsiTheme="majorBidi" w:cstheme="majorBidi"/>
          <w:noProof/>
          <w:sz w:val="20"/>
          <w:szCs w:val="20"/>
        </w:rPr>
      </w:pPr>
    </w:p>
    <w:p w14:paraId="0D826793" w14:textId="25C6C033" w:rsidR="002842F3" w:rsidRPr="00A12D9E" w:rsidRDefault="002842F3" w:rsidP="00380A26">
      <w:pPr>
        <w:tabs>
          <w:tab w:val="left" w:pos="1620"/>
        </w:tabs>
        <w:bidi/>
        <w:rPr>
          <w:sz w:val="20"/>
          <w:szCs w:val="20"/>
        </w:rPr>
      </w:pPr>
    </w:p>
    <w:sectPr w:rsidR="002842F3" w:rsidRPr="00A12D9E" w:rsidSect="009C5A0A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30AF9" w14:textId="77777777" w:rsidR="003C3277" w:rsidRDefault="003C3277" w:rsidP="00DB7BDE">
      <w:pPr>
        <w:spacing w:after="0" w:line="240" w:lineRule="auto"/>
      </w:pPr>
      <w:r>
        <w:separator/>
      </w:r>
    </w:p>
  </w:endnote>
  <w:endnote w:type="continuationSeparator" w:id="0">
    <w:p w14:paraId="3F04FB3D" w14:textId="77777777" w:rsidR="003C3277" w:rsidRDefault="003C3277" w:rsidP="00DB7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7A6B8" w14:textId="77777777" w:rsidR="003C3277" w:rsidRDefault="003C3277" w:rsidP="00DB7BDE">
      <w:pPr>
        <w:spacing w:after="0" w:line="240" w:lineRule="auto"/>
      </w:pPr>
      <w:r>
        <w:separator/>
      </w:r>
    </w:p>
  </w:footnote>
  <w:footnote w:type="continuationSeparator" w:id="0">
    <w:p w14:paraId="7A7DCEE7" w14:textId="77777777" w:rsidR="003C3277" w:rsidRDefault="003C3277" w:rsidP="00DB7B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SwNLI0NzAzszC1NLVQ0lEKTi0uzszPAykwNKoFAH8uulUtAAAA"/>
  </w:docVars>
  <w:rsids>
    <w:rsidRoot w:val="00495A53"/>
    <w:rsid w:val="00025B53"/>
    <w:rsid w:val="00032141"/>
    <w:rsid w:val="00043463"/>
    <w:rsid w:val="0005096F"/>
    <w:rsid w:val="00053147"/>
    <w:rsid w:val="00055A4C"/>
    <w:rsid w:val="000641AF"/>
    <w:rsid w:val="00074D4D"/>
    <w:rsid w:val="000875E4"/>
    <w:rsid w:val="000A450B"/>
    <w:rsid w:val="000A7D04"/>
    <w:rsid w:val="000D40F4"/>
    <w:rsid w:val="000E3A93"/>
    <w:rsid w:val="00125CA4"/>
    <w:rsid w:val="00127A58"/>
    <w:rsid w:val="001325C3"/>
    <w:rsid w:val="0017111D"/>
    <w:rsid w:val="00196738"/>
    <w:rsid w:val="001E6E69"/>
    <w:rsid w:val="001F7D9C"/>
    <w:rsid w:val="002314BF"/>
    <w:rsid w:val="00241B63"/>
    <w:rsid w:val="002447F4"/>
    <w:rsid w:val="00252FA5"/>
    <w:rsid w:val="00280F98"/>
    <w:rsid w:val="002842F3"/>
    <w:rsid w:val="002D0A65"/>
    <w:rsid w:val="002D210E"/>
    <w:rsid w:val="002D4B1B"/>
    <w:rsid w:val="00311905"/>
    <w:rsid w:val="00380A26"/>
    <w:rsid w:val="00394ACD"/>
    <w:rsid w:val="003C3277"/>
    <w:rsid w:val="003E01C6"/>
    <w:rsid w:val="003E32FA"/>
    <w:rsid w:val="00450FE8"/>
    <w:rsid w:val="00451246"/>
    <w:rsid w:val="0048699B"/>
    <w:rsid w:val="00495A53"/>
    <w:rsid w:val="004A3DE4"/>
    <w:rsid w:val="004C10C9"/>
    <w:rsid w:val="004C6CB2"/>
    <w:rsid w:val="005104BD"/>
    <w:rsid w:val="00510629"/>
    <w:rsid w:val="00511A23"/>
    <w:rsid w:val="0052571C"/>
    <w:rsid w:val="005551C0"/>
    <w:rsid w:val="005621C2"/>
    <w:rsid w:val="0057719F"/>
    <w:rsid w:val="005813A3"/>
    <w:rsid w:val="00587F13"/>
    <w:rsid w:val="00591C55"/>
    <w:rsid w:val="005A4126"/>
    <w:rsid w:val="005E75DC"/>
    <w:rsid w:val="005F064E"/>
    <w:rsid w:val="00636CAE"/>
    <w:rsid w:val="00660926"/>
    <w:rsid w:val="00681B9E"/>
    <w:rsid w:val="00711472"/>
    <w:rsid w:val="0074215B"/>
    <w:rsid w:val="0078350C"/>
    <w:rsid w:val="007912E4"/>
    <w:rsid w:val="007B18CA"/>
    <w:rsid w:val="007F132B"/>
    <w:rsid w:val="00840463"/>
    <w:rsid w:val="00861073"/>
    <w:rsid w:val="00872DD6"/>
    <w:rsid w:val="008A45FC"/>
    <w:rsid w:val="008B7B67"/>
    <w:rsid w:val="008C3925"/>
    <w:rsid w:val="008E21F1"/>
    <w:rsid w:val="00905902"/>
    <w:rsid w:val="009103EA"/>
    <w:rsid w:val="00920BEA"/>
    <w:rsid w:val="00932E38"/>
    <w:rsid w:val="009419D7"/>
    <w:rsid w:val="0099618A"/>
    <w:rsid w:val="0099722E"/>
    <w:rsid w:val="009A2AE8"/>
    <w:rsid w:val="009C5A0A"/>
    <w:rsid w:val="009F679D"/>
    <w:rsid w:val="00A12D9E"/>
    <w:rsid w:val="00A45FEF"/>
    <w:rsid w:val="00A92CFA"/>
    <w:rsid w:val="00AE7C59"/>
    <w:rsid w:val="00B261A7"/>
    <w:rsid w:val="00B81BD9"/>
    <w:rsid w:val="00B84FC3"/>
    <w:rsid w:val="00BA00EB"/>
    <w:rsid w:val="00BB4474"/>
    <w:rsid w:val="00BC36C5"/>
    <w:rsid w:val="00BE3A96"/>
    <w:rsid w:val="00BF37D2"/>
    <w:rsid w:val="00BF6DF6"/>
    <w:rsid w:val="00C02E05"/>
    <w:rsid w:val="00C14E2E"/>
    <w:rsid w:val="00C23668"/>
    <w:rsid w:val="00C644E4"/>
    <w:rsid w:val="00C6633E"/>
    <w:rsid w:val="00CA1B7A"/>
    <w:rsid w:val="00CB1485"/>
    <w:rsid w:val="00CD4874"/>
    <w:rsid w:val="00CE6D86"/>
    <w:rsid w:val="00CE7115"/>
    <w:rsid w:val="00D41E77"/>
    <w:rsid w:val="00D656BD"/>
    <w:rsid w:val="00D659A5"/>
    <w:rsid w:val="00D762CA"/>
    <w:rsid w:val="00D85AC3"/>
    <w:rsid w:val="00D95B95"/>
    <w:rsid w:val="00DB7BDE"/>
    <w:rsid w:val="00DB7DE8"/>
    <w:rsid w:val="00E655B8"/>
    <w:rsid w:val="00E773E4"/>
    <w:rsid w:val="00E83140"/>
    <w:rsid w:val="00EB3142"/>
    <w:rsid w:val="00ED44FD"/>
    <w:rsid w:val="00F05B9B"/>
    <w:rsid w:val="00F52B02"/>
    <w:rsid w:val="00F5399B"/>
    <w:rsid w:val="00F81482"/>
    <w:rsid w:val="00F879FF"/>
    <w:rsid w:val="00F935BB"/>
    <w:rsid w:val="00FB7A01"/>
    <w:rsid w:val="00FE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47343"/>
  <w15:docId w15:val="{8DF766AE-1FF1-42BA-902A-A3F3CA942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E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NUMBERMSGENFONTSTYLENAMEBYROLETEXT9">
    <w:name w:val="MSG_EN_FONT_STYLE_NAME_TEMPLATE_ROLE_NUMBER MSG_EN_FONT_STYLE_NAME_BY_ROLE_TEXT 9"/>
    <w:basedOn w:val="DefaultParagraphFont"/>
    <w:rsid w:val="00932E38"/>
    <w:rPr>
      <w:rFonts w:ascii="Arial" w:eastAsia="Arial" w:hAnsi="Arial" w:cs="Arial"/>
      <w:b/>
      <w:bCs/>
      <w:i w:val="0"/>
      <w:iCs w:val="0"/>
      <w:smallCaps w:val="0"/>
      <w:strike w:val="0"/>
      <w:color w:val="003673"/>
      <w:spacing w:val="0"/>
      <w:w w:val="100"/>
      <w:position w:val="0"/>
      <w:sz w:val="17"/>
      <w:szCs w:val="17"/>
      <w:u w:val="none"/>
      <w:lang w:val="en-US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DB7B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BDE"/>
  </w:style>
  <w:style w:type="paragraph" w:styleId="Footer">
    <w:name w:val="footer"/>
    <w:basedOn w:val="Normal"/>
    <w:link w:val="FooterChar"/>
    <w:uiPriority w:val="99"/>
    <w:unhideWhenUsed/>
    <w:rsid w:val="00DB7B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BDE"/>
  </w:style>
  <w:style w:type="character" w:styleId="CommentReference">
    <w:name w:val="annotation reference"/>
    <w:basedOn w:val="DefaultParagraphFont"/>
    <w:uiPriority w:val="99"/>
    <w:semiHidden/>
    <w:unhideWhenUsed/>
    <w:rsid w:val="00F879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79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79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9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9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9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6E039-DFEA-4398-8761-56E68EBC8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azhry mazen</dc:creator>
  <cp:keywords/>
  <dc:description/>
  <cp:lastModifiedBy>azhry mazen</cp:lastModifiedBy>
  <cp:revision>21</cp:revision>
  <dcterms:created xsi:type="dcterms:W3CDTF">2023-09-19T06:44:00Z</dcterms:created>
  <dcterms:modified xsi:type="dcterms:W3CDTF">2023-12-04T01:39:00Z</dcterms:modified>
</cp:coreProperties>
</file>