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C1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1786A510" wp14:editId="23770A71">
            <wp:extent cx="5403272" cy="1968804"/>
            <wp:effectExtent l="0" t="0" r="0" b="0"/>
            <wp:docPr id="1687658510" name="Imagem 7" descr="Uma imagem contendo material de papelar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58510" name="Imagem 7" descr="Uma imagem contendo material de papelaria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902" cy="199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C1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</w:pPr>
    </w:p>
    <w:p w:rsidR="00F97C1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3C5C4B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Figure S1</w:t>
      </w:r>
      <w:r w:rsidRPr="003C5C4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Categorization of materials (in scores) according to their effect on </w:t>
      </w:r>
      <w:r w:rsidRPr="003C5C4B">
        <w:rPr>
          <w:rFonts w:ascii="Times New Roman"/>
          <w:sz w:val="24"/>
          <w:szCs w:val="24"/>
          <w:highlight w:val="yellow"/>
          <w:lang w:val="en-US"/>
        </w:rPr>
        <w:t xml:space="preserve">NHI/3T3 </w:t>
      </w:r>
      <w:r w:rsidRPr="003C5C4B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val="en-US" w:eastAsia="pt-BR"/>
        </w:rPr>
        <w:t>cell viability</w:t>
      </w:r>
      <w:r w:rsidRPr="003C5C4B"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en-US" w:eastAsia="pt-BR"/>
        </w:rPr>
        <w:t xml:space="preserve">. </w:t>
      </w:r>
      <w:r w:rsidRPr="003C5C4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Score I: non-cytotoxic (more than 90% cell viability), Score II: slightly cytotoxic (60-90 % cell viability), Score III: moderately cytotoxic (30-59% cell viability); Score IV: severely cytotoxic (less than 30% cell viability) [23].</w:t>
      </w:r>
      <w:r w:rsidRPr="00F97C1E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val="en-US" w:eastAsia="pt-BR"/>
        </w:rPr>
        <w:t xml:space="preserve"> </w:t>
      </w:r>
      <w:r w:rsidRPr="00F3088F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val="en-US" w:eastAsia="pt-BR"/>
        </w:rPr>
        <w:t>P</w:t>
      </w:r>
      <w:r w:rsidRPr="00F308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lacebo varnish (PLA), fluoride varnish (FLU); </w:t>
      </w:r>
      <w:proofErr w:type="spellStart"/>
      <w:r w:rsidRPr="00F308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>nanoparticulate</w:t>
      </w:r>
      <w:proofErr w:type="spellEnd"/>
      <w:r w:rsidRPr="00F308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 sodium </w:t>
      </w:r>
      <w:proofErr w:type="spellStart"/>
      <w:r w:rsidRPr="00F308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>trimetaphosphate</w:t>
      </w:r>
      <w:proofErr w:type="spellEnd"/>
      <w:r w:rsidRPr="00F308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 varnish (TMP); universal adhesive (SBU); surface pre-reacted glass-ionomer filler-containing varnish (SPRG); bioactive ceramic solution (BIOS) and protein from enamel solution (AMTN).</w:t>
      </w:r>
    </w:p>
    <w:p w:rsidR="00F97C1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</w:pPr>
    </w:p>
    <w:p w:rsidR="00F97C1E" w:rsidRPr="00B159E8" w:rsidRDefault="00F97C1E" w:rsidP="00F97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7C1E" w:rsidRPr="007A25A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IN" w:eastAsia="en-IN"/>
        </w:rPr>
        <w:drawing>
          <wp:inline distT="0" distB="0" distL="0" distR="0" wp14:anchorId="08FEFFE6" wp14:editId="39ABDDD7">
            <wp:extent cx="5424619" cy="1976582"/>
            <wp:effectExtent l="0" t="0" r="0" b="5080"/>
            <wp:docPr id="1633603111" name="Imagem 8" descr="Uma imagem contendo material de papelar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03111" name="Imagem 8" descr="Uma imagem contendo material de papelaria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715" cy="19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C1E" w:rsidRDefault="00F97C1E" w:rsidP="00F97C1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</w:p>
    <w:p w:rsidR="00F97C1E" w:rsidRPr="003C5C4B" w:rsidRDefault="00F97C1E" w:rsidP="00F97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3C5C4B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Figure S2</w:t>
      </w:r>
      <w:r w:rsidRPr="003C5C4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Categorization of materials (in scores) according to their effect on </w:t>
      </w:r>
      <w:r w:rsidRPr="003C5C4B">
        <w:rPr>
          <w:rFonts w:ascii="Times New Roman"/>
          <w:sz w:val="24"/>
          <w:szCs w:val="24"/>
          <w:highlight w:val="yellow"/>
          <w:lang w:val="en-US"/>
        </w:rPr>
        <w:t xml:space="preserve">MDPC-23 </w:t>
      </w:r>
      <w:r w:rsidRPr="003C5C4B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val="en-US" w:eastAsia="pt-BR"/>
        </w:rPr>
        <w:t>cell viability</w:t>
      </w:r>
      <w:r w:rsidRPr="003C5C4B"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en-US" w:eastAsia="pt-BR"/>
        </w:rPr>
        <w:t xml:space="preserve">. </w:t>
      </w:r>
      <w:r w:rsidRPr="003C5C4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Score I: non-cytotoxic (more than 90% cell viability), Score II: slightly cytotoxic (60-90 % cell viability), Score III: moderately cytotoxic (30-59% cell viability); Score IV: severely cytotoxic (less than 30% cell viability) [23].</w:t>
      </w:r>
    </w:p>
    <w:p w:rsidR="00F97C1E" w:rsidRDefault="00F97C1E" w:rsidP="00F97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3C5C4B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val="en-US" w:eastAsia="pt-BR"/>
        </w:rPr>
        <w:t>P</w:t>
      </w:r>
      <w:r w:rsidRPr="003C5C4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lacebo varnish (PLA), fluoride varnish (FLU); </w:t>
      </w:r>
      <w:proofErr w:type="spellStart"/>
      <w:r w:rsidRPr="003C5C4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>nanoparticulate</w:t>
      </w:r>
      <w:proofErr w:type="spellEnd"/>
      <w:r w:rsidRPr="003C5C4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 sodium </w:t>
      </w:r>
      <w:proofErr w:type="spellStart"/>
      <w:r w:rsidRPr="003C5C4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>trimetaphosphate</w:t>
      </w:r>
      <w:proofErr w:type="spellEnd"/>
      <w:r w:rsidRPr="003C5C4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pt-BR"/>
        </w:rPr>
        <w:t xml:space="preserve"> varnish (TMP); universal adhesive (SBU); surface pre-reacted glass-ionomer filler-containing varnish (SPRG); bioactive ceramic solution (BIOS) and protein from enamel solution (AMTN).</w:t>
      </w:r>
    </w:p>
    <w:p w:rsidR="00F97C1E" w:rsidRDefault="00F97C1E" w:rsidP="00F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7C1E" w:rsidRDefault="00F97C1E" w:rsidP="00F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7C1E" w:rsidRDefault="00F97C1E" w:rsidP="00F97C1E">
      <w:pPr>
        <w:jc w:val="both"/>
        <w:rPr>
          <w:rFonts w:ascii="Times New Roman"/>
          <w:sz w:val="24"/>
          <w:szCs w:val="24"/>
          <w:lang w:val="en-US"/>
        </w:rPr>
      </w:pPr>
      <w:r w:rsidRPr="00836ED4">
        <w:rPr>
          <w:rFonts w:ascii="Times New Roman" w:eastAsia="Arial MT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Arial MT"/>
          <w:b/>
          <w:bCs/>
          <w:sz w:val="24"/>
          <w:szCs w:val="24"/>
          <w:lang w:val="en-US"/>
        </w:rPr>
        <w:t>S1</w:t>
      </w:r>
      <w:r w:rsidRPr="00836ED4">
        <w:rPr>
          <w:rFonts w:ascii="Times New Roman" w:eastAsia="Arial MT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Arial MT"/>
          <w:sz w:val="24"/>
          <w:szCs w:val="24"/>
          <w:lang w:val="en-US"/>
        </w:rPr>
        <w:t xml:space="preserve">Correlations between data from cell viability and total protein analysis </w:t>
      </w:r>
      <w:r>
        <w:rPr>
          <w:rFonts w:ascii="Times New Roman"/>
          <w:sz w:val="24"/>
          <w:szCs w:val="24"/>
          <w:lang w:val="en-US"/>
        </w:rPr>
        <w:t xml:space="preserve">obtained for </w:t>
      </w:r>
      <w:r w:rsidRPr="0005248F">
        <w:rPr>
          <w:rFonts w:ascii="Times New Roman"/>
          <w:sz w:val="24"/>
          <w:szCs w:val="24"/>
          <w:lang w:val="en-US"/>
        </w:rPr>
        <w:t>NIH/3T3</w:t>
      </w:r>
      <w:r>
        <w:rPr>
          <w:rFonts w:ascii="Times New Roman"/>
          <w:sz w:val="24"/>
          <w:szCs w:val="24"/>
          <w:lang w:val="en-US"/>
        </w:rPr>
        <w:t xml:space="preserve"> cells </w:t>
      </w:r>
      <w:r w:rsidRPr="0005248F">
        <w:rPr>
          <w:rFonts w:ascii="Times New Roman"/>
          <w:sz w:val="24"/>
          <w:szCs w:val="24"/>
          <w:lang w:val="en-US"/>
        </w:rPr>
        <w:t>considering each extract dilution separately (100% - extract, 50% diluted, 25% diluted, 12.5% diluted in DMEM)</w:t>
      </w:r>
    </w:p>
    <w:p w:rsidR="00F97C1E" w:rsidRPr="00FE06ED" w:rsidRDefault="00F97C1E" w:rsidP="00F97C1E">
      <w:pPr>
        <w:jc w:val="both"/>
        <w:rPr>
          <w:rFonts w:ascii="Times New Roman" w:eastAsia="Times New Roman"/>
          <w:color w:val="000000"/>
          <w:sz w:val="32"/>
          <w:szCs w:val="32"/>
          <w:lang w:val="en-US" w:eastAsia="pt-BR"/>
        </w:rPr>
      </w:pPr>
    </w:p>
    <w:tbl>
      <w:tblPr>
        <w:tblStyle w:val="TableGrid"/>
        <w:tblpPr w:leftFromText="141" w:rightFromText="141" w:vertAnchor="page" w:horzAnchor="margin" w:tblpY="25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1202"/>
        <w:gridCol w:w="861"/>
        <w:gridCol w:w="861"/>
        <w:gridCol w:w="861"/>
        <w:gridCol w:w="861"/>
        <w:gridCol w:w="880"/>
        <w:gridCol w:w="813"/>
        <w:gridCol w:w="974"/>
        <w:gridCol w:w="1028"/>
      </w:tblGrid>
      <w:tr w:rsidR="00F97C1E" w:rsidRPr="009C5789" w:rsidTr="00F97C1E">
        <w:tc>
          <w:tcPr>
            <w:tcW w:w="90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04E40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202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L3T3</w:t>
            </w:r>
          </w:p>
        </w:tc>
        <w:tc>
          <w:tcPr>
            <w:tcW w:w="861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PLA</w:t>
            </w:r>
          </w:p>
        </w:tc>
        <w:tc>
          <w:tcPr>
            <w:tcW w:w="861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FLU</w:t>
            </w:r>
          </w:p>
        </w:tc>
        <w:tc>
          <w:tcPr>
            <w:tcW w:w="861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TMP</w:t>
            </w:r>
          </w:p>
        </w:tc>
        <w:tc>
          <w:tcPr>
            <w:tcW w:w="861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SBU</w:t>
            </w:r>
          </w:p>
        </w:tc>
        <w:tc>
          <w:tcPr>
            <w:tcW w:w="880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SPRG</w:t>
            </w:r>
          </w:p>
        </w:tc>
        <w:tc>
          <w:tcPr>
            <w:tcW w:w="813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BIOS</w:t>
            </w:r>
          </w:p>
        </w:tc>
        <w:tc>
          <w:tcPr>
            <w:tcW w:w="974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AMTN</w:t>
            </w:r>
          </w:p>
        </w:tc>
        <w:tc>
          <w:tcPr>
            <w:tcW w:w="1028" w:type="dxa"/>
            <w:vAlign w:val="bottom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DMEM</w:t>
            </w:r>
          </w:p>
        </w:tc>
      </w:tr>
      <w:tr w:rsidR="00F97C1E" w:rsidRPr="009C5789" w:rsidTr="00F97C1E">
        <w:tc>
          <w:tcPr>
            <w:tcW w:w="901" w:type="dxa"/>
            <w:vMerge w:val="restart"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100%</w:t>
            </w:r>
          </w:p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Spearman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-0.371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-0.058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-0.714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0.928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-0.714</w:t>
            </w:r>
          </w:p>
        </w:tc>
      </w:tr>
      <w:tr w:rsidR="00F97C1E" w:rsidRPr="009C5789" w:rsidTr="00F97C1E">
        <w:tc>
          <w:tcPr>
            <w:tcW w:w="901" w:type="dxa"/>
            <w:vMerge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p-valor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0.497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0.913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0.136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880" w:type="dxa"/>
            <w:vAlign w:val="bottom"/>
          </w:tcPr>
          <w:p w:rsidR="00F97C1E" w:rsidRPr="002E0D42" w:rsidRDefault="00F97C1E" w:rsidP="00E56626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0.008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0.003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</w:tr>
      <w:tr w:rsidR="00F97C1E" w:rsidRPr="009C5789" w:rsidTr="00F97C1E">
        <w:tc>
          <w:tcPr>
            <w:tcW w:w="901" w:type="dxa"/>
            <w:vMerge w:val="restart"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50%</w:t>
            </w:r>
          </w:p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Spearman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0.348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-0.257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0.257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-0.086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0.371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0.377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9C5789" w:rsidTr="00F97C1E">
        <w:tc>
          <w:tcPr>
            <w:tcW w:w="901" w:type="dxa"/>
            <w:vMerge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p-valor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0.499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0.658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0.658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0.919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0.497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0.003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0.461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9C5789" w:rsidTr="00F97C1E">
        <w:tc>
          <w:tcPr>
            <w:tcW w:w="901" w:type="dxa"/>
            <w:vMerge w:val="restart"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25%</w:t>
            </w:r>
          </w:p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0" w:name="_GoBack"/>
            <w:bookmarkEnd w:id="0"/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Spearman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0.829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0.771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-0.886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0.143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9C5789" w:rsidTr="00F97C1E">
        <w:tc>
          <w:tcPr>
            <w:tcW w:w="901" w:type="dxa"/>
            <w:vMerge/>
            <w:vAlign w:val="center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p-valor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0.103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0.033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0.827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0.003</w:t>
            </w:r>
          </w:p>
        </w:tc>
        <w:tc>
          <w:tcPr>
            <w:tcW w:w="813" w:type="dxa"/>
            <w:vAlign w:val="bottom"/>
          </w:tcPr>
          <w:p w:rsidR="00F97C1E" w:rsidRPr="002E0D42" w:rsidRDefault="00F97C1E" w:rsidP="00E56626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0.003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0.803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9C5789" w:rsidTr="00F97C1E">
        <w:tc>
          <w:tcPr>
            <w:tcW w:w="901" w:type="dxa"/>
            <w:vMerge w:val="restart"/>
          </w:tcPr>
          <w:p w:rsidR="00F97C1E" w:rsidRPr="00204E40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12.5%</w:t>
            </w:r>
          </w:p>
        </w:tc>
        <w:tc>
          <w:tcPr>
            <w:tcW w:w="1202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Spearman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-0.543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-0.9</w:t>
            </w:r>
          </w:p>
        </w:tc>
        <w:tc>
          <w:tcPr>
            <w:tcW w:w="861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-0.314</w:t>
            </w:r>
          </w:p>
        </w:tc>
        <w:tc>
          <w:tcPr>
            <w:tcW w:w="880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0.543</w:t>
            </w:r>
          </w:p>
        </w:tc>
        <w:tc>
          <w:tcPr>
            <w:tcW w:w="813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4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-0.314</w:t>
            </w:r>
          </w:p>
        </w:tc>
        <w:tc>
          <w:tcPr>
            <w:tcW w:w="1028" w:type="dxa"/>
            <w:vAlign w:val="bottom"/>
          </w:tcPr>
          <w:p w:rsidR="00F97C1E" w:rsidRPr="004C15FE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9C5789" w:rsidTr="00F97C1E">
        <w:tc>
          <w:tcPr>
            <w:tcW w:w="901" w:type="dxa"/>
            <w:vMerge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02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p-valor</w:t>
            </w:r>
          </w:p>
        </w:tc>
        <w:tc>
          <w:tcPr>
            <w:tcW w:w="861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0.242</w:t>
            </w:r>
          </w:p>
        </w:tc>
        <w:tc>
          <w:tcPr>
            <w:tcW w:w="861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0.297</w:t>
            </w:r>
          </w:p>
        </w:tc>
        <w:tc>
          <w:tcPr>
            <w:tcW w:w="861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861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880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0.297</w:t>
            </w:r>
          </w:p>
        </w:tc>
        <w:tc>
          <w:tcPr>
            <w:tcW w:w="813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9C5789">
              <w:rPr>
                <w:rFonts w:ascii="Times New Roman" w:hAnsi="Times New Roman" w:cs="Times New Roman"/>
                <w:color w:val="FF0000"/>
                <w:lang w:val="en-US"/>
              </w:rPr>
              <w:t>0.003</w:t>
            </w:r>
          </w:p>
        </w:tc>
        <w:tc>
          <w:tcPr>
            <w:tcW w:w="974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5789">
              <w:rPr>
                <w:rFonts w:ascii="Times New Roman" w:hAnsi="Times New Roman" w:cs="Times New Roman"/>
                <w:lang w:val="en-US"/>
              </w:rPr>
              <w:t>0.564</w:t>
            </w:r>
          </w:p>
        </w:tc>
        <w:tc>
          <w:tcPr>
            <w:tcW w:w="1028" w:type="dxa"/>
            <w:vAlign w:val="bottom"/>
          </w:tcPr>
          <w:p w:rsidR="00F97C1E" w:rsidRPr="009C5789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97C1E" w:rsidRDefault="00F97C1E" w:rsidP="00F97C1E">
      <w:pPr>
        <w:rPr>
          <w:rFonts w:ascii="Times New Roman"/>
          <w:sz w:val="24"/>
          <w:szCs w:val="24"/>
          <w:lang w:val="en-US"/>
        </w:rPr>
      </w:pPr>
      <w:r w:rsidRPr="00836ED4">
        <w:rPr>
          <w:rFonts w:ascii="Times New Roman" w:eastAsia="Arial MT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Arial MT"/>
          <w:b/>
          <w:bCs/>
          <w:sz w:val="24"/>
          <w:szCs w:val="24"/>
          <w:lang w:val="en-US"/>
        </w:rPr>
        <w:t>S2</w:t>
      </w:r>
      <w:r w:rsidRPr="00836ED4">
        <w:rPr>
          <w:rFonts w:ascii="Times New Roman" w:eastAsia="Arial MT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Arial MT"/>
          <w:sz w:val="24"/>
          <w:szCs w:val="24"/>
          <w:lang w:val="en-US"/>
        </w:rPr>
        <w:t xml:space="preserve">Correlation between data from cell viability and total protein analysis </w:t>
      </w:r>
      <w:r>
        <w:rPr>
          <w:rFonts w:ascii="Times New Roman"/>
          <w:sz w:val="24"/>
          <w:szCs w:val="24"/>
          <w:lang w:val="en-US"/>
        </w:rPr>
        <w:t xml:space="preserve">of MDPC-23 cells </w:t>
      </w:r>
      <w:r w:rsidRPr="0005248F">
        <w:rPr>
          <w:rFonts w:ascii="Times New Roman"/>
          <w:sz w:val="24"/>
          <w:szCs w:val="24"/>
          <w:lang w:val="en-US"/>
        </w:rPr>
        <w:t>considering each extract dilution separately (100% - extract, 50% diluted,</w:t>
      </w:r>
      <w:r w:rsidRPr="00DF6D48">
        <w:rPr>
          <w:rFonts w:ascii="Times New Roman"/>
          <w:sz w:val="24"/>
          <w:szCs w:val="24"/>
          <w:lang w:val="en-US"/>
        </w:rPr>
        <w:t xml:space="preserve"> </w:t>
      </w:r>
      <w:r w:rsidRPr="0005248F">
        <w:rPr>
          <w:rFonts w:ascii="Times New Roman"/>
          <w:sz w:val="24"/>
          <w:szCs w:val="24"/>
          <w:lang w:val="en-US"/>
        </w:rPr>
        <w:t>25% diluted, 12.5% diluted in DMEM)</w:t>
      </w:r>
      <w:r>
        <w:rPr>
          <w:rFonts w:ascii="Times New Roman"/>
          <w:sz w:val="24"/>
          <w:szCs w:val="24"/>
          <w:lang w:val="en-US"/>
        </w:rPr>
        <w:t>.</w:t>
      </w:r>
    </w:p>
    <w:p w:rsidR="00F97C1E" w:rsidRDefault="00F97C1E" w:rsidP="00F97C1E">
      <w:pPr>
        <w:rPr>
          <w:rFonts w:ascii="Times New Roman"/>
          <w:sz w:val="24"/>
          <w:szCs w:val="24"/>
          <w:lang w:val="en-US"/>
        </w:rPr>
      </w:pPr>
    </w:p>
    <w:p w:rsidR="00F97C1E" w:rsidRDefault="00F97C1E" w:rsidP="00F97C1E">
      <w:pPr>
        <w:rPr>
          <w:rFonts w:ascii="Times New Roman"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Y="6692"/>
        <w:tblW w:w="8931" w:type="dxa"/>
        <w:tblLook w:val="04A0" w:firstRow="1" w:lastRow="0" w:firstColumn="1" w:lastColumn="0" w:noHBand="0" w:noVBand="1"/>
      </w:tblPr>
      <w:tblGrid>
        <w:gridCol w:w="920"/>
        <w:gridCol w:w="1198"/>
        <w:gridCol w:w="858"/>
        <w:gridCol w:w="780"/>
        <w:gridCol w:w="830"/>
        <w:gridCol w:w="813"/>
        <w:gridCol w:w="839"/>
        <w:gridCol w:w="867"/>
        <w:gridCol w:w="889"/>
        <w:gridCol w:w="937"/>
      </w:tblGrid>
      <w:tr w:rsidR="00F97C1E" w:rsidRPr="001408FA" w:rsidTr="00E56626">
        <w:tc>
          <w:tcPr>
            <w:tcW w:w="932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MDPC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PLA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FLU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TMP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SBU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SPRG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BIOS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AMTN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DMEM</w:t>
            </w:r>
          </w:p>
        </w:tc>
      </w:tr>
      <w:tr w:rsidR="00F97C1E" w:rsidRPr="001408FA" w:rsidTr="00E56626">
        <w:tc>
          <w:tcPr>
            <w:tcW w:w="932" w:type="dxa"/>
            <w:vMerge w:val="restart"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C5789">
              <w:rPr>
                <w:rFonts w:ascii="Times New Roman" w:hAnsi="Times New Roman" w:cs="Times New Roman"/>
                <w:b/>
                <w:bCs/>
                <w:lang w:val="en-US"/>
              </w:rPr>
              <w:t>100%</w:t>
            </w:r>
          </w:p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Spearman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-0.543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0.406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-0.257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0.986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0.543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-0.143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-0.8</w:t>
            </w:r>
          </w:p>
        </w:tc>
      </w:tr>
      <w:tr w:rsidR="00F97C1E" w:rsidRPr="001408FA" w:rsidTr="00E56626">
        <w:tc>
          <w:tcPr>
            <w:tcW w:w="932" w:type="dxa"/>
            <w:vMerge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p-valor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0D42">
              <w:rPr>
                <w:rFonts w:ascii="Times New Roman" w:hAnsi="Times New Roman" w:cs="Times New Roman"/>
                <w:color w:val="FF0000"/>
              </w:rPr>
              <w:t>&lt;0.001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0.333</w:t>
            </w:r>
          </w:p>
        </w:tc>
      </w:tr>
      <w:tr w:rsidR="00F97C1E" w:rsidRPr="001408FA" w:rsidTr="00E56626">
        <w:tc>
          <w:tcPr>
            <w:tcW w:w="932" w:type="dxa"/>
            <w:vMerge w:val="restart"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50%</w:t>
            </w:r>
          </w:p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Spearman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-0.609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-0.6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-0.145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-0.257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-0.314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-0.551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1408FA" w:rsidTr="00E56626">
        <w:tc>
          <w:tcPr>
            <w:tcW w:w="932" w:type="dxa"/>
            <w:vMerge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p-valor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0.564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1408FA" w:rsidTr="00E56626">
        <w:tc>
          <w:tcPr>
            <w:tcW w:w="932" w:type="dxa"/>
            <w:vMerge w:val="restart"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25%</w:t>
            </w:r>
          </w:p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Spearman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-0.714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-0.714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-0.429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-0.203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-0.029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-0.314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1408FA" w:rsidTr="00E56626">
        <w:tc>
          <w:tcPr>
            <w:tcW w:w="932" w:type="dxa"/>
            <w:vMerge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p-valor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0.564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1408FA" w:rsidTr="00E56626">
        <w:tc>
          <w:tcPr>
            <w:tcW w:w="932" w:type="dxa"/>
            <w:vMerge w:val="restart"/>
            <w:vAlign w:val="center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08FA">
              <w:rPr>
                <w:rFonts w:ascii="Times New Roman" w:hAnsi="Times New Roman" w:cs="Times New Roman"/>
                <w:b/>
                <w:bCs/>
              </w:rPr>
              <w:t>12.5%</w:t>
            </w:r>
          </w:p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Spearman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-0.6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-0.429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-0.812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408FA">
              <w:rPr>
                <w:rFonts w:ascii="Times New Roman" w:hAnsi="Times New Roman" w:cs="Times New Roman"/>
              </w:rPr>
              <w:t>-0.771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97C1E" w:rsidRPr="001408FA" w:rsidTr="00E56626">
        <w:tc>
          <w:tcPr>
            <w:tcW w:w="932" w:type="dxa"/>
            <w:vMerge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p-valor</w:t>
            </w:r>
          </w:p>
        </w:tc>
        <w:tc>
          <w:tcPr>
            <w:tcW w:w="87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78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844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825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0.919</w:t>
            </w:r>
          </w:p>
        </w:tc>
        <w:tc>
          <w:tcPr>
            <w:tcW w:w="83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0.497</w:t>
            </w:r>
          </w:p>
        </w:tc>
        <w:tc>
          <w:tcPr>
            <w:tcW w:w="881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2E0D42">
              <w:rPr>
                <w:rFonts w:ascii="Times New Roman" w:hAnsi="Times New Roman" w:cs="Times New Roman"/>
                <w:color w:val="FF0000"/>
              </w:rPr>
              <w:t>0.05</w:t>
            </w:r>
          </w:p>
        </w:tc>
        <w:tc>
          <w:tcPr>
            <w:tcW w:w="889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  <w:r w:rsidRPr="001408FA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848" w:type="dxa"/>
          </w:tcPr>
          <w:p w:rsidR="00F97C1E" w:rsidRPr="001408FA" w:rsidRDefault="00F97C1E" w:rsidP="00E56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7C1E" w:rsidRDefault="00F97C1E" w:rsidP="00F97C1E">
      <w:pPr>
        <w:rPr>
          <w:rFonts w:ascii="Times New Roman"/>
          <w:sz w:val="24"/>
          <w:szCs w:val="24"/>
          <w:lang w:val="en-US"/>
        </w:rPr>
      </w:pPr>
    </w:p>
    <w:p w:rsidR="00CB216C" w:rsidRDefault="00CB216C"/>
    <w:p w:rsidR="00F97C1E" w:rsidRDefault="00F97C1E">
      <w:pPr>
        <w:rPr>
          <w:rFonts w:ascii="Times New Roman"/>
          <w:sz w:val="24"/>
          <w:szCs w:val="24"/>
          <w:lang w:val="en-US"/>
        </w:rPr>
      </w:pPr>
    </w:p>
    <w:p w:rsidR="00F97C1E" w:rsidRDefault="00F97C1E"/>
    <w:sectPr w:rsidR="00F97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BCC" w:rsidRDefault="00C64BCC" w:rsidP="00F97C1E">
      <w:pPr>
        <w:spacing w:after="0" w:line="240" w:lineRule="auto"/>
      </w:pPr>
      <w:r>
        <w:separator/>
      </w:r>
    </w:p>
  </w:endnote>
  <w:endnote w:type="continuationSeparator" w:id="0">
    <w:p w:rsidR="00C64BCC" w:rsidRDefault="00C64BCC" w:rsidP="00F9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BCC" w:rsidRDefault="00C64BCC" w:rsidP="00F97C1E">
      <w:pPr>
        <w:spacing w:after="0" w:line="240" w:lineRule="auto"/>
      </w:pPr>
      <w:r>
        <w:separator/>
      </w:r>
    </w:p>
  </w:footnote>
  <w:footnote w:type="continuationSeparator" w:id="0">
    <w:p w:rsidR="00C64BCC" w:rsidRDefault="00C64BCC" w:rsidP="00F97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1E"/>
    <w:rsid w:val="00C64BCC"/>
    <w:rsid w:val="00CB216C"/>
    <w:rsid w:val="00F9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AD5115-F16C-405E-85A1-F9FAA852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C1E"/>
    <w:pPr>
      <w:spacing w:after="160" w:line="259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C1E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C1E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F97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C1E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2024-05-14T08:20:00Z</dcterms:created>
  <dcterms:modified xsi:type="dcterms:W3CDTF">2024-05-14T08:28:00Z</dcterms:modified>
</cp:coreProperties>
</file>