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DD107" w14:textId="77777777" w:rsidR="00581AE4" w:rsidRDefault="00397878" w:rsidP="00581AE4">
      <w:pPr>
        <w:jc w:val="both"/>
        <w:rPr>
          <w:rFonts w:ascii="Arial" w:hAnsi="Arial" w:cs="Arial"/>
          <w:b/>
          <w:sz w:val="28"/>
          <w:szCs w:val="28"/>
        </w:rPr>
      </w:pPr>
      <w:r w:rsidRPr="00427DB8">
        <w:rPr>
          <w:rFonts w:ascii="Arial" w:hAnsi="Arial" w:cs="Arial"/>
          <w:b/>
          <w:sz w:val="28"/>
          <w:szCs w:val="28"/>
        </w:rPr>
        <w:t>Root resorption of primary molars and dental development of premolars in children with Osteogenesis Imperfecta medicated with bisphosphonates, grouped according to age and gende</w:t>
      </w:r>
      <w:r w:rsidR="00581AE4">
        <w:rPr>
          <w:rFonts w:ascii="Arial" w:hAnsi="Arial" w:cs="Arial"/>
          <w:b/>
          <w:sz w:val="28"/>
          <w:szCs w:val="28"/>
        </w:rPr>
        <w:t>r.</w:t>
      </w:r>
    </w:p>
    <w:p w14:paraId="39C138BA" w14:textId="77777777" w:rsidR="003340BE" w:rsidRPr="00180203" w:rsidRDefault="003340BE" w:rsidP="003340BE">
      <w:pPr>
        <w:pStyle w:val="Ttulo2"/>
        <w:numPr>
          <w:ilvl w:val="0"/>
          <w:numId w:val="0"/>
        </w:numPr>
        <w:rPr>
          <w:rFonts w:ascii="Arial" w:hAnsi="Arial" w:cs="Arial"/>
          <w:sz w:val="24"/>
          <w:szCs w:val="24"/>
          <w:lang w:val="en-US"/>
        </w:rPr>
      </w:pPr>
    </w:p>
    <w:p w14:paraId="4C4DD099" w14:textId="77777777" w:rsidR="003340BE" w:rsidRPr="00180203" w:rsidRDefault="003340BE" w:rsidP="003340BE">
      <w:pPr>
        <w:pStyle w:val="Ttulo2"/>
        <w:numPr>
          <w:ilvl w:val="0"/>
          <w:numId w:val="0"/>
        </w:numPr>
        <w:rPr>
          <w:rFonts w:ascii="Arial" w:hAnsi="Arial" w:cs="Arial"/>
          <w:sz w:val="24"/>
          <w:szCs w:val="24"/>
          <w:lang w:val="en-US"/>
        </w:rPr>
      </w:pPr>
    </w:p>
    <w:p w14:paraId="6C3D005B" w14:textId="0CA92F72" w:rsidR="003340BE" w:rsidRPr="003340BE" w:rsidRDefault="00397878" w:rsidP="003340BE">
      <w:pPr>
        <w:pStyle w:val="Ttulo2"/>
        <w:numPr>
          <w:ilvl w:val="0"/>
          <w:numId w:val="0"/>
        </w:numPr>
        <w:rPr>
          <w:rFonts w:ascii="Noto Sans" w:hAnsi="Noto Sans" w:cs="Noto Sans"/>
          <w:b/>
          <w:bCs/>
          <w:sz w:val="24"/>
          <w:szCs w:val="24"/>
          <w:lang w:val="es-ES"/>
        </w:rPr>
      </w:pPr>
      <w:r w:rsidRPr="003340BE">
        <w:rPr>
          <w:rFonts w:ascii="Arial" w:hAnsi="Arial" w:cs="Arial"/>
          <w:color w:val="auto"/>
          <w:sz w:val="24"/>
          <w:szCs w:val="24"/>
          <w:lang w:val="es-ES"/>
        </w:rPr>
        <w:t>Clara Sandibel</w:t>
      </w:r>
      <w:r w:rsidR="003340BE">
        <w:rPr>
          <w:rFonts w:ascii="Arial" w:hAnsi="Arial" w:cs="Arial"/>
          <w:color w:val="auto"/>
          <w:sz w:val="24"/>
          <w:szCs w:val="24"/>
          <w:lang w:val="es-ES"/>
        </w:rPr>
        <w:t xml:space="preserve"> Garcete Delvalle</w:t>
      </w:r>
      <w:r w:rsidRPr="00C5465F">
        <w:rPr>
          <w:rFonts w:ascii="Arial" w:eastAsia="Arial" w:hAnsi="Arial" w:cs="Arial"/>
          <w:b/>
          <w:bCs/>
          <w:color w:val="auto"/>
          <w:sz w:val="24"/>
          <w:szCs w:val="24"/>
          <w:vertAlign w:val="superscript"/>
          <w:lang w:val="es-ES"/>
        </w:rPr>
        <w:t>1</w:t>
      </w:r>
      <w:r w:rsidR="002762BE" w:rsidRPr="00C5465F">
        <w:rPr>
          <w:rFonts w:ascii="Arial" w:eastAsia="Arial" w:hAnsi="Arial" w:cs="Arial"/>
          <w:b/>
          <w:bCs/>
          <w:color w:val="auto"/>
          <w:sz w:val="24"/>
          <w:szCs w:val="24"/>
          <w:vertAlign w:val="superscript"/>
          <w:lang w:val="es-ES"/>
        </w:rPr>
        <w:t>*</w:t>
      </w:r>
      <w:r w:rsidRPr="003340BE">
        <w:rPr>
          <w:rFonts w:ascii="Arial" w:hAnsi="Arial" w:cs="Arial"/>
          <w:color w:val="auto"/>
          <w:sz w:val="24"/>
          <w:szCs w:val="24"/>
          <w:lang w:val="es-ES"/>
        </w:rPr>
        <w:t xml:space="preserve">, </w:t>
      </w:r>
      <w:hyperlink r:id="rId5" w:history="1">
        <w:r w:rsidR="003340BE" w:rsidRPr="003340BE">
          <w:rPr>
            <w:rStyle w:val="Hipervnculo"/>
            <w:rFonts w:ascii="Noto Sans" w:hAnsi="Noto Sans" w:cs="Noto Sans"/>
            <w:sz w:val="24"/>
            <w:szCs w:val="24"/>
            <w:lang w:val="es-ES"/>
          </w:rPr>
          <w:t>https://orcid.org/0000-0003-4786-2014</w:t>
        </w:r>
      </w:hyperlink>
    </w:p>
    <w:p w14:paraId="53396F19" w14:textId="7B438F2D" w:rsidR="007508CC" w:rsidRDefault="007508CC" w:rsidP="00581AE4">
      <w:pPr>
        <w:jc w:val="both"/>
        <w:rPr>
          <w:rFonts w:ascii="Arial" w:hAnsi="Arial" w:cs="Arial"/>
          <w:lang w:val="es-ES"/>
        </w:rPr>
      </w:pPr>
    </w:p>
    <w:p w14:paraId="7BAE90C3" w14:textId="2AB761A4" w:rsidR="00581AE4" w:rsidRDefault="00397878" w:rsidP="00581AE4">
      <w:pPr>
        <w:jc w:val="both"/>
        <w:rPr>
          <w:rFonts w:ascii="Noto Sans" w:hAnsi="Noto Sans" w:cs="Noto Sans"/>
          <w:lang w:val="es-ES"/>
        </w:rPr>
      </w:pPr>
      <w:r w:rsidRPr="007508CC">
        <w:rPr>
          <w:rFonts w:ascii="Arial" w:hAnsi="Arial" w:cs="Arial"/>
          <w:lang w:val="es-PR"/>
        </w:rPr>
        <w:t>M.</w:t>
      </w:r>
      <w:r w:rsidR="00C663B4">
        <w:rPr>
          <w:rFonts w:ascii="Arial" w:hAnsi="Arial" w:cs="Arial"/>
          <w:lang w:val="es-PR"/>
        </w:rPr>
        <w:t xml:space="preserve"> </w:t>
      </w:r>
      <w:r w:rsidRPr="007508CC">
        <w:rPr>
          <w:rFonts w:ascii="Arial" w:hAnsi="Arial" w:cs="Arial"/>
          <w:lang w:val="es-PR"/>
        </w:rPr>
        <w:t>Joaquín</w:t>
      </w:r>
      <w:r w:rsidR="003340BE" w:rsidRPr="003340BE">
        <w:rPr>
          <w:rFonts w:ascii="Arial" w:hAnsi="Arial" w:cs="Arial"/>
          <w:lang w:val="es-PR"/>
        </w:rPr>
        <w:t xml:space="preserve"> </w:t>
      </w:r>
      <w:r w:rsidR="003340BE" w:rsidRPr="007508CC">
        <w:rPr>
          <w:rFonts w:ascii="Arial" w:hAnsi="Arial" w:cs="Arial"/>
          <w:lang w:val="es-PR"/>
        </w:rPr>
        <w:t>De Nova García</w:t>
      </w:r>
      <w:r w:rsidRPr="00C5465F">
        <w:rPr>
          <w:rFonts w:ascii="Arial" w:eastAsia="Arial" w:hAnsi="Arial" w:cs="Arial"/>
          <w:b/>
          <w:bCs/>
          <w:vertAlign w:val="superscript"/>
          <w:lang w:val="es-PR"/>
        </w:rPr>
        <w:t>2</w:t>
      </w:r>
      <w:r w:rsidRPr="007508CC">
        <w:rPr>
          <w:rFonts w:ascii="Arial" w:hAnsi="Arial" w:cs="Arial"/>
          <w:lang w:val="es-PR"/>
        </w:rPr>
        <w:t>,</w:t>
      </w:r>
      <w:r w:rsidR="003340BE" w:rsidRPr="003340BE">
        <w:rPr>
          <w:lang w:val="es-ES"/>
        </w:rPr>
        <w:t xml:space="preserve"> </w:t>
      </w:r>
      <w:hyperlink r:id="rId6" w:history="1">
        <w:r w:rsidR="003340BE" w:rsidRPr="0071631C">
          <w:rPr>
            <w:rStyle w:val="Hipervnculo"/>
            <w:rFonts w:ascii="Arial" w:hAnsi="Arial" w:cs="Arial"/>
            <w:lang w:val="es-PR"/>
          </w:rPr>
          <w:t>https://orcid.org/0000-0001-8952-9653</w:t>
        </w:r>
      </w:hyperlink>
      <w:r w:rsidR="003340BE">
        <w:rPr>
          <w:rFonts w:ascii="Arial" w:hAnsi="Arial" w:cs="Arial"/>
          <w:lang w:val="es-PR"/>
        </w:rPr>
        <w:t xml:space="preserve"> </w:t>
      </w:r>
    </w:p>
    <w:p w14:paraId="76513439" w14:textId="77777777" w:rsidR="007508CC" w:rsidRPr="007508CC" w:rsidRDefault="007508CC" w:rsidP="00581AE4">
      <w:pPr>
        <w:jc w:val="both"/>
        <w:rPr>
          <w:rFonts w:ascii="Arial" w:hAnsi="Arial" w:cs="Arial"/>
          <w:lang w:val="es-PR"/>
        </w:rPr>
      </w:pPr>
    </w:p>
    <w:p w14:paraId="04F53416" w14:textId="200A7C91" w:rsidR="00397878" w:rsidRPr="007508CC" w:rsidRDefault="007508CC" w:rsidP="00581AE4">
      <w:pPr>
        <w:jc w:val="both"/>
        <w:rPr>
          <w:rFonts w:ascii="Arial" w:hAnsi="Arial" w:cs="Arial"/>
          <w:lang w:val="es-PR"/>
        </w:rPr>
      </w:pPr>
      <w:r>
        <w:rPr>
          <w:rFonts w:ascii="Arial" w:hAnsi="Arial" w:cs="Arial"/>
          <w:lang w:val="es-ES"/>
        </w:rPr>
        <w:t xml:space="preserve">María </w:t>
      </w:r>
      <w:r w:rsidR="00397878" w:rsidRPr="007508CC">
        <w:rPr>
          <w:rFonts w:ascii="Arial" w:hAnsi="Arial" w:cs="Arial"/>
          <w:lang w:val="es-ES"/>
        </w:rPr>
        <w:t>Rosa</w:t>
      </w:r>
      <w:r w:rsidR="003340BE" w:rsidRPr="003340BE">
        <w:rPr>
          <w:rFonts w:ascii="Arial" w:hAnsi="Arial" w:cs="Arial"/>
          <w:lang w:val="es-ES"/>
        </w:rPr>
        <w:t xml:space="preserve"> </w:t>
      </w:r>
      <w:r w:rsidR="003340BE" w:rsidRPr="007508CC">
        <w:rPr>
          <w:rFonts w:ascii="Arial" w:hAnsi="Arial" w:cs="Arial"/>
          <w:lang w:val="es-ES"/>
        </w:rPr>
        <w:t>Mourelle Martínez</w:t>
      </w:r>
      <w:r w:rsidR="00397878" w:rsidRPr="00C5465F">
        <w:rPr>
          <w:rFonts w:ascii="Arial" w:eastAsia="Arial" w:hAnsi="Arial" w:cs="Arial"/>
          <w:b/>
          <w:bCs/>
          <w:vertAlign w:val="superscript"/>
          <w:lang w:val="es-ES"/>
        </w:rPr>
        <w:t>2</w:t>
      </w:r>
      <w:r w:rsidRPr="007508CC">
        <w:rPr>
          <w:rFonts w:ascii="Arial" w:eastAsia="Arial" w:hAnsi="Arial" w:cs="Arial"/>
          <w:lang w:val="es-ES"/>
        </w:rPr>
        <w:t>,</w:t>
      </w:r>
      <w:r>
        <w:rPr>
          <w:rFonts w:ascii="Arial" w:eastAsia="Arial" w:hAnsi="Arial" w:cs="Arial"/>
          <w:vertAlign w:val="superscript"/>
          <w:lang w:val="es-ES"/>
        </w:rPr>
        <w:t xml:space="preserve"> </w:t>
      </w:r>
      <w:hyperlink r:id="rId7" w:history="1">
        <w:r w:rsidR="003340BE" w:rsidRPr="003340BE">
          <w:rPr>
            <w:rStyle w:val="Hipervnculo"/>
            <w:rFonts w:ascii="Arial" w:eastAsia="Arial" w:hAnsi="Arial" w:cs="Arial"/>
            <w:lang w:val="es-ES"/>
          </w:rPr>
          <w:t>https://orcid.org/0000-0002-0133-5094</w:t>
        </w:r>
      </w:hyperlink>
      <w:r w:rsidR="003340BE">
        <w:rPr>
          <w:rFonts w:ascii="Arial" w:eastAsia="Arial" w:hAnsi="Arial" w:cs="Arial"/>
          <w:vertAlign w:val="superscript"/>
          <w:lang w:val="es-ES"/>
        </w:rPr>
        <w:t xml:space="preserve"> </w:t>
      </w:r>
    </w:p>
    <w:p w14:paraId="1B8CF799" w14:textId="244D6818" w:rsidR="006E361D" w:rsidRDefault="006E361D" w:rsidP="000143D4">
      <w:pPr>
        <w:spacing w:line="360" w:lineRule="auto"/>
        <w:jc w:val="both"/>
        <w:rPr>
          <w:rFonts w:ascii="Arial" w:hAnsi="Arial" w:cs="Arial"/>
          <w:vertAlign w:val="superscript"/>
          <w:lang w:val="es-ES"/>
        </w:rPr>
      </w:pPr>
    </w:p>
    <w:p w14:paraId="7C9D8791" w14:textId="2ADFA4F6" w:rsidR="00CB625D" w:rsidRDefault="00CB625D" w:rsidP="00CB625D">
      <w:pPr>
        <w:jc w:val="both"/>
        <w:rPr>
          <w:rFonts w:ascii="Arial" w:hAnsi="Arial" w:cs="Arial"/>
          <w:b/>
          <w:bCs/>
          <w:noProof/>
          <w:lang w:val="es-ES"/>
        </w:rPr>
      </w:pPr>
      <w:r w:rsidRPr="002762BE">
        <w:rPr>
          <w:rFonts w:ascii="Arial" w:eastAsia="Arial" w:hAnsi="Arial" w:cs="Arial"/>
          <w:b/>
          <w:bCs/>
          <w:vertAlign w:val="superscript"/>
          <w:lang w:val="es-ES"/>
        </w:rPr>
        <w:t>*</w:t>
      </w:r>
      <w:r w:rsidRPr="002762BE">
        <w:rPr>
          <w:rFonts w:ascii="Arial" w:hAnsi="Arial" w:cs="Arial"/>
          <w:b/>
          <w:bCs/>
          <w:noProof/>
          <w:lang w:val="es-ES"/>
        </w:rPr>
        <w:t>Correspon</w:t>
      </w:r>
      <w:r w:rsidR="00C5465F">
        <w:rPr>
          <w:rFonts w:ascii="Arial" w:hAnsi="Arial" w:cs="Arial"/>
          <w:b/>
          <w:bCs/>
          <w:noProof/>
          <w:lang w:val="es-ES"/>
        </w:rPr>
        <w:t>d</w:t>
      </w:r>
      <w:r w:rsidR="0046797A">
        <w:rPr>
          <w:rFonts w:ascii="Arial" w:hAnsi="Arial" w:cs="Arial"/>
          <w:b/>
          <w:bCs/>
          <w:noProof/>
          <w:lang w:val="es-ES"/>
        </w:rPr>
        <w:t>ing author</w:t>
      </w:r>
      <w:r w:rsidRPr="002762BE">
        <w:rPr>
          <w:rFonts w:ascii="Arial" w:hAnsi="Arial" w:cs="Arial"/>
          <w:b/>
          <w:bCs/>
          <w:noProof/>
          <w:lang w:val="es-ES"/>
        </w:rPr>
        <w:t>:</w:t>
      </w:r>
      <w:r>
        <w:rPr>
          <w:rFonts w:ascii="Arial" w:hAnsi="Arial" w:cs="Arial"/>
          <w:b/>
          <w:bCs/>
          <w:noProof/>
          <w:lang w:val="es-ES"/>
        </w:rPr>
        <w:t xml:space="preserve"> </w:t>
      </w:r>
    </w:p>
    <w:p w14:paraId="4266D3AA" w14:textId="1C706CCC" w:rsidR="00CB625D" w:rsidRPr="007C1C6A" w:rsidRDefault="00CB625D" w:rsidP="00CB625D">
      <w:pPr>
        <w:jc w:val="both"/>
        <w:rPr>
          <w:rFonts w:ascii="Arial" w:hAnsi="Arial" w:cs="Arial"/>
          <w:noProof/>
          <w:lang w:val="es-ES"/>
        </w:rPr>
      </w:pPr>
      <w:r w:rsidRPr="00DD176B">
        <w:rPr>
          <w:rFonts w:ascii="Arial" w:hAnsi="Arial" w:cs="Arial"/>
          <w:noProof/>
          <w:lang w:val="es-ES"/>
        </w:rPr>
        <w:t xml:space="preserve">Clara Sandibel Garcete Delvalle </w:t>
      </w:r>
      <w:hyperlink r:id="rId8" w:history="1">
        <w:r w:rsidRPr="00CB625D">
          <w:rPr>
            <w:rStyle w:val="Hipervnculo"/>
            <w:rFonts w:ascii="Arial" w:hAnsi="Arial" w:cs="Arial"/>
            <w:noProof/>
            <w:lang w:val="es-ES"/>
          </w:rPr>
          <w:t>cgarcete@ucm.es</w:t>
        </w:r>
      </w:hyperlink>
    </w:p>
    <w:p w14:paraId="489F1E16" w14:textId="77777777" w:rsidR="007508CC" w:rsidRPr="007A17F8" w:rsidRDefault="007508CC" w:rsidP="000143D4">
      <w:pPr>
        <w:spacing w:line="360" w:lineRule="auto"/>
        <w:jc w:val="both"/>
        <w:rPr>
          <w:rFonts w:ascii="Arial" w:hAnsi="Arial" w:cs="Arial"/>
          <w:vertAlign w:val="superscript"/>
          <w:lang w:val="es-ES"/>
        </w:rPr>
      </w:pPr>
    </w:p>
    <w:p w14:paraId="4DDBDF1F" w14:textId="087F6D33" w:rsidR="00397878" w:rsidRPr="00427DB8" w:rsidRDefault="00397878" w:rsidP="000143D4">
      <w:pPr>
        <w:spacing w:line="360" w:lineRule="auto"/>
        <w:jc w:val="both"/>
        <w:rPr>
          <w:rFonts w:ascii="Arial" w:hAnsi="Arial" w:cs="Arial"/>
        </w:rPr>
      </w:pPr>
      <w:r w:rsidRPr="00427DB8">
        <w:rPr>
          <w:rFonts w:ascii="Arial" w:hAnsi="Arial" w:cs="Arial"/>
          <w:vertAlign w:val="superscript"/>
        </w:rPr>
        <w:t>1</w:t>
      </w:r>
      <w:r w:rsidRPr="00427DB8">
        <w:rPr>
          <w:rFonts w:ascii="Arial" w:hAnsi="Arial" w:cs="Arial"/>
        </w:rPr>
        <w:t>PhD student in Dental Sciences. Complutense University of Madrid, Faculty of Dentistry.</w:t>
      </w:r>
      <w:r>
        <w:rPr>
          <w:rFonts w:ascii="Arial" w:hAnsi="Arial" w:cs="Arial"/>
        </w:rPr>
        <w:t xml:space="preserve"> Madrid- Spain </w:t>
      </w:r>
    </w:p>
    <w:p w14:paraId="070B8BC5" w14:textId="2D88D911" w:rsidR="00397878" w:rsidRPr="00427DB8" w:rsidRDefault="00397878" w:rsidP="000143D4">
      <w:pPr>
        <w:spacing w:line="360" w:lineRule="auto"/>
        <w:jc w:val="both"/>
        <w:rPr>
          <w:rFonts w:ascii="Arial" w:hAnsi="Arial" w:cs="Arial"/>
        </w:rPr>
      </w:pPr>
      <w:r w:rsidRPr="00427DB8">
        <w:rPr>
          <w:rFonts w:ascii="Arial" w:hAnsi="Arial" w:cs="Arial"/>
          <w:vertAlign w:val="superscript"/>
        </w:rPr>
        <w:t>2</w:t>
      </w:r>
      <w:r w:rsidRPr="00427DB8">
        <w:rPr>
          <w:rFonts w:ascii="Arial" w:hAnsi="Arial" w:cs="Arial"/>
        </w:rPr>
        <w:t>Professor of P</w:t>
      </w:r>
      <w:r w:rsidR="00A33968">
        <w:rPr>
          <w:rFonts w:ascii="Arial" w:hAnsi="Arial" w:cs="Arial"/>
        </w:rPr>
        <w:t>a</w:t>
      </w:r>
      <w:r w:rsidRPr="00427DB8">
        <w:rPr>
          <w:rFonts w:ascii="Arial" w:hAnsi="Arial" w:cs="Arial"/>
        </w:rPr>
        <w:t>ediatric Dentistry. Complutense University of Madrid, Faculty of Dentistry.</w:t>
      </w:r>
      <w:r w:rsidRPr="00397878">
        <w:rPr>
          <w:rFonts w:ascii="Arial" w:hAnsi="Arial" w:cs="Arial"/>
        </w:rPr>
        <w:t xml:space="preserve"> </w:t>
      </w:r>
      <w:r>
        <w:rPr>
          <w:rFonts w:ascii="Arial" w:hAnsi="Arial" w:cs="Arial"/>
        </w:rPr>
        <w:t>Madrid- Spain</w:t>
      </w:r>
    </w:p>
    <w:p w14:paraId="2B90ED71" w14:textId="77777777" w:rsidR="00DD176B" w:rsidRPr="004E0A8F" w:rsidRDefault="00DD176B" w:rsidP="00D230CF">
      <w:pPr>
        <w:jc w:val="both"/>
        <w:rPr>
          <w:rFonts w:ascii="Arial" w:hAnsi="Arial" w:cs="Arial"/>
          <w:lang w:val="en-US"/>
        </w:rPr>
      </w:pPr>
    </w:p>
    <w:p w14:paraId="0BD5C3E5" w14:textId="77777777" w:rsidR="00D230CF" w:rsidRPr="00984AD7" w:rsidRDefault="00D230CF" w:rsidP="00D230CF">
      <w:pPr>
        <w:jc w:val="both"/>
        <w:rPr>
          <w:rFonts w:ascii="Arial" w:hAnsi="Arial" w:cs="Arial"/>
          <w:b/>
          <w:sz w:val="28"/>
          <w:szCs w:val="28"/>
        </w:rPr>
      </w:pPr>
      <w:r w:rsidRPr="00984AD7">
        <w:rPr>
          <w:rFonts w:ascii="Arial" w:hAnsi="Arial" w:cs="Arial"/>
          <w:b/>
          <w:sz w:val="28"/>
          <w:szCs w:val="28"/>
        </w:rPr>
        <w:t>Abstract</w:t>
      </w:r>
    </w:p>
    <w:p w14:paraId="22C8E5B6" w14:textId="77777777" w:rsidR="00D230CF" w:rsidRPr="00984AD7" w:rsidRDefault="00D230CF" w:rsidP="00D230CF">
      <w:pPr>
        <w:jc w:val="both"/>
        <w:rPr>
          <w:rFonts w:ascii="Arial" w:hAnsi="Arial" w:cs="Arial"/>
        </w:rPr>
      </w:pPr>
    </w:p>
    <w:p w14:paraId="10212F77" w14:textId="2424C049" w:rsidR="00D230CF" w:rsidRPr="00984AD7" w:rsidRDefault="00D230CF" w:rsidP="00D230CF">
      <w:pPr>
        <w:jc w:val="both"/>
        <w:rPr>
          <w:rFonts w:ascii="Arial" w:hAnsi="Arial" w:cs="Arial"/>
        </w:rPr>
      </w:pPr>
      <w:r w:rsidRPr="00984AD7">
        <w:rPr>
          <w:rFonts w:ascii="Arial" w:hAnsi="Arial" w:cs="Arial"/>
        </w:rPr>
        <w:t xml:space="preserve">Osteogenesis imperfecta (OI) is an inherited disorder characterized by bone fragility and skeletal alterations. The administration of bisphosphonates (BPs) to patients with OI reduces pain, thereby improving their quality of life. The main mechanism of action of BPs is </w:t>
      </w:r>
      <w:r>
        <w:rPr>
          <w:rFonts w:ascii="Arial" w:hAnsi="Arial" w:cs="Arial"/>
        </w:rPr>
        <w:t xml:space="preserve">the </w:t>
      </w:r>
      <w:r w:rsidRPr="00984AD7">
        <w:rPr>
          <w:rFonts w:ascii="Arial" w:hAnsi="Arial" w:cs="Arial"/>
        </w:rPr>
        <w:t>inhibit</w:t>
      </w:r>
      <w:r>
        <w:rPr>
          <w:rFonts w:ascii="Arial" w:hAnsi="Arial" w:cs="Arial"/>
        </w:rPr>
        <w:t>ion of</w:t>
      </w:r>
      <w:r w:rsidRPr="00984AD7">
        <w:rPr>
          <w:rFonts w:ascii="Arial" w:hAnsi="Arial" w:cs="Arial"/>
        </w:rPr>
        <w:t xml:space="preserve"> osteoclast action. In the oral cavity of children with OI during growth and development, physiological processes that require the function of osteoclasts occur. </w:t>
      </w:r>
      <w:r w:rsidRPr="00512830">
        <w:rPr>
          <w:rFonts w:ascii="Arial" w:hAnsi="Arial" w:cs="Arial"/>
        </w:rPr>
        <w:t xml:space="preserve">The aim of this investigation </w:t>
      </w:r>
      <w:r w:rsidRPr="005158D2">
        <w:rPr>
          <w:rFonts w:ascii="Arial" w:hAnsi="Arial" w:cs="Arial"/>
        </w:rPr>
        <w:t>was</w:t>
      </w:r>
      <w:r w:rsidR="007C1C6A">
        <w:rPr>
          <w:rStyle w:val="Refdecomentario"/>
          <w:rFonts w:eastAsiaTheme="majorEastAsia"/>
        </w:rPr>
        <w:t xml:space="preserve"> </w:t>
      </w:r>
      <w:r w:rsidRPr="00512830">
        <w:rPr>
          <w:rFonts w:ascii="Arial" w:hAnsi="Arial" w:cs="Arial"/>
        </w:rPr>
        <w:t xml:space="preserve">to study the dental development of premolars and the root resorption of primary molars in children with OI medicated with BPs according to age and sex. </w:t>
      </w:r>
      <w:r w:rsidRPr="00512830">
        <w:rPr>
          <w:rFonts w:ascii="Arial" w:hAnsi="Arial" w:cs="Arial"/>
          <w:b/>
        </w:rPr>
        <w:t>Methods:</w:t>
      </w:r>
      <w:r w:rsidRPr="00512830">
        <w:rPr>
          <w:rFonts w:ascii="Arial" w:hAnsi="Arial" w:cs="Arial"/>
        </w:rPr>
        <w:t xml:space="preserve"> An observational and analytical study was designed</w:t>
      </w:r>
      <w:r w:rsidR="008846D4">
        <w:rPr>
          <w:rFonts w:ascii="Arial" w:hAnsi="Arial" w:cs="Arial"/>
        </w:rPr>
        <w:t xml:space="preserve">. </w:t>
      </w:r>
      <w:r w:rsidRPr="00512830">
        <w:rPr>
          <w:rFonts w:ascii="Arial" w:hAnsi="Arial" w:cs="Arial"/>
        </w:rPr>
        <w:t>The study sample c</w:t>
      </w:r>
      <w:r w:rsidRPr="005158D2">
        <w:rPr>
          <w:rFonts w:ascii="Arial" w:hAnsi="Arial" w:cs="Arial"/>
        </w:rPr>
        <w:t>onsisted</w:t>
      </w:r>
      <w:r w:rsidR="007C1C6A">
        <w:rPr>
          <w:rStyle w:val="Refdecomentario"/>
          <w:rFonts w:eastAsiaTheme="majorEastAsia"/>
        </w:rPr>
        <w:t xml:space="preserve"> </w:t>
      </w:r>
      <w:r w:rsidRPr="00512830">
        <w:rPr>
          <w:rFonts w:ascii="Arial" w:hAnsi="Arial" w:cs="Arial"/>
        </w:rPr>
        <w:t xml:space="preserve">of 26 6- to 12-year-old children with a confirmed diagnosis of OI treated with BPs with available panoramic radiographs. The control group consisted of 395 children with available panoramic radiographs. Both groups were divided into subgroups according to sex and age. The third quadrant was studied, focusing on the first left temporary molar (7.4), the second left temporary molar (7.5), the first left permanent premolar (3.4) and the second left permanent premolar (3.5). The </w:t>
      </w:r>
      <w:r w:rsidRPr="00512830">
        <w:rPr>
          <w:rFonts w:ascii="Arial" w:hAnsi="Arial" w:cs="Arial"/>
          <w:i/>
        </w:rPr>
        <w:t>Demirjian</w:t>
      </w:r>
      <w:r w:rsidRPr="00512830">
        <w:rPr>
          <w:rFonts w:ascii="Arial" w:hAnsi="Arial" w:cs="Arial"/>
        </w:rPr>
        <w:t xml:space="preserve"> method was used to study the </w:t>
      </w:r>
      <w:r w:rsidRPr="00512830">
        <w:rPr>
          <w:rFonts w:ascii="Arial" w:hAnsi="Arial" w:cs="Arial"/>
          <w:i/>
        </w:rPr>
        <w:t>dental development</w:t>
      </w:r>
      <w:r w:rsidRPr="00512830">
        <w:rPr>
          <w:rFonts w:ascii="Arial" w:hAnsi="Arial" w:cs="Arial"/>
        </w:rPr>
        <w:t xml:space="preserve"> of 3.4 and 3.5, and the </w:t>
      </w:r>
      <w:r w:rsidRPr="00512830">
        <w:rPr>
          <w:rFonts w:ascii="Arial" w:hAnsi="Arial" w:cs="Arial"/>
          <w:i/>
        </w:rPr>
        <w:t xml:space="preserve">Haavikko </w:t>
      </w:r>
      <w:r w:rsidRPr="00512830">
        <w:rPr>
          <w:rFonts w:ascii="Arial" w:hAnsi="Arial" w:cs="Arial"/>
        </w:rPr>
        <w:t>method was used to study the</w:t>
      </w:r>
      <w:r w:rsidRPr="00512830">
        <w:rPr>
          <w:rFonts w:ascii="Arial" w:hAnsi="Arial" w:cs="Arial"/>
          <w:i/>
        </w:rPr>
        <w:t xml:space="preserve"> root resorption</w:t>
      </w:r>
      <w:r w:rsidRPr="00512830">
        <w:rPr>
          <w:rFonts w:ascii="Arial" w:hAnsi="Arial" w:cs="Arial"/>
        </w:rPr>
        <w:t xml:space="preserve"> of 7.4 and 7.5. The Mann‒Whitney U test was used for comparisons, and p&lt;0.05 indicated statistical significance. </w:t>
      </w:r>
      <w:r w:rsidRPr="00512830">
        <w:rPr>
          <w:rFonts w:ascii="Arial" w:hAnsi="Arial" w:cs="Arial"/>
          <w:b/>
        </w:rPr>
        <w:t>Results:</w:t>
      </w:r>
      <w:r w:rsidRPr="005158D2">
        <w:rPr>
          <w:rFonts w:ascii="Arial" w:hAnsi="Arial" w:cs="Arial"/>
        </w:rPr>
        <w:t xml:space="preserve"> The mean chronological age of the 421 patients was 9.21 years (95% CI</w:t>
      </w:r>
      <w:r w:rsidR="007C1C6A">
        <w:rPr>
          <w:rFonts w:ascii="Arial" w:hAnsi="Arial" w:cs="Arial"/>
        </w:rPr>
        <w:t xml:space="preserve"> </w:t>
      </w:r>
      <w:r w:rsidRPr="005158D2">
        <w:rPr>
          <w:rFonts w:ascii="Arial" w:hAnsi="Arial" w:cs="Arial"/>
        </w:rPr>
        <w:t xml:space="preserve">9.05–9.37). The sample was reasonably balanced by sex, with 52.5% (221 patients) boys versus 47.5% (200 patients) girls. </w:t>
      </w:r>
      <w:r w:rsidRPr="00512830">
        <w:rPr>
          <w:rFonts w:ascii="Arial" w:hAnsi="Arial" w:cs="Arial"/>
        </w:rPr>
        <w:t xml:space="preserve">Delayed exfoliation and tooth development were described in children with OI (p=0.05). </w:t>
      </w:r>
      <w:r w:rsidRPr="005158D2">
        <w:rPr>
          <w:rFonts w:ascii="Arial" w:hAnsi="Arial" w:cs="Arial"/>
        </w:rPr>
        <w:t>According to sex, the root resorption of primary molars and tooth development were significantly lower in boys in both groups and in girls in the OI group, but the differences between the age groups were not significant</w:t>
      </w:r>
      <w:r w:rsidRPr="00512830">
        <w:rPr>
          <w:rFonts w:ascii="Arial" w:hAnsi="Arial" w:cs="Arial"/>
        </w:rPr>
        <w:t>.</w:t>
      </w:r>
    </w:p>
    <w:p w14:paraId="3B9A191C" w14:textId="37A45EAA" w:rsidR="00D230CF" w:rsidRPr="00984AD7" w:rsidRDefault="00D230CF" w:rsidP="00D230CF">
      <w:pPr>
        <w:jc w:val="both"/>
        <w:rPr>
          <w:rFonts w:ascii="Arial" w:hAnsi="Arial" w:cs="Arial"/>
        </w:rPr>
      </w:pPr>
      <w:r w:rsidRPr="00984AD7">
        <w:rPr>
          <w:rFonts w:ascii="Arial" w:hAnsi="Arial" w:cs="Arial"/>
          <w:b/>
        </w:rPr>
        <w:lastRenderedPageBreak/>
        <w:t xml:space="preserve">Conclusions: </w:t>
      </w:r>
      <w:r w:rsidRPr="00984AD7">
        <w:rPr>
          <w:rFonts w:ascii="Arial" w:hAnsi="Arial" w:cs="Arial"/>
        </w:rPr>
        <w:t xml:space="preserve">Children with OI treated with BPs </w:t>
      </w:r>
      <w:r>
        <w:rPr>
          <w:rFonts w:ascii="Arial" w:hAnsi="Arial" w:cs="Arial"/>
        </w:rPr>
        <w:t xml:space="preserve">exhibit </w:t>
      </w:r>
      <w:r w:rsidRPr="00984AD7">
        <w:rPr>
          <w:rFonts w:ascii="Arial" w:hAnsi="Arial" w:cs="Arial"/>
        </w:rPr>
        <w:t xml:space="preserve">delayed dental development of the premolars and delayed root resorption of the primary molars. </w:t>
      </w:r>
      <w:r>
        <w:rPr>
          <w:rFonts w:ascii="Arial" w:hAnsi="Arial" w:cs="Arial"/>
        </w:rPr>
        <w:t>B</w:t>
      </w:r>
      <w:r w:rsidRPr="00984AD7">
        <w:rPr>
          <w:rFonts w:ascii="Arial" w:hAnsi="Arial" w:cs="Arial"/>
        </w:rPr>
        <w:t xml:space="preserve">oys </w:t>
      </w:r>
      <w:r>
        <w:rPr>
          <w:rFonts w:ascii="Arial" w:hAnsi="Arial" w:cs="Arial"/>
        </w:rPr>
        <w:t xml:space="preserve">exhibited delays </w:t>
      </w:r>
      <w:r w:rsidRPr="00984AD7">
        <w:rPr>
          <w:rFonts w:ascii="Arial" w:hAnsi="Arial" w:cs="Arial"/>
        </w:rPr>
        <w:t>in both variables, but the difference</w:t>
      </w:r>
      <w:r>
        <w:rPr>
          <w:rFonts w:ascii="Arial" w:hAnsi="Arial" w:cs="Arial"/>
        </w:rPr>
        <w:t>s</w:t>
      </w:r>
      <w:r w:rsidRPr="00984AD7">
        <w:rPr>
          <w:rFonts w:ascii="Arial" w:hAnsi="Arial" w:cs="Arial"/>
        </w:rPr>
        <w:t xml:space="preserve"> by age subgroup </w:t>
      </w:r>
      <w:r>
        <w:rPr>
          <w:rFonts w:ascii="Arial" w:hAnsi="Arial" w:cs="Arial"/>
        </w:rPr>
        <w:t xml:space="preserve">were </w:t>
      </w:r>
      <w:r w:rsidRPr="00984AD7">
        <w:rPr>
          <w:rFonts w:ascii="Arial" w:hAnsi="Arial" w:cs="Arial"/>
        </w:rPr>
        <w:t xml:space="preserve">not </w:t>
      </w:r>
      <w:r>
        <w:rPr>
          <w:rFonts w:ascii="Arial" w:hAnsi="Arial" w:cs="Arial"/>
        </w:rPr>
        <w:t>significant</w:t>
      </w:r>
      <w:r w:rsidRPr="00984AD7">
        <w:rPr>
          <w:rFonts w:ascii="Arial" w:hAnsi="Arial" w:cs="Arial"/>
        </w:rPr>
        <w:t>. These clinical findings support the importance of clinically and radiographically monitoring the dental development and root resorption of primary teeth in children with OI treated with BPs to avoid alterations of the eruptive process.</w:t>
      </w:r>
    </w:p>
    <w:p w14:paraId="21C22DC0" w14:textId="77777777" w:rsidR="00D230CF" w:rsidRPr="00984AD7" w:rsidRDefault="00D230CF" w:rsidP="00D230CF">
      <w:pPr>
        <w:jc w:val="both"/>
        <w:rPr>
          <w:rFonts w:ascii="Arial" w:hAnsi="Arial" w:cs="Arial"/>
        </w:rPr>
      </w:pPr>
    </w:p>
    <w:p w14:paraId="3161EBC7" w14:textId="77777777" w:rsidR="00D230CF" w:rsidRPr="00984AD7" w:rsidRDefault="00D230CF" w:rsidP="00D230CF">
      <w:pPr>
        <w:jc w:val="both"/>
        <w:rPr>
          <w:rFonts w:ascii="Arial" w:hAnsi="Arial" w:cs="Arial"/>
        </w:rPr>
      </w:pPr>
      <w:r w:rsidRPr="00984AD7">
        <w:rPr>
          <w:rFonts w:ascii="Arial" w:hAnsi="Arial" w:cs="Arial"/>
        </w:rPr>
        <w:t>Keywords: osteogenesis imperfecta, bisphosphonates, root resorption, dental development, premolar, primary molar, panoramic radiograph</w:t>
      </w:r>
    </w:p>
    <w:p w14:paraId="149F00A5" w14:textId="77777777" w:rsidR="00D230CF" w:rsidRPr="00984AD7" w:rsidRDefault="00D230CF" w:rsidP="00D230CF">
      <w:pPr>
        <w:jc w:val="both"/>
        <w:rPr>
          <w:rFonts w:ascii="Arial" w:hAnsi="Arial" w:cs="Arial"/>
        </w:rPr>
      </w:pPr>
    </w:p>
    <w:p w14:paraId="32E87B21" w14:textId="77777777" w:rsidR="00D230CF" w:rsidRPr="00984AD7" w:rsidRDefault="00D230CF" w:rsidP="00D230CF">
      <w:pPr>
        <w:jc w:val="both"/>
        <w:rPr>
          <w:rFonts w:ascii="Arial" w:hAnsi="Arial" w:cs="Arial"/>
          <w:b/>
          <w:sz w:val="28"/>
          <w:szCs w:val="28"/>
        </w:rPr>
      </w:pPr>
    </w:p>
    <w:p w14:paraId="1BC87BE1" w14:textId="77777777" w:rsidR="00D230CF" w:rsidRPr="00984AD7" w:rsidRDefault="00D230CF" w:rsidP="00D230CF">
      <w:pPr>
        <w:jc w:val="both"/>
        <w:rPr>
          <w:rFonts w:ascii="Arial" w:hAnsi="Arial" w:cs="Arial"/>
          <w:b/>
          <w:sz w:val="28"/>
          <w:szCs w:val="28"/>
        </w:rPr>
      </w:pPr>
      <w:r w:rsidRPr="00984AD7">
        <w:rPr>
          <w:rFonts w:ascii="Arial" w:hAnsi="Arial" w:cs="Arial"/>
          <w:b/>
          <w:sz w:val="28"/>
          <w:szCs w:val="28"/>
        </w:rPr>
        <w:t>Background</w:t>
      </w:r>
    </w:p>
    <w:p w14:paraId="754526E0" w14:textId="77777777" w:rsidR="00D230CF" w:rsidRPr="00984AD7" w:rsidRDefault="00D230CF" w:rsidP="00D230CF">
      <w:pPr>
        <w:jc w:val="both"/>
        <w:rPr>
          <w:rFonts w:ascii="Arial" w:hAnsi="Arial" w:cs="Arial"/>
          <w:color w:val="000000" w:themeColor="text1"/>
        </w:rPr>
      </w:pPr>
      <w:r w:rsidRPr="00984AD7">
        <w:rPr>
          <w:rFonts w:ascii="Arial" w:hAnsi="Arial" w:cs="Arial"/>
        </w:rPr>
        <w:t xml:space="preserve">Osteogenesis imperfecta (OI) is an inherited disorder characterized by bone fragility and skeletal alterations. </w:t>
      </w:r>
      <w:r w:rsidRPr="00984AD7">
        <w:rPr>
          <w:rFonts w:ascii="Arial" w:hAnsi="Arial" w:cs="Arial"/>
        </w:rPr>
        <w:fldChar w:fldCharType="begin"/>
      </w:r>
      <w:r>
        <w:rPr>
          <w:rFonts w:ascii="Arial" w:hAnsi="Arial" w:cs="Arial"/>
        </w:rPr>
        <w:instrText xml:space="preserve"> ADDIN ZOTERO_ITEM CSL_CITATION {"citationID":"CjV2UWWY","properties":{"formattedCitation":"[1]","plainCitation":"[1]","noteIndex":0},"citationItems":[{"id":542,"uris":["http://zotero.org/users/5260186/items/REQL9TUN",["http://zotero.org/users/5260186/items/REQL9TUN"]],"itemData":{"id":542,"type":"article-journal","abstract":"Osteogenesis imperfecta is a genetic disorder of increased bone fragility, low bone mass, and other connective-tissue manifestations. The most frequently used classification outlines four clinical types, which we have expanded to seven distinct types. In most patients the disorder is caused by mutations in one of the two genes encoding collagen type 1, but in some individuals no such mutations are detectable. The most important therapeutic advance is the introduction of bisphosphonate treatment for moderate to severe forms of osteogenesis imperfecta. However, at present, the best treatment regimen and the long-term outcomes of bisphosphonate therapy are unknown. Although this treatment does not constitute a cure, it is an adjunct to physiotherapy, rehabilitation, and orthopaedic care. Gene-based therapy presently remains in the early stages of preclinical research.","container-title":"Lancet (London, England)","DOI":"10.1016/S0140-6736(04)16051-0","ISSN":"1474-547X","issue":"9418","journalAbbreviation":"Lancet","language":"eng","note":"PMID: 15110498","page":"1377-1385","source":"PubMed","title":"Osteogenesis imperfecta","volume":"363","author":[{"family":"Rauch","given":"Frank"},{"family":"Glorieux","given":"Francis H."}],"issued":{"date-parts":[["2004",4,24]]}}}],"schema":"https://github.com/citation-style-language/schema/raw/master/csl-citation.json"} </w:instrText>
      </w:r>
      <w:r w:rsidRPr="00984AD7">
        <w:rPr>
          <w:rFonts w:ascii="Arial" w:hAnsi="Arial" w:cs="Arial"/>
        </w:rPr>
        <w:fldChar w:fldCharType="separate"/>
      </w:r>
      <w:r>
        <w:rPr>
          <w:rFonts w:ascii="Arial" w:hAnsi="Arial" w:cs="Arial"/>
        </w:rPr>
        <w:t>[1]</w:t>
      </w:r>
      <w:r w:rsidRPr="00984AD7">
        <w:rPr>
          <w:rFonts w:ascii="Arial" w:hAnsi="Arial" w:cs="Arial"/>
        </w:rPr>
        <w:fldChar w:fldCharType="end"/>
      </w:r>
      <w:r>
        <w:rPr>
          <w:rFonts w:ascii="Arial" w:hAnsi="Arial" w:cs="Arial"/>
        </w:rPr>
        <w:t xml:space="preserve"> </w:t>
      </w:r>
      <w:r w:rsidRPr="00984AD7">
        <w:rPr>
          <w:rFonts w:ascii="Arial" w:hAnsi="Arial" w:cs="Arial"/>
        </w:rPr>
        <w:t xml:space="preserve">In </w:t>
      </w:r>
      <w:proofErr w:type="gramStart"/>
      <w:r w:rsidRPr="00984AD7">
        <w:rPr>
          <w:rFonts w:ascii="Arial" w:hAnsi="Arial" w:cs="Arial"/>
        </w:rPr>
        <w:t>the vast majority of</w:t>
      </w:r>
      <w:proofErr w:type="gramEnd"/>
      <w:r w:rsidRPr="00984AD7">
        <w:rPr>
          <w:rFonts w:ascii="Arial" w:hAnsi="Arial" w:cs="Arial"/>
        </w:rPr>
        <w:t xml:space="preserve"> cases, </w:t>
      </w:r>
      <w:r>
        <w:rPr>
          <w:rFonts w:ascii="Arial" w:hAnsi="Arial" w:cs="Arial"/>
        </w:rPr>
        <w:t xml:space="preserve">OI is </w:t>
      </w:r>
      <w:r w:rsidRPr="00984AD7">
        <w:rPr>
          <w:rFonts w:ascii="Arial" w:hAnsi="Arial" w:cs="Arial"/>
        </w:rPr>
        <w:t>cause</w:t>
      </w:r>
      <w:r>
        <w:rPr>
          <w:rFonts w:ascii="Arial" w:hAnsi="Arial" w:cs="Arial"/>
        </w:rPr>
        <w:t>d by</w:t>
      </w:r>
      <w:r w:rsidRPr="00984AD7">
        <w:rPr>
          <w:rFonts w:ascii="Arial" w:hAnsi="Arial" w:cs="Arial"/>
        </w:rPr>
        <w:t xml:space="preserve"> a mutation in one of the two genes that encode type I collagen (COL1A1 or COL1A2). In recent years, mutations in other genes that could cause OI have also been identified.</w:t>
      </w:r>
      <w:r w:rsidRPr="00984AD7">
        <w:rPr>
          <w:rFonts w:ascii="Arial" w:hAnsi="Arial" w:cs="Arial"/>
          <w:color w:val="000000" w:themeColor="text1"/>
        </w:rPr>
        <w:t xml:space="preserve"> </w:t>
      </w:r>
      <w:r w:rsidRPr="00984AD7">
        <w:rPr>
          <w:rFonts w:ascii="Arial" w:hAnsi="Arial" w:cs="Arial"/>
          <w:color w:val="000000" w:themeColor="text1"/>
        </w:rPr>
        <w:fldChar w:fldCharType="begin"/>
      </w:r>
      <w:r>
        <w:rPr>
          <w:rFonts w:ascii="Arial" w:hAnsi="Arial" w:cs="Arial"/>
          <w:color w:val="000000" w:themeColor="text1"/>
        </w:rPr>
        <w:instrText xml:space="preserve"> ADDIN ZOTERO_ITEM CSL_CITATION {"citationID":"1egdvdjH","properties":{"formattedCitation":"[2]","plainCitation":"[2]","noteIndex":0},"citationItems":[{"id":541,"uris":["http://zotero.org/users/5260186/items/8U3JEMX8",["http://zotero.org/users/5260186/items/8U3JEMX8"]],"itemData":{"id":541,"type":"article-journal","abstract":"Osteogenesis imperfecta (OI) is a heritable bone dysplasia characterized by bone fragility and deformity and growth deficiency. Most cases of OI (classical types) have autosomal dominant inheritance and are caused by mutations in the type I collagen genes. During the past several years, a number of noncollagenous genes whose protein products interact with collagen have been identified as the cause(s) of rare forms of OI. This has led to a paradigm shift for OI as a collagen-related condition. The majority of the non-classical OI types have autosomal recessive inheritance and null mutations in their respective genes. The exception is a unique dominant defect in IFITM5, which encodes Bril and leads to hypertrophic callus and interosseous membrane ossification. Three recessive OI types arise from defects in any of the components of the collagen prolyl 3-hydroxylation complex (CRTAP, P3H1, CyPB), which modifies the collagen α1(I)Pro986 residue. Complex dysfunction leads to delayed folding of the procollagen triple helix and increased helical modification. Next, defects in collagen chaperones, HSP47 and FKBP65, lead to improper procollagen folding and deficient collagen cross-linking in matrix, respectively. A form of OI with a mineralization defect is caused by mutations in SERPINF1, whose protein product, PEDF, is a well-known antiangiogenesis factor. Defects in the C-propeptide cleavage enzyme, BMP1, also cause recessive OI. Additional genes, including SP7 and TMEM38B, have been implicated in recessive OI but are as yet unclassified. Elucidating the mechanistic pathways common to dominant and recessive OI may lead to novel therapeutic approaches to improve clinical manifestations.","container-title":"The Journal of Clinical Endocrinology and Metabolism","DOI":"10.1210/jc.2013-1505","ISSN":"1945-7197","issue":"8","journalAbbreviation":"J. Clin. Endocrinol. Metab.","language":"eng","note":"PMID: 23771926\nPMCID: PMC3733862","page":"3095-3103","source":"PubMed","title":"New genes in bone development: what's new in osteogenesis imperfecta","title-short":"New genes in bone development","volume":"98","author":[{"family":"Marini","given":"Joan C."},{"family":"Blissett","given":"Angela R."}],"issued":{"date-parts":[["2013",8]]}}}],"schema":"https://github.com/citation-style-language/schema/raw/master/csl-citation.json"} </w:instrText>
      </w:r>
      <w:r w:rsidRPr="00984AD7">
        <w:rPr>
          <w:rFonts w:ascii="Arial" w:hAnsi="Arial" w:cs="Arial"/>
          <w:color w:val="000000" w:themeColor="text1"/>
        </w:rPr>
        <w:fldChar w:fldCharType="separate"/>
      </w:r>
      <w:r>
        <w:rPr>
          <w:rFonts w:ascii="Arial" w:hAnsi="Arial" w:cs="Arial"/>
          <w:color w:val="000000"/>
        </w:rPr>
        <w:t>[2]</w:t>
      </w:r>
      <w:r w:rsidRPr="00984AD7">
        <w:rPr>
          <w:rFonts w:ascii="Arial" w:hAnsi="Arial" w:cs="Arial"/>
          <w:color w:val="000000" w:themeColor="text1"/>
        </w:rPr>
        <w:fldChar w:fldCharType="end"/>
      </w:r>
      <w:r w:rsidRPr="00984AD7">
        <w:rPr>
          <w:rFonts w:ascii="Arial" w:hAnsi="Arial" w:cs="Arial"/>
          <w:color w:val="000000" w:themeColor="text1"/>
        </w:rPr>
        <w:t xml:space="preserve"> </w:t>
      </w:r>
      <w:r w:rsidRPr="00984AD7">
        <w:rPr>
          <w:rFonts w:ascii="Arial" w:hAnsi="Arial" w:cs="Arial"/>
          <w:color w:val="000000" w:themeColor="text1"/>
        </w:rPr>
        <w:fldChar w:fldCharType="begin"/>
      </w:r>
      <w:r>
        <w:rPr>
          <w:rFonts w:ascii="Arial" w:hAnsi="Arial" w:cs="Arial"/>
          <w:color w:val="000000" w:themeColor="text1"/>
        </w:rPr>
        <w:instrText xml:space="preserve"> ADDIN ZOTERO_ITEM CSL_CITATION {"citationID":"HUKBJxiF","properties":{"formattedCitation":"[3]","plainCitation":"[3]","noteIndex":0},"citationItems":[{"id":928,"uris":["http://zotero.org/users/5260186/items/WQCMXDJE",["http://zotero.org/users/5260186/items/WQCMXDJE"]],"itemData":{"id":928,"type":"article-journal","abstract":"Osteogenesis imperfecta is a phenotypically and molecularly heterogeneous group of inherited connective tissue disorders that share similar skeletal abnormalities causing bone fragility and deformity. Previously, the disorder was thought to be an autosomal dominant bone dysplasia caused by defects in type I collagen, but in the past 10 years discoveries of novel (mainly recessive) causative genes have lent support to a predominantly collagen-related pathophysiology and have contributed to an improved understanding of normal bone development. Defects in proteins with very different functions, ranging from structural to enzymatic and from intracellular transport to chaperones, have been described in patients with osteogenesis imperfecta. Knowledge of the specific molecular basis of each form of the disorder will advance clinical diagnosis and potentially stimulate targeted therapeutic approaches. In this Seminar, together with diagnosis, management, and treatment, we describe the defects causing osteogenesis imperfecta and their mechanism and interrelations, and classify them into five groups on the basis of the metabolic pathway compromised, specifically those related to collagen synthesis, structure, and processing; post-translational modification; folding and cross-linking; mineralisation; and osteoblast differentiation.","container-title":"Lancet (London, England)","DOI":"10.1016/S0140-6736(15)00728-X","ISSN":"1474-547X","issue":"10028","journalAbbreviation":"Lancet","language":"eng","note":"PMID: 26542481\nPMCID: PMC7384887","page":"1657-1671","source":"PubMed","title":"Osteogenesis imperfecta","volume":"387","author":[{"family":"Forlino","given":"Antonella"},{"family":"Marini","given":"Joan C."}],"issued":{"date-parts":[["2016",4,16]]}}}],"schema":"https://github.com/citation-style-language/schema/raw/master/csl-citation.json"} </w:instrText>
      </w:r>
      <w:r w:rsidRPr="00984AD7">
        <w:rPr>
          <w:rFonts w:ascii="Arial" w:hAnsi="Arial" w:cs="Arial"/>
          <w:color w:val="000000" w:themeColor="text1"/>
        </w:rPr>
        <w:fldChar w:fldCharType="separate"/>
      </w:r>
      <w:r>
        <w:rPr>
          <w:rFonts w:ascii="Arial" w:hAnsi="Arial" w:cs="Arial"/>
          <w:color w:val="000000"/>
        </w:rPr>
        <w:t>[3]</w:t>
      </w:r>
      <w:r w:rsidRPr="00984AD7">
        <w:rPr>
          <w:rFonts w:ascii="Arial" w:hAnsi="Arial" w:cs="Arial"/>
          <w:color w:val="000000" w:themeColor="text1"/>
        </w:rPr>
        <w:fldChar w:fldCharType="end"/>
      </w:r>
    </w:p>
    <w:p w14:paraId="78F14BCB" w14:textId="189940FA" w:rsidR="00D230CF" w:rsidRPr="00984AD7" w:rsidRDefault="00D230CF" w:rsidP="00D230CF">
      <w:pPr>
        <w:jc w:val="both"/>
        <w:rPr>
          <w:rFonts w:ascii="Arial" w:hAnsi="Arial" w:cs="Arial"/>
        </w:rPr>
      </w:pPr>
      <w:r w:rsidRPr="00984AD7">
        <w:rPr>
          <w:rFonts w:ascii="Arial" w:hAnsi="Arial" w:cs="Arial"/>
        </w:rPr>
        <w:t xml:space="preserve">Typical manifestations of OI include blue sclera, hearing loss, joint hypermobility, growth delay, and bone pain. </w:t>
      </w:r>
      <w:r>
        <w:rPr>
          <w:rFonts w:ascii="Arial" w:hAnsi="Arial" w:cs="Arial"/>
        </w:rPr>
        <w:t>D</w:t>
      </w:r>
      <w:r w:rsidRPr="00984AD7">
        <w:rPr>
          <w:rFonts w:ascii="Arial" w:hAnsi="Arial" w:cs="Arial"/>
        </w:rPr>
        <w:t xml:space="preserve">ental alterations </w:t>
      </w:r>
      <w:r>
        <w:rPr>
          <w:rFonts w:ascii="Arial" w:hAnsi="Arial" w:cs="Arial"/>
        </w:rPr>
        <w:t xml:space="preserve">including </w:t>
      </w:r>
      <w:r w:rsidRPr="00984AD7">
        <w:rPr>
          <w:rFonts w:ascii="Arial" w:hAnsi="Arial" w:cs="Arial"/>
        </w:rPr>
        <w:t xml:space="preserve">dentinogenesis imperfecta, agenesis, oligodontia and malocclusions have been described. </w:t>
      </w:r>
      <w:r w:rsidRPr="00984AD7">
        <w:rPr>
          <w:rFonts w:ascii="Arial" w:hAnsi="Arial" w:cs="Arial"/>
        </w:rPr>
        <w:fldChar w:fldCharType="begin"/>
      </w:r>
      <w:r w:rsidR="00EB26A5">
        <w:rPr>
          <w:rFonts w:ascii="Arial" w:hAnsi="Arial" w:cs="Arial"/>
        </w:rPr>
        <w:instrText xml:space="preserve"> ADDIN ZOTERO_ITEM CSL_CITATION {"citationID":"2PaBr55F","properties":{"formattedCitation":"[4\\uc0\\u8211{}9]","plainCitation":"[4–9]","noteIndex":0},"citationItems":[{"id":672,"uris":["http://zotero.org/users/5260186/items/YCYGIMQ9",["http://zotero.org/users/5260186/items/YCYGIMQ9"]],"itemData":{"id":672,"type":"article-journal","abstract":"Treatment with intravenous bisphosphonate (BP) in children and adolescents with osteogenesis imperfecta (OI) started in Sweden in 1991. No human studies on the role of BP therapy in development of disturbances in tooth mineralization or tooth morphology have been published. The study cohort comprised 219 individuals who were divided into four groups: group 1, BP treatment onset before 2 years of age (n = 22); group 2, BP treatment onset between 2 and 6 years of age (n = 20); group 3, BP treatment onset between 6 and 10 years of age (n = 13); and a control group of patients with OI who had not received BP therapy (n = 164). The chi-square test was used in between-group comparisons of the prevalence of tooth agenesis. The prevalence of tooth agenesis was significantly higher in children who began BP treatment before the age of 2 years (group 1; 59%,) compared to the controls (10%; p &lt; 0.001) and to children who had begun BP therapy between ages 2 and 6 years (group 2; 10%; p = 0.009) or between ages 6 and 10 years (group 3; 8%; p = 0.003). Different types of disturbances in the enamel formation were seen in 52 premolars, where 51 were seen in those who began BP treatment before the age of 2 years. To conclude, starting BP treatment before the age of 2 years increases the risk of abnormalities in tooth formation manifesting as morphological aberrations, tooth agenesis, and enamel defects.","container-title":"Calcified Tissue International","DOI":"10.1007/s00223-021-00835-2","ISSN":"1432-0827","journalAbbreviation":"Calcif Tissue Int","language":"eng","note":"PMID: 33743023","source":"PubMed","title":"Abnormalities in Tooth Formation after Early Bisphosphonate Treatment in Children with Osteogenesis Imperfecta","author":[{"family":"Malmgren","given":"Barbro"},{"family":"Thesleff","given":"Irma"},{"family":"Dahllöf","given":"Göran"},{"family":"Åström","given":"Eva"},{"family":"Tsilingaridis","given":"Georgios"}],"issued":{"date-parts":[["2021",3,20]]}}},{"id":553,"uris":["http://zotero.org/users/5260186/items/2S8UA7R9",["http://zotero.org/users/5260186/items/2S8UA7R9"]],"itemData":{"id":553,"type":"article-journal","abstract":"Osteogenesis imperfecta (OI) is a heterogeneous group of disorders of connective tissue, caused mainly by mutations in the collagen I genes (COL1A1 and COL1A2). Dentinogenesis imperfecta (DGI) and other dental aberrations are common features of OI. We investigated the association between collagen I mutations and DGI, taurodontism, and retention of permanent second molars in a retrospective cohort of 152 unrelated children and adolescents with OI. The clinical examination included radiographic evaluations. Teeth from 81 individuals were available for histopathological evaluation. COL1A1/2 mutations were found in 104 individuals by nucleotide sequencing. DGI was diagnosed clinically and radiographically in 29% of the individuals (44/152) and through isolated histological findings in another 19% (29/152). In the individuals with a COL1A1 mutation, 70% (7/10) of those with a glycine substitution located C-terminal of p.Gly305 exhibited DGI in both dentitions while no individual (0/7) with a mutation N-terminal of this point exhibited DGI in either dentition (p = 0.01). In the individuals with a COL1A2 mutation, 80% (8/10) of those with a glycine substitution located C terminal of p.Gly211 exhibited DGI in both dentitions while no individual (0/5) with a mutation N-terminal of this point (p = 0.007) exhibited DGI in either dentition. DGI was restricted to the deciduous dentition in 20 individuals. Seventeen had missense mutations where glycine to serine was the most prevalent substitution (53%). Taurodontism occurred in 18% and retention of permanent second molars in 31% of the adolescents. Dental aberrations are strongly associated with qualitatively changed collagen I. The varying expressivity of DGI is related to the location of the collagen I mutation. Genotype information may be helpful in identifying individuals with OI who have an increased risk of dental aberrations.","container-title":"PloS One","DOI":"10.1371/journal.pone.0176466","ISSN":"1932-6203","issue":"5","journalAbbreviation":"PLoS ONE","language":"eng","note":"PMID: 28498836\nPMCID: PMC5428910","page":"e0176466","source":"PubMed","title":"Mutations in COL1A1 and COL1A2 and dental aberrations in children and adolescents with osteogenesis imperfecta - A retrospective cohort study","volume":"12","author":[{"family":"Andersson","given":"Kristofer"},{"family":"Dahllöf","given":"Göran"},{"family":"Lindahl","given":"Katarina"},{"family":"Kindmark","given":"Andreas"},{"family":"Grigelioniene","given":"Giedre"},{"family":"Åström","given":"Eva"},{"family":"Malmgren","given":"Barbro"}],"issued":{"date-parts":[["2017"]]}}},{"id":551,"uris":["http://zotero.org/users/5260186/items/WYM7ZFB4",["http://zotero.org/users/5260186/items/WYM7ZFB4"]],"itemData":{"id":551,"type":"article-journal","abstract":"BACKGROUND: Osteogenesis imperfecta (OI) is a heterogeneous connective tissue disorder characterized by an increased tendency for fractures throughout life. Autosomal dominant (AD) mutations in COL1A1 and COL1A2 are causative in approximately 85% of cases. In recent years, recessive variants in genes involved in collagen processing have been found. Hypodontia (&lt; 6 missing permanent teeth) and oligodontia (≥ 6 missing permanent teeth) have previously been reported in individuals with OI. The aim of the present cross-sectional study was to investigate whether children and adolescents with OI and oligodontia and hypodontia also present with variants in other genes with potential effects on tooth development. The cohort comprised 10 individuals (7.7-19.9 years of age) with known COL1A1/A2 variants who we clinically and radiographically examined and further genetically evaluated by whole-genome sequencing. All study participants were treated at the Astrid Lindgren Children's Hospital at Karolinska University Hospital, Stockholm (Sweden's national multidisciplinary pediatric OI team). We evaluated a panel of genes that were associated with nonsyndromic and syndromic hypodontia or oligodontia as well as that had been found to be involved in tooth development in animal models.\nRESULTS: We detected a homozygous nonsense variant in CREB3L1, p.Tyr428*, c.1284C &gt; A in one boy previously diagnosed with OI type III. COL1A1 and COL1A2 were the only two genes among 9 individuals which carried a pathogenic mutation. We found rare variants with unknown significance in several other genes related to tooth development.\nCONCLUSIONS: Our findings suggest that mutations in COL1A1, COL1A2, and CREB3L1 may cause hypodontia and oligodontia in OI. The findings cannot exclude additive effects from other modifying or interacting genes that may contribute to the severity of the expressed phenotype. Larger cohorts and further functional studies are needed.","container-title":"Orphanet Journal of Rare Diseases","DOI":"10.1186/s13023-020-01361-4","ISSN":"1750-1172","issue":"1","journalAbbreviation":"Orphanet J Rare Dis","language":"eng","note":"PMID: 32234057\nPMCID: PMC7110904","page":"80","source":"PubMed","title":"Mutations in COL1A1/A2 and CREB3L1 are associated with oligodontia in osteogenesis imperfecta","volume":"15","author":[{"family":"Andersson","given":"Kristofer"},{"family":"Malmgren","given":"Barbro"},{"family":"Åström","given":"Eva"},{"family":"Nordgren","given":"Ann"},{"family":"Taylan","given":"Fulya"},{"family":"Dahllöf","given":"Göran"}],"issued":{"date-parts":[["2020",3,31]]}}},{"id":"6Vbqh94y/sNskadZI","uris":["http://zotero.org/users/5260186/items/QGII4SD2",["http://zotero.org/users/5260186/items/QGII4SD2"]],"itemData":{"id":1380,"type":"article-journal","abstract":"The aim of this investigation was to study dental aberrations in a large sample of unrelated patients with different types and forms of osteogenesis imperfecta (OI). Sixty-eight non-related index patients aged 0.3 to 20 years (mean, 10 years) were examined clinically. Panoramic radiographs from 49 patients were analyzed. Dentinogenesis imperfecta (DI) type I was found in 27 of 65 patients and was significantly more common in OI type III than in types I and IV and in patients with a severe form of the disease. The presence or absence of DI showed almost complete accordance between affected parents and children and between affected siblings. Moreover, agenesis was found in 11 of 49 patients, apically extended pulp chambers in 20 of 48 patients, and impaction of second permanent molars in 7 of 19 patients older than 15 years. The percentage of patients with no apparent dental aberrations was approximately the same in patients with OI type I and type III and in patients with mild and severe form of the disease. The high prevalence of dental aberrations in OI stresses the importance of clinical and radiographic odontologic examination as part of the clinical investigation. In patients with mild forms of the disease, in whom the medical diagnosis is uncertain, demonstration of disturbances in dental development can be crucial for establishing the OI diagnosis. C","container-title":"Acta Odontologica Scandinavica","DOI":"10.1080/000163502753509446","ISSN":"0001-6357","issue":"2","journalAbbreviation":"Acta Odontol. Scand.","language":"eng","note":"PMID: 12020117","page":"65-71","source":"PubMed","title":"Dental aberrations in children and adolescents with osteogenesis imperfecta","volume":"60","author":[{"family":"Malmgren","given":"Barbro"},{"family":"Norgren","given":"Svante"}],"issued":{"date-parts":[["2002",3]]}}},{"id":540,"uris":["http://zotero.org/users/5260186/items/PAYLIMDT",["http://zotero.org/users/5260186/items/PAYLIMDT"]],"itemData":{"id":540,"type":"article-journal","abstract":"INTRODUCTION: Osteogenesis imperfecta is a heritable disorder affecting bone and tooth development. Malocclusion is frequent in those affected by osteogenesis imperfecta, but this has not been studied in detail. The purpose of this study was to describe and quantify the severity of malocclusions in patients with osteogenesis imperfecta.\nMETHODS: Articulated dental casts were obtained from 49 patients diagnosed with osteogenesis imperfecta (ages 5-19 years; 28 female) and 49 age- and sex-matched control subjects who did not have osteogenesis imperfecta. Both groups were seeking orthodontic treatment. Malocclusions were scored by using the peer assessment rating (PAR) and the discrepancy index (DI).\nRESULTS: The average United Kingdom weighted PAR scores were 31.1 (SD, 14.5) for the osteogenesis imperfecta group and 22.7 (SD, 10.7) for the control group (P &lt;0.05). The mean United States weighted PAR scores were 32.2 (SD, 15.0) for patients with osteogenesis imperfecta and 21.6 (SD, 9.6) for the controls (P &lt;0.05). The average modified DI scores were 29.8 (SD, 20.2) for the osteogenesis imperfecta group and 12.4 (SD, 6.8) for the control group (P &lt;0.05). Group differences were greatest for lateral open bite (osteogenesis imperfecta group, 7.1; control group, 0.3) for the DI parameters and anterior crossbite (osteogenesis imperfecta group, 13.0; control group, 3.8 [United Kingdom]) for the PAR.\nCONCLUSIONS: Both the PAR and the DI showed that malocclusions were significantly more severe in patients with osteogenesis imperfecta than in the control group. There was a higher incidence of Class III malocclusion associated with anterior and lateral open bites in patients affected by osteogenesis imperfecta.","container-title":"American Journal of Orthodontics and Dentofacial Orthopedics: Official Publication of the American Association of Orthodontists, Its Constituent Societies, and the American Board of Orthodontics","DOI":"10.1016/j.ajodo.2012.10.016","ISSN":"1097-6752","issue":"3","journalAbbreviation":"Am J Orthod Dentofacial Orthop","language":"eng","note":"PMID: 23452967","page":"336-341","source":"PubMed","title":"Evaluation of the severity of malocclusions in children affected by osteogenesis imperfecta with the peer assessment rating and discrepancy indexes","volume":"143","author":[{"family":"Rizkallah","given":"Jean"},{"family":"Schwartz","given":"Stephane"},{"family":"Rauch","given":"Frank"},{"family":"Glorieux","given":"Francis"},{"family":"Vu","given":"Duy-Dat"},{"family":"Muller","given":"Katia"},{"family":"Retrouvey","given":"Jean-Marc"}],"issued":{"date-parts":[["2013",3]]}}},{"id":"6Vbqh94y/g1hU7qUf","uris":["http://zotero.org/users/5260186/items/MA8Q2FZN",["http://zotero.org/users/5260186/items/MA8Q2FZN"]],"itemData":{"id":765,"type":"article-journal","abstract":"BACKGROUND: Osteogenesis imperfecta (OI) is a heterogeneous group of disorders of connective tissue, mainly caused by mutations in the collagen type I genes (COL1A1 and COL1A2). Tooth agenesis is a common feature of OI. We investigated the association between tooth agenesis and collagen type I mutations in individuals with OI.\nSUBJECTS AND METHODS: In this cohort study, 128 unrelated individuals with OI were included. Panoramic radiographs were analyzed regarding dentinogenesis imperfecta (DGI) and congenitally missing teeth. The collagen I genes were sequenced in all individuals, and in 25, multiplex ligation-dependent probe amplification was performed.\nRESULTS: Mutations in the COL1A1 and COL1A2 genes were found in 104 of 128 individuals. Tooth agenesis was diagnosed in 17% (hypodontia 11%, oligodontia 6%) and was more frequent in those with DGI (P = 0.016), and in those with OI type III, 47%, compared to those with OI types I, 12% (P = 0.003), and IV, 13% (P = 0.017). Seventy-five percent of the individuals with oligodontia (≥6 missing teeth) had qualitative mutations, but there was no association with OI type, gender, or presence of DGI.\nCONCLUSION: The prevalence of tooth agenesis is high (17%) in individuals with OI, and OI caused by a qualitative collagen I mutation is associated with oligodontia.","container-title":"Oral Diseases","DOI":"10.1111/odi.12568","ISSN":"1601-0825","issue":"1","journalAbbreviation":"Oral Dis","language":"eng","note":"PMID: 27510842","page":"42-49","source":"PubMed","title":"Tooth agenesis in osteogenesis imperfecta related to mutations in the collagen type I genes","volume":"23","author":[{"family":"Malmgren","given":"B."},{"family":"Andersson","given":"K."},{"family":"Lindahl","given":"K."},{"family":"Kindmark","given":"A."},{"family":"Grigelioniene","given":"G."},{"family":"Zachariadis","given":"V."},{"family":"Dahllöf","given":"G."},{"family":"Åström","given":"E."}],"issued":{"date-parts":[["2017",1]]}}}],"schema":"https://github.com/citation-style-language/schema/raw/master/csl-citation.json"} </w:instrText>
      </w:r>
      <w:r w:rsidRPr="00984AD7">
        <w:rPr>
          <w:rFonts w:ascii="Arial" w:hAnsi="Arial" w:cs="Arial"/>
        </w:rPr>
        <w:fldChar w:fldCharType="separate"/>
      </w:r>
      <w:r w:rsidR="00EB26A5" w:rsidRPr="00EB26A5">
        <w:rPr>
          <w:rFonts w:ascii="Arial" w:hAnsi="Arial" w:cs="Arial"/>
          <w:lang w:val="es-ES_tradnl"/>
        </w:rPr>
        <w:t>[4–9]</w:t>
      </w:r>
      <w:r w:rsidRPr="00984AD7">
        <w:rPr>
          <w:rFonts w:ascii="Arial" w:hAnsi="Arial" w:cs="Arial"/>
        </w:rPr>
        <w:fldChar w:fldCharType="end"/>
      </w:r>
    </w:p>
    <w:p w14:paraId="5BF5A4A7" w14:textId="42455A46" w:rsidR="00D230CF" w:rsidRPr="00984AD7" w:rsidRDefault="00D230CF" w:rsidP="00D230CF">
      <w:pPr>
        <w:jc w:val="both"/>
        <w:rPr>
          <w:rFonts w:ascii="Arial" w:hAnsi="Arial" w:cs="Arial"/>
        </w:rPr>
      </w:pPr>
      <w:r w:rsidRPr="00984AD7">
        <w:rPr>
          <w:rFonts w:ascii="Arial" w:hAnsi="Arial" w:cs="Arial"/>
        </w:rPr>
        <w:t xml:space="preserve">The main treatment for OI is increasing bone density. </w:t>
      </w:r>
      <w:r w:rsidRPr="00984AD7">
        <w:rPr>
          <w:rFonts w:ascii="Arial" w:hAnsi="Arial" w:cs="Arial"/>
        </w:rPr>
        <w:fldChar w:fldCharType="begin"/>
      </w:r>
      <w:r>
        <w:rPr>
          <w:rFonts w:ascii="Arial" w:hAnsi="Arial" w:cs="Arial"/>
        </w:rPr>
        <w:instrText xml:space="preserve"> ADDIN ZOTERO_ITEM CSL_CITATION {"citationID":"XK99cMbs","properties":{"formattedCitation":"[10]","plainCitation":"[10]","noteIndex":0},"citationItems":[{"id":898,"uris":["http://zotero.org/users/5260186/items/47R8ZI3U",["http://zotero.org/users/5260186/items/47R8ZI3U"]],"itemData":{"id":898,"type":"article-journal","abstract":"BACKGROUND: Osteogenesis imperfecta (OI) is an inherited heterogeneous bone fragility disorder, usually caused by collagen I mutations. It is well established that bisphosphonate treatment increases lumbar spine (LS) bone mineral density (BMD), as well as improves vertebral geometry in severe OI; however, fracture reduction has been difficult to prove, pharmacogenetic studies are scarce, and it is not known at which age, or severity of disease, treatment should be initiated.\nMATERIALS AND METHODS: COL1A1 and COL1A2 were analyzed in 79 children with OI (type I n=33, type III n=25 and type IV n=21) treated with Pamidronate. Data on LS BMD, height, and radiologically confirmed non-vertebral and vertebral fractures were collected prior to, and at several time points during treatment.\nRESULTS: An increase in LS BMD Z-score was observed for all types of OI, and a negative correlation to Δ LS BMD was observed for both age and LS BMD Z-score at treatment initiation. Supine height Z-scores were not affected by Pamidronate treatment, The fracture rate was reduced for all OI types at all time points during treatment (overall p&lt;0.0003, &lt;0.0001 and 0.0003 for all OI types I, III and IV respectively). The reduced fracture rate was maintained for types I and IV, while an additional decrease was observed over time for type III. The fracture rate was reduced also in individuals with continued low BMD after &gt;4yrs Pamidronate. Twice as many boys as girls with OI type I were treated with Pamidronate, and the fracture rate the year prior treatment was 2.2 times higher for boys (p=0.0236). Greater Δ LS BMD, but smaller Δ fracture numbers were observed on Pamidronate for helical glycine mutations in COL1A1 vs. COL1A2. Vertebral compression fractures did not progress in any individual during treatment; however, they did not improve in 9%, and these individuals were all &gt;11years of age at treatment initiation (p&lt;0.0001).\nCONCLUSION: Pamidronate treatment in children with all types of OI increased LS BMD, decreased fracture rate, and improved vertebral compression fractures. Fracture reduction was prompt and maintained during treatment, irrespective of age at treatment initiation and collagen I mutation type.","container-title":"Bone","DOI":"10.1016/j.bone.2016.02.015","ISSN":"1873-2763","journalAbbreviation":"Bone","language":"eng","note":"PMID: 26957348","page":"11-18","source":"PubMed","title":"Decreased fracture rate, pharmacogenetics and BMD response in 79 Swedish children with osteogenesis imperfecta types I, III and IV treated with Pamidronate","volume":"87","author":[{"family":"Lindahl","given":"K."},{"family":"Kindmark","given":"A."},{"family":"Rubin","given":"C.-J."},{"family":"Malmgren","given":"B."},{"family":"Grigelioniene","given":"G."},{"family":"Söderhäll","given":"S."},{"family":"Ljunggren","given":"Ö"},{"family":"Åström","given":"E."}],"issued":{"date-parts":[["2016",6]]}}}],"schema":"https://github.com/citation-style-language/schema/raw/master/csl-citation.json"} </w:instrText>
      </w:r>
      <w:r w:rsidRPr="00984AD7">
        <w:rPr>
          <w:rFonts w:ascii="Arial" w:hAnsi="Arial" w:cs="Arial"/>
        </w:rPr>
        <w:fldChar w:fldCharType="separate"/>
      </w:r>
      <w:r>
        <w:rPr>
          <w:rFonts w:ascii="Arial" w:hAnsi="Arial" w:cs="Arial"/>
        </w:rPr>
        <w:t>[10]</w:t>
      </w:r>
      <w:r w:rsidRPr="00984AD7">
        <w:rPr>
          <w:rFonts w:ascii="Arial" w:hAnsi="Arial" w:cs="Arial"/>
        </w:rPr>
        <w:fldChar w:fldCharType="end"/>
      </w:r>
      <w:r w:rsidRPr="00984AD7">
        <w:rPr>
          <w:rFonts w:ascii="Arial" w:hAnsi="Arial" w:cs="Arial"/>
        </w:rPr>
        <w:t xml:space="preserve"> The administration of bisphosphonates (BPs) to patients with OI reduces pain, thereby improving their quality of life.</w:t>
      </w:r>
      <w:r w:rsidRPr="00984AD7">
        <w:rPr>
          <w:rFonts w:ascii="Arial" w:hAnsi="Arial" w:cs="Arial"/>
        </w:rPr>
        <w:fldChar w:fldCharType="begin"/>
      </w:r>
      <w:r w:rsidR="00EB26A5">
        <w:rPr>
          <w:rFonts w:ascii="Arial" w:hAnsi="Arial" w:cs="Arial"/>
        </w:rPr>
        <w:instrText xml:space="preserve"> ADDIN ZOTERO_ITEM CSL_CITATION {"citationID":"me5Blq6D","properties":{"formattedCitation":"[11, 12]","plainCitation":"[11, 12]","noteIndex":0},"citationItems":[{"id":899,"uris":["http://zotero.org/users/5260186/items/QY4A8BNR",["http://zotero.org/users/5260186/items/QY4A8BNR"]],"itemData":{"id":899,"type":"article-journal","abstract":"AIM: To find an effective symptomatic treatment for osteogenesis imperfecta (OI).\nMETHODS: In a prospective observational study disodium pamidronate (APD) was given as monthly intravenous infusions to 28 children and adolescents (aged 0.6-18 years) with severe OI or a milder form of the disease, but with spinal compression fractures.\nRESULTS: During treatment for 2-9 years, dual energy x ray absorptiometry measurements of the total body and of the lumbar spine showed a gradual increase in bone density. All bone metabolism variables in serum (alkaline phosphatase, osteocalcin, procollagen 1 C-terminal peptide, collagen 1 teleopeptide) and urine (deoxypyridinoline) indicated that there was a decrease in bone turnover. All patients experienced beneficial effects and the younger patients reported a major improvement in wellbeing, pain, and mobility without significant side effects. Vertebral remodelling was also seen.\nCONCLUSIONS: APD seems to be an efficient symptomatic treatment for children and adolescents with OI.","container-title":"Archives of Disease in Childhood","DOI":"10.1136/adc.86.5.356","ISSN":"1468-2044","issue":"5","journalAbbreviation":"Arch Dis Child","language":"eng","note":"PMID: 11970931\nPMCID: PMC1751119","page":"356-364","source":"PubMed","title":"Beneficial effect of long term intravenous bisphosphonate treatment of osteogenesis imperfecta","volume":"86","author":[{"family":"Aström","given":"E."},{"family":"Söderhäll","given":"S."}],"issued":{"date-parts":[["2002",5]]}}},{"id":"6Vbqh94y/nEK4oHdo","uris":["http://zotero.org/users/5260186/items/6VFMI2SX",["http://zotero.org/users/5260186/items/6VFMI2SX"]],"itemData":{"id":1344,"type":"article-journal","abstract":"BACKGROUND: Osteogenesis imperfecta is caused by a genetic defect resulting in an abnormal type I collagen bone matrix which typically results in multiple fractures with little or no trauma. Bisphosphonates are used in an attempt to increase bone mineral density and reduce these fractures in people with osteogenesis imperfecta. This is an update of a previously published Cochrane Review.\nOBJECTIVES: To assess the effectiveness and safety of bisphosphonates in increasing bone mineral density, reducing fractures and improving clinical function in people with osteogenesis imperfecta.\nSEARCH METHODS: We searched the Cochrane Cystic Fibrosis and Genetic Disorders Group Inborn Errors of Metabolism Trials Register which comprises references identified from comprehensive electronic database searches, handsearches of journals and conference proceedings. We additionally searched PubMed and major conference proceedings.Date of the most recent search of the Cochrane Cystic Fibrosis and Genetic Disorders Group's Inborn Errors of Metabolism Register: 28 April 2016.\nSELECTION CRITERIA: Randomised and quasi-randomised controlled trials comparing bisphosphonates to placebo, no treatment, or comparator interventions in all types of osteogenesis imperfecta.\nDATA COLLECTION AND ANALYSIS: Two authors independently extracted data and assessed the risk of bias of the included trials.\nMAIN RESULTS: Fourteen trials (819 participants) were included. Overall, the trials were mainly at a low risk of bias, although selective reporting was an issue in several of the trials. Data for oral bisphosphonates versus placebo could not be aggregated; a statistically significant difference favouring oral bisphosphonates in fracture risk reduction and number of fractures was noted in two trials. No differences were reported in the remaining three trials which commented on fracture incidence. Five trials reported data for spine bone mineral density; all found statistically significant increased lumbar spine density z scores for at least one time point studied. For intravenous bisphosphonates versus placebo, aggregated data from two trials showed no statistically significant difference for the number of participants with at least one fracture, risk ratio 0.56 (95% confidence interval 0.30 to 1.06). In the remaining trial no statistically significant difference was noted in fracture incidence. For spine bone mineral density, no statistically significant difference was noted in the aggregated data from two trials, mean difference 9.96 (95% confidence interval -2.51 to 22.43). In the remaining trial a statistically significant difference in mean per cent change in spine bone mineral density z score favoured intravenous bisphosphonates at six and 12 months. Data describing growth, bone pain, and functional outcomes after oral or intravenous bisphosphonate therapy, or both, as compared to placebo were incomplete among all studies, but do not show consistent improvements in these outcomes. Two studies compared different doses of bisphosphonates. No differences were found between doses when bone mineral density, fractures, and height or length z score were assessed. One trial compared oral versus intravenous bisphosphonates and found no differences in primary outcomes. Two studies compared the intravenous bisphosphonates zoledronic acid and pamidronate. There were no significant differences in primary outcome. However, the studies were at odds as to the relative benefit of zoledronic acid over pamidronate for lumbosacral bone mineral density at 12 months.\nAUTHORS' CONCLUSIONS: Bisphophonates are commonly prescribed to individuals with osteogenesis imperfecta. Current evidence, albeit limited, demonstrates oral or intravenous bisphosphonates increase bone mineral density in children and adults with this condition. These were not shown to be different in their ability to increase bone mineral density. It is unclear whether oral or intravenous bisphosphonate treatment consistently decreases fractures, though multiple studies report this independently and no studies report an increased fracture rate with treatment. The studies included here do not show bisphosphonates conclusively improve clinical status (reduce pain; improve growth and functional mobility) in people with osteogenesis imperfecta. Given their current widespread and expected continued use, the optimal method, duration of therapy and long-term safety of bisphosphonate therapy require further investigation. In addition, attention should be given to long-term fracture reduction and improvement in quality of life indicators.","container-title":"The Cochrane Database of Systematic Reviews","DOI":"10.1002/14651858.CD005088.pub4","ISSN":"1469-493X","journalAbbreviation":"Cochrane Database Syst Rev","language":"eng","note":"PMID: 27760454\nPMCID: PMC6611487","page":"CD005088","source":"PubMed","title":"Bisphosphonate therapy for osteogenesis imperfecta","volume":"10","author":[{"family":"Dwan","given":"Kerry"},{"family":"Phillipi","given":"Carrie A."},{"family":"Steiner","given":"Robert D."},{"family":"Basel","given":"Donald"}],"issued":{"date-parts":[["2016",10,19]]}}}],"schema":"https://github.com/citation-style-language/schema/raw/master/csl-citation.json"} </w:instrText>
      </w:r>
      <w:r w:rsidRPr="00984AD7">
        <w:rPr>
          <w:rFonts w:ascii="Arial" w:hAnsi="Arial" w:cs="Arial"/>
        </w:rPr>
        <w:fldChar w:fldCharType="separate"/>
      </w:r>
      <w:r w:rsidR="00EB26A5">
        <w:rPr>
          <w:rFonts w:ascii="Arial" w:hAnsi="Arial" w:cs="Arial"/>
        </w:rPr>
        <w:t>[11, 12]</w:t>
      </w:r>
      <w:r w:rsidRPr="00984AD7">
        <w:rPr>
          <w:rFonts w:ascii="Arial" w:hAnsi="Arial" w:cs="Arial"/>
        </w:rPr>
        <w:fldChar w:fldCharType="end"/>
      </w:r>
      <w:r w:rsidRPr="00984AD7">
        <w:rPr>
          <w:rFonts w:ascii="Arial" w:hAnsi="Arial" w:cs="Arial"/>
          <w:vertAlign w:val="superscript"/>
        </w:rPr>
        <w:t xml:space="preserve"> </w:t>
      </w:r>
      <w:r w:rsidRPr="00984AD7">
        <w:rPr>
          <w:rFonts w:ascii="Arial" w:hAnsi="Arial" w:cs="Arial"/>
        </w:rPr>
        <w:t>The main mechanism of action of BPs is to inhibit osteoclast action and bone resorption.</w:t>
      </w:r>
      <w:r w:rsidRPr="00984AD7">
        <w:rPr>
          <w:rFonts w:ascii="Arial" w:hAnsi="Arial" w:cs="Arial"/>
        </w:rPr>
        <w:fldChar w:fldCharType="begin"/>
      </w:r>
      <w:r w:rsidR="00EB26A5">
        <w:rPr>
          <w:rFonts w:ascii="Arial" w:hAnsi="Arial" w:cs="Arial"/>
        </w:rPr>
        <w:instrText xml:space="preserve"> ADDIN ZOTERO_ITEM CSL_CITATION {"citationID":"8qojfZ1l","properties":{"formattedCitation":"[12, 13]","plainCitation":"[12, 13]","noteIndex":0},"citationItems":[{"id":565,"uris":["http://zotero.org/users/5260186/items/QQ44UB3C",["http://zotero.org/users/5260186/items/QQ44UB3C"]],"itemData":{"id":565,"type":"article-journal","abstract":"BACKGROUND: In osteogenesis imperfecta (OI) a genetic defect in type I collagen results in multiple fractures with little or no trauma. Bisphosphonates are used to attempt to reduce these fractures.\nOBJECTIVES: To assess the effectiveness and safety of bisphosphonates in increasing bone mineral density (BMD), reducing fractures and improving clinical function in people with OI.\nSEARCH STRATEGY: We searched the Cochrane Cystic Fibrosis and Genetic Disorders Group Trials Register comprising references identified from comprehensive electronic database searches, handsearches of journals and conference proceedings. We searched PubMed and major conference proceedings.Register last searched: August 2008.\nSELECTION CRITERIA: Randomised and quasi-randomised controlled trials comparing bisphosphonates to placebo, no treatment, or comparator interventions in all types of OI.\nDATA COLLECTION AND ANALYSIS: Two authors independently extracted data and assessed trial quality.\nMAIN RESULTS: Eight studies (403 participants) were included. Data for oral bisphosphonates versus placebo could not be aggregated. A significant difference favouring bisphosphonates in fracture risk reduction and number of fractures was noted in one trial. No differences were reported in the remaining three trials. Two trials reported data for spine BMD; one found significantly increased lumbar spine density z scores at 12 months and one reported a significant increase in lumbar spine BMD at 12, 24 and 36 months; both favouring bisphosphonates. For intravenous bisphosphonates versus placebo, aggregated data from two trials showed no significant difference for the number of participants with at least one fracture, RR 0.56 (95% CI 0.30 to 1.06). In the remaining trial no significant difference was noted in fracture incidence. For spine BMD, no significant difference was noted in the aggregated data from two trials, MD 9.96 (95%CI -2.51 to 22.43). In the remaining trial a significant difference in mean per cent change in spine BMD z score favoured intravenous bisphosphonates at 6 and 12 months. One trial compared oral versus intravenous bisphosphonates and found no differences in primary outcomes. Data describing growth, bone pain, and functional outcomes after bisphosphonate therapy were incomplete.\nAUTHORS' CONCLUSIONS: Evidence suggests oral or intravenous bisphosphonates increase BMD in children and adults with OI. These were not shown to be different in their ability to increase BMD; it is unclear whether either treatment decreases fractures. Additional studies may determine whether bisphosphonates improve clinical status (reduce fractures and pain; improve growth and functional mobility) in this population. Optimal method, duration of therapy and long-term safety of bisphosphonate therapy requires further investigation.","container-title":"The Cochrane Database of Systematic Reviews","DOI":"10.1002/14651858.CD005088.pub2","ISSN":"1469-493X","issue":"4","journalAbbreviation":"Cochrane Database Syst Rev","language":"eng","note":"PMID: 18843680","page":"CD005088","source":"PubMed","title":"Bisphosphonate therapy for osteogenesis imperfecta","author":[{"family":"Phillipi","given":"Carrie A."},{"family":"Remmington","given":"Tracey"},{"family":"Steiner","given":"Robert D."}],"issued":{"date-parts":[["2008",10,8]]}}},{"id":"6Vbqh94y/nEK4oHdo","uris":["http://zotero.org/users/5260186/items/6VFMI2SX",["http://zotero.org/users/5260186/items/6VFMI2SX"]],"itemData":{"id":1344,"type":"article-journal","abstract":"BACKGROUND: Osteogenesis imperfecta is caused by a genetic defect resulting in an abnormal type I collagen bone matrix which typically results in multiple fractures with little or no trauma. Bisphosphonates are used in an attempt to increase bone mineral density and reduce these fractures in people with osteogenesis imperfecta. This is an update of a previously published Cochrane Review.\nOBJECTIVES: To assess the effectiveness and safety of bisphosphonates in increasing bone mineral density, reducing fractures and improving clinical function in people with osteogenesis imperfecta.\nSEARCH METHODS: We searched the Cochrane Cystic Fibrosis and Genetic Disorders Group Inborn Errors of Metabolism Trials Register which comprises references identified from comprehensive electronic database searches, handsearches of journals and conference proceedings. We additionally searched PubMed and major conference proceedings.Date of the most recent search of the Cochrane Cystic Fibrosis and Genetic Disorders Group's Inborn Errors of Metabolism Register: 28 April 2016.\nSELECTION CRITERIA: Randomised and quasi-randomised controlled trials comparing bisphosphonates to placebo, no treatment, or comparator interventions in all types of osteogenesis imperfecta.\nDATA COLLECTION AND ANALYSIS: Two authors independently extracted data and assessed the risk of bias of the included trials.\nMAIN RESULTS: Fourteen trials (819 participants) were included. Overall, the trials were mainly at a low risk of bias, although selective reporting was an issue in several of the trials. Data for oral bisphosphonates versus placebo could not be aggregated; a statistically significant difference favouring oral bisphosphonates in fracture risk reduction and number of fractures was noted in two trials. No differences were reported in the remaining three trials which commented on fracture incidence. Five trials reported data for spine bone mineral density; all found statistically significant increased lumbar spine density z scores for at least one time point studied. For intravenous bisphosphonates versus placebo, aggregated data from two trials showed no statistically significant difference for the number of participants with at least one fracture, risk ratio 0.56 (95% confidence interval 0.30 to 1.06). In the remaining trial no statistically significant difference was noted in fracture incidence. For spine bone mineral density, no statistically significant difference was noted in the aggregated data from two trials, mean difference 9.96 (95% confidence interval -2.51 to 22.43). In the remaining trial a statistically significant difference in mean per cent change in spine bone mineral density z score favoured intravenous bisphosphonates at six and 12 months. Data describing growth, bone pain, and functional outcomes after oral or intravenous bisphosphonate therapy, or both, as compared to placebo were incomplete among all studies, but do not show consistent improvements in these outcomes. Two studies compared different doses of bisphosphonates. No differences were found between doses when bone mineral density, fractures, and height or length z score were assessed. One trial compared oral versus intravenous bisphosphonates and found no differences in primary outcomes. Two studies compared the intravenous bisphosphonates zoledronic acid and pamidronate. There were no significant differences in primary outcome. However, the studies were at odds as to the relative benefit of zoledronic acid over pamidronate for lumbosacral bone mineral density at 12 months.\nAUTHORS' CONCLUSIONS: Bisphophonates are commonly prescribed to individuals with osteogenesis imperfecta. Current evidence, albeit limited, demonstrates oral or intravenous bisphosphonates increase bone mineral density in children and adults with this condition. These were not shown to be different in their ability to increase bone mineral density. It is unclear whether oral or intravenous bisphosphonate treatment consistently decreases fractures, though multiple studies report this independently and no studies report an increased fracture rate with treatment. The studies included here do not show bisphosphonates conclusively improve clinical status (reduce pain; improve growth and functional mobility) in people with osteogenesis imperfecta. Given their current widespread and expected continued use, the optimal method, duration of therapy and long-term safety of bisphosphonate therapy require further investigation. In addition, attention should be given to long-term fracture reduction and improvement in quality of life indicators.","container-title":"The Cochrane Database of Systematic Reviews","DOI":"10.1002/14651858.CD005088.pub4","ISSN":"1469-493X","journalAbbreviation":"Cochrane Database Syst Rev","language":"eng","note":"PMID: 27760454\nPMCID: PMC6611487","page":"CD005088","source":"PubMed","title":"Bisphosphonate therapy for osteogenesis imperfecta","volume":"10","author":[{"family":"Dwan","given":"Kerry"},{"family":"Phillipi","given":"Carrie A."},{"family":"Steiner","given":"Robert D."},{"family":"Basel","given":"Donald"}],"issued":{"date-parts":[["2016",10,19]]}}}],"schema":"https://github.com/citation-style-language/schema/raw/master/csl-citation.json"} </w:instrText>
      </w:r>
      <w:r w:rsidRPr="00984AD7">
        <w:rPr>
          <w:rFonts w:ascii="Arial" w:hAnsi="Arial" w:cs="Arial"/>
        </w:rPr>
        <w:fldChar w:fldCharType="separate"/>
      </w:r>
      <w:r w:rsidR="00EB26A5">
        <w:rPr>
          <w:rFonts w:ascii="Arial" w:hAnsi="Arial" w:cs="Arial"/>
        </w:rPr>
        <w:t>[12, 13]</w:t>
      </w:r>
      <w:r w:rsidRPr="00984AD7">
        <w:rPr>
          <w:rFonts w:ascii="Arial" w:hAnsi="Arial" w:cs="Arial"/>
        </w:rPr>
        <w:fldChar w:fldCharType="end"/>
      </w:r>
    </w:p>
    <w:p w14:paraId="79BA88E2" w14:textId="15A39D70" w:rsidR="00D230CF" w:rsidRPr="00984AD7" w:rsidRDefault="00D230CF" w:rsidP="00D230CF">
      <w:pPr>
        <w:jc w:val="both"/>
        <w:rPr>
          <w:rFonts w:ascii="Arial" w:hAnsi="Arial" w:cs="Arial"/>
        </w:rPr>
      </w:pPr>
      <w:r>
        <w:rPr>
          <w:rFonts w:ascii="Arial" w:hAnsi="Arial" w:cs="Arial"/>
        </w:rPr>
        <w:t>T</w:t>
      </w:r>
      <w:r w:rsidRPr="00984AD7">
        <w:rPr>
          <w:rFonts w:ascii="Arial" w:hAnsi="Arial" w:cs="Arial"/>
        </w:rPr>
        <w:t xml:space="preserve">he development of dental eruption </w:t>
      </w:r>
      <w:r>
        <w:rPr>
          <w:rFonts w:ascii="Arial" w:hAnsi="Arial" w:cs="Arial"/>
        </w:rPr>
        <w:t xml:space="preserve">involves </w:t>
      </w:r>
      <w:r w:rsidRPr="00984AD7">
        <w:rPr>
          <w:rFonts w:ascii="Arial" w:hAnsi="Arial" w:cs="Arial"/>
        </w:rPr>
        <w:t xml:space="preserve">complex processes, such as resorption of the primary dentition, a physiological process that is part of the growth and development of the child. This </w:t>
      </w:r>
      <w:r>
        <w:rPr>
          <w:rFonts w:ascii="Arial" w:hAnsi="Arial" w:cs="Arial"/>
        </w:rPr>
        <w:t xml:space="preserve">process </w:t>
      </w:r>
      <w:r w:rsidRPr="00984AD7">
        <w:rPr>
          <w:rFonts w:ascii="Arial" w:hAnsi="Arial" w:cs="Arial"/>
        </w:rPr>
        <w:t xml:space="preserve">allows for exfoliation of the primary dentition and eruption of the permanent dentition. The roots of primary teeth are resorbed when active eruption </w:t>
      </w:r>
      <w:r>
        <w:rPr>
          <w:rFonts w:ascii="Arial" w:hAnsi="Arial" w:cs="Arial"/>
        </w:rPr>
        <w:t xml:space="preserve">of </w:t>
      </w:r>
      <w:r w:rsidRPr="00984AD7">
        <w:rPr>
          <w:rFonts w:ascii="Arial" w:hAnsi="Arial" w:cs="Arial"/>
        </w:rPr>
        <w:t xml:space="preserve">the permanent tooth begins, and the dental follicle approaches the root surface. The chronology and coordination of these processes allows the growth and development of the stomatognathic system. </w:t>
      </w:r>
      <w:r w:rsidRPr="00984AD7">
        <w:rPr>
          <w:rFonts w:ascii="Arial" w:hAnsi="Arial" w:cs="Arial"/>
        </w:rPr>
        <w:fldChar w:fldCharType="begin"/>
      </w:r>
      <w:r w:rsidR="00EB26A5">
        <w:rPr>
          <w:rFonts w:ascii="Arial" w:hAnsi="Arial" w:cs="Arial"/>
        </w:rPr>
        <w:instrText xml:space="preserve"> ADDIN ZOTERO_ITEM CSL_CITATION {"citationID":"mpcwBLqO","properties":{"formattedCitation":"[14\\uc0\\u8211{}16]","plainCitation":"[14–16]","noteIndex":0},"citationItems":[{"id":782,"uris":["http://zotero.org/users/5260186/items/TE45CSWT"],"itemData":{"id":782,"type":"article-journal","abstract":"Root resorption is a physiologic event for the primary teeth. It is still unclear whether odontoclasts, the cells which resorb the dental hard tissue, are different from the osteoclasts, the cells that resorb bone. Root resorption seems to be initiated and regulated by the stellate reticulum and the dental follicle of the underlying permanent tooth via the secretion of stimulatory molecules, i.e. cytokines and transcription factors. The primary root resorption process is regulated in a manner similar to bone remodeling, involving the same receptor ligand system known as RANK/RANKL (receptor activator of nuclear factor-kappa B/ RANK Ligand). Primary teeth without a permanent successor eventually exfoliate as well, but our current understanding on the underlying mechanism is slim. The literature is also vague on how resorption of the pulp and periodontal ligament of the primary teeth occurs. Knowledge on the mechanisms involved in the physiologic root resorption process may enable us to delay or even inhibit exfoliation of primary teeth in those cases that the permanent successor teeth are not present and thus preservation of the primary teeth is desirable.","container-title":"Journal of Oral Science","DOI":"10.2334/josnusd.49.1","ISSN":"1343-4934","issue":"1","journalAbbreviation":"J Oral Sci","language":"eng","note":"PMID: 17429176","page":"1-12","source":"PubMed","title":"Physiologic root resorption in primary teeth: molecular and histological events","title-short":"Physiologic root resorption in primary teeth","volume":"49","author":[{"family":"Harokopakis-Hajishengallis","given":"Evlambia"}],"issued":{"date-parts":[["2007",3]]}}},{"id":114,"uris":["http://zotero.org/users/5260186/items/D3D92SDS"],"itemData":{"id":114,"type":"article-journal","abstract":"Tooth eruption is a localized process in the jaws which exhibits precise timing and bilateral symmetry. It involves resorption and formation of bone on opposite sides of the erupting tooth and these activities depend on the dental follicle, a thin connective tissue investment of the developing and erupting tooth. Biochemical studies have shown that during eruption cells, proteins and enzymes change in the dental follicle and several growth factors and proteins known to accelerate or retard eruption have been identified. This review discusses these aspects of tooth eruption and proposes testable hypotheses and strategies that can make studies of tooth eruption new experimental opportunities for developmental biologists.","container-title":"The International Journal of Developmental Biology","ISSN":"0214-6282","issue":"1","journalAbbreviation":"Int. J. Dev. Biol.","language":"eng","note":"PMID: 7626410","page":"223-230","source":"PubMed","title":"The mechanisms and mediators of tooth eruption--models for developmental biologists","volume":"39","author":[{"family":"Marks","given":"S. C."},{"family":"Gorski","given":"J. P."},{"family":"Wise","given":"G. E."}],"issued":{"date-parts":[["1995",2]]}}},{"id":805,"uris":["http://zotero.org/users/5260186/items/694PEKE7"],"itemData":{"id":805,"type":"article-journal","abstract":"Tooth eruption is a series of complicated physiological processes occurring once the crown is formed completely, as well as when the tooth moves toward the occasion plane. As such, the tooth moves through the alveolar bone and the oral mucosa until it finally reaches its functional position. Most studies indicate that the process of tooth eruption involves the alveolar bone, dental follicles, osteoclasts, osteoblasts, and multiple cytokines. Dental follicles regulate both resorption and formation of the alveolar bone, which is required for tooth eruption. Furthermore, root formation with periodontal ligament facilitates continuous tooth eruption. However, the exact mechanism underlying tooth eruption remains unclear. Hence, this review describes the recent research progress on the cellular and molecular mechanisms of tooth eruption.","container-title":"Hua Xi Kou Qiang Yi Xue Za Zhi = Huaxi Kouqiang Yixue Zazhi = West China Journal of Stomatology","DOI":"10.7518/hxkq.2016.03.020","ISSN":"1000-1182","issue":"3","journalAbbreviation":"Hua Xi Kou Qiang Yi Xue Za Zhi","language":"chi","note":"PMID: 27526461\nPMCID: PMC7030846","page":"317-321","source":"PubMed","title":"[Research progress on the cellular and molecular mechanisms of tooth eruption]","volume":"34","author":[{"family":"Shiyan","given":"Huang"},{"family":"Nanquan","given":"Rao"},{"family":"Shuhao","given":"Xu"},{"family":"Xiaobing","given":"Li"}],"issued":{"date-parts":[["2016",6]]}}}],"schema":"https://github.com/citation-style-language/schema/raw/master/csl-citation.json"} </w:instrText>
      </w:r>
      <w:r w:rsidRPr="00984AD7">
        <w:rPr>
          <w:rFonts w:ascii="Arial" w:hAnsi="Arial" w:cs="Arial"/>
        </w:rPr>
        <w:fldChar w:fldCharType="separate"/>
      </w:r>
      <w:r w:rsidR="00EB26A5" w:rsidRPr="00EB26A5">
        <w:rPr>
          <w:rFonts w:ascii="Arial" w:hAnsi="Arial" w:cs="Arial"/>
          <w:lang w:val="en-US"/>
        </w:rPr>
        <w:t>[14–16]</w:t>
      </w:r>
      <w:r w:rsidRPr="00984AD7">
        <w:rPr>
          <w:rFonts w:ascii="Arial" w:hAnsi="Arial" w:cs="Arial"/>
        </w:rPr>
        <w:fldChar w:fldCharType="end"/>
      </w:r>
    </w:p>
    <w:p w14:paraId="04224DBA" w14:textId="230B4C62" w:rsidR="00D230CF" w:rsidRPr="00984AD7" w:rsidRDefault="00D230CF" w:rsidP="00D230CF">
      <w:pPr>
        <w:jc w:val="both"/>
        <w:rPr>
          <w:rFonts w:ascii="Arial" w:hAnsi="Arial" w:cs="Arial"/>
        </w:rPr>
      </w:pPr>
      <w:r w:rsidRPr="00984AD7">
        <w:rPr>
          <w:rFonts w:ascii="Arial" w:hAnsi="Arial" w:cs="Arial"/>
        </w:rPr>
        <w:t xml:space="preserve">Studies in experimental animals </w:t>
      </w:r>
      <w:r>
        <w:rPr>
          <w:rFonts w:ascii="Arial" w:hAnsi="Arial" w:cs="Arial"/>
        </w:rPr>
        <w:t xml:space="preserve">have </w:t>
      </w:r>
      <w:r w:rsidRPr="00984AD7">
        <w:rPr>
          <w:rFonts w:ascii="Arial" w:hAnsi="Arial" w:cs="Arial"/>
        </w:rPr>
        <w:t>indicate</w:t>
      </w:r>
      <w:r>
        <w:rPr>
          <w:rFonts w:ascii="Arial" w:hAnsi="Arial" w:cs="Arial"/>
        </w:rPr>
        <w:t>d</w:t>
      </w:r>
      <w:r w:rsidRPr="00984AD7">
        <w:rPr>
          <w:rFonts w:ascii="Arial" w:hAnsi="Arial" w:cs="Arial"/>
        </w:rPr>
        <w:t xml:space="preserve"> that BPs alter tooth eruption and root formation </w:t>
      </w:r>
      <w:r w:rsidRPr="00984AD7">
        <w:rPr>
          <w:rFonts w:ascii="Arial" w:hAnsi="Arial" w:cs="Arial"/>
        </w:rPr>
        <w:fldChar w:fldCharType="begin"/>
      </w:r>
      <w:r w:rsidR="00EB26A5">
        <w:rPr>
          <w:rFonts w:ascii="Arial" w:hAnsi="Arial" w:cs="Arial"/>
        </w:rPr>
        <w:instrText xml:space="preserve"> ADDIN ZOTERO_ITEM CSL_CITATION {"citationID":"9Rx3ysLA","properties":{"formattedCitation":"[17, 18]","plainCitation":"[17, 18]","noteIndex":0},"citationItems":[{"id":562,"uris":["http://zotero.org/users/5260186/items/NI46NZ77",["http://zotero.org/users/5260186/items/NI46NZ77"]],"itemData":{"id":562,"type":"article-journal","abstract":"The creation of the eruption pathway requires the resorption of the occlusal alveolar bone by osteoclasts and signaling events between bone and dental follicle are necessary. The aim of the present study has been to evaluate the effect of alendronate on osteoclastogenesis and the expression of the regulator proteins of osteoclast activation, namely RANK, RANKL and OPG, in the bone that covers the first molar germ. Newborn Wistar rats were treated daily with 2.5 mg/kg alendronate for 4, 8, 14, 21 and 28 days, whereas controls received sterile saline solution. At the time points cited, maxillae were fixed, decalcified and processed for light and electron microscopic analysis. TRAP histochemistry was performed on semi-serial sections and the osteoclasts in the occlusal half of the bony crypt surface were counted. TUNEL analysis was carried out on paraffin sections. The occlusal bone that covers the upper first molar was removed in additional 4- and 8-day-old alendronate-treated and control rats in which the expression of RANK, RANKL and OPG was analyzed by SDS-polyacrylamide gel electrophoresis and Western blotting. TRAP-positive osteoclasts were more numerous in the alendronate group at all time points, despite their unactivated phenotype and the presence of apoptotic cells. RANKL expression in the alendronate specimens was inhibited at all time points, unlike in controls. Our findings indicate that the expression of RANKL in the occlusal portion of the bony crypt is unrelated to osteoclast recruitment and differentiation but is crucial to their activation during the creation of the eruption pathway.","container-title":"Cell and Tissue Research","DOI":"10.1007/s00441-013-1623-9","ISSN":"1432-0878","issue":"1","journalAbbreviation":"Cell Tissue Res.","language":"eng","note":"PMID: 23636419","page":"79-86","source":"PubMed","title":"Reduced RANKL expression impedes osteoclast activation and tooth eruption in alendronate-treated rats","volume":"353","author":[{"family":"Bradaschia-Correa","given":"Vivian"},{"family":"Moreira","given":"Mariana M."},{"family":"Arana-Chavez","given":"Victor E."}],"issued":{"date-parts":[["2013",7]]}}},{"id":557,"uris":["http://zotero.org/users/5260186/items/D2QCG6M7",["http://zotero.org/users/5260186/items/D2QCG6M7"]],"itemData":{"id":557,"type":"article-journal","abstract":"Tooth eruption consists of the movement of teeth from the bony crypt in which they initiate their development to the occlusal plane in the oral cavity. Interactions between the tooth germ and its surrounding alveolar bone occur in order to offer spatial conditions for its development and eruption. This involves bone remodeling during which resorption is a key event. Bisphosphonates are a group of drugs that interfere with the resorption of mineralized tissues. With the purpose of investigating the effects of sodium alendronate (a potent bisphosphonate inhibitor of osteoclast activity) on alveolar bone during tooth development and eruption, we gave newborn rats daily doses of this drug for 4, 14, and 30 days. Samples of the maxillary alveolar process containing the tooth germs were processed for light, transmission, and scanning electron microscopy and were also submitted to tartrate-resistant acid phosphatase histochemistry and high-resolution colloidal-gold immunolabeling for osteopontin. Inhibition of osteoclast activity by sodium alendronate caused the absence of tooth eruption. The lack of alveolar bone remodeling resulted in primary bone with the presence of latent osteoclasts and abundant osteopontin at the interfibrillar regions. The developing bone trabeculae invaded the dental follicle and reached the molar tooth germs, provoking deformities in enamel surfaces. No root formation was observed. These findings suggested that alendronate effectively inhibited tooth eruption by interfering with the activation of osteoclasts, which remained in a latent stage.","container-title":"Cell and Tissue Research","DOI":"10.1007/s00441-007-0499-y","ISSN":"0302-766X","issue":"3","journalAbbreviation":"Cell Tissue Res.","language":"eng","note":"PMID: 17901984","page":"475-485","source":"PubMed","title":"Effects of alendronate on tooth eruption and molar root formation in young growing rats","volume":"330","author":[{"family":"Bradaschia-Correa","given":"Vivian"},{"family":"Massa","given":"Luciana F."},{"family":"Arana-Chavez","given":"Victor E."}],"issued":{"date-parts":[["2007",12]]}}}],"schema":"https://github.com/citation-style-language/schema/raw/master/csl-citation.json"} </w:instrText>
      </w:r>
      <w:r w:rsidRPr="00984AD7">
        <w:rPr>
          <w:rFonts w:ascii="Arial" w:hAnsi="Arial" w:cs="Arial"/>
        </w:rPr>
        <w:fldChar w:fldCharType="separate"/>
      </w:r>
      <w:r w:rsidR="00EB26A5">
        <w:rPr>
          <w:rFonts w:ascii="Arial" w:hAnsi="Arial" w:cs="Arial"/>
        </w:rPr>
        <w:t>[17, 18]</w:t>
      </w:r>
      <w:r w:rsidRPr="00984AD7">
        <w:rPr>
          <w:rFonts w:ascii="Arial" w:hAnsi="Arial" w:cs="Arial"/>
        </w:rPr>
        <w:fldChar w:fldCharType="end"/>
      </w:r>
      <w:r w:rsidRPr="00984AD7">
        <w:rPr>
          <w:rFonts w:ascii="Arial" w:hAnsi="Arial" w:cs="Arial"/>
        </w:rPr>
        <w:t xml:space="preserve"> and induce dental malformations.</w:t>
      </w:r>
      <w:r w:rsidRPr="00984AD7">
        <w:rPr>
          <w:rFonts w:ascii="Arial" w:hAnsi="Arial" w:cs="Arial"/>
        </w:rPr>
        <w:fldChar w:fldCharType="begin"/>
      </w:r>
      <w:r>
        <w:rPr>
          <w:rFonts w:ascii="Arial" w:hAnsi="Arial" w:cs="Arial"/>
        </w:rPr>
        <w:instrText xml:space="preserve"> ADDIN ZOTERO_ITEM CSL_CITATION {"citationID":"q3BxTxij","properties":{"formattedCitation":"[19]","plainCitation":"[19]","noteIndex":0},"citationItems":[{"id":560,"uris":["http://zotero.org/users/5260186/items/ITY72Y38",["http://zotero.org/users/5260186/items/ITY72Y38"]],"itemData":{"id":560,"type":"article-journal","abstract":"Bisphosphonates (BPs) are potent inhibitors of osteoclastic bone resorption and widely used for the treatment of osteoporosis and metastatic bone diseases. Recently, BPs have also been shown to benefit children with primary and secondary osteoporosis, including osteogenesis imperfecta; however, their long-term safety has not been established yet. Clinical and experimental studies have demonstrated that BPs delay or inhibit tooth eruption. The failure of tooth eruption causes several dental abnormalities. In this study, to determine the effects of BPs on tooth formation, the BP zoledronic acid (ZOL) was injected into 7- and 14-day-old rats, and the development of the mandibular teeth was examined. X-ray analysis demonstrated that ZOL inhibited the eruption of both incisors and molars and their formation, especially in the molar roots. Histological examination showed that, in ZOL-treated animals, alveolar bone remained unresorbed around tooth crowns, which injured ameloblasts and enamel matrix, leading to defects of the enamel. Furthermore, haphazard proliferation of odontogenic epithelium and mesenchyme associated with primitive tooth structures, which resembles human odontomas, was induced at the basal end of incisors but not around the molars. Tooth ankylosis to alveolar bone was occasionally observed in molars. These results suggest that administration of BPs during tooth development has the potential to inhibit tooth eruption and formation and to induce several types of dental abnormalities, which may be attributed to the altered osteoclastic activities.","container-title":"Calcified Tissue International","DOI":"10.1007/s00223-010-9366-z","ISSN":"1432-0827","issue":"6","journalAbbreviation":"Calcif. Tissue Int.","language":"eng","note":"PMID: 20411381","page":"502-510","source":"PubMed","title":"Administration of the bisphosphonate zoledronic acid during tooth development inhibits tooth eruption and formation and induces dental abnormalities in rats","volume":"86","author":[{"family":"Hiraga","given":"Toru"},{"family":"Ninomiya","given":"Tadashi"},{"family":"Hosoya","given":"Akihiro"},{"family":"Nakamura","given":"Hiroaki"}],"issued":{"date-parts":[["2010",6]]}}}],"schema":"https://github.com/citation-style-language/schema/raw/master/csl-citation.json"} </w:instrText>
      </w:r>
      <w:r w:rsidRPr="00984AD7">
        <w:rPr>
          <w:rFonts w:ascii="Arial" w:hAnsi="Arial" w:cs="Arial"/>
        </w:rPr>
        <w:fldChar w:fldCharType="separate"/>
      </w:r>
      <w:r>
        <w:rPr>
          <w:rFonts w:ascii="Arial" w:hAnsi="Arial" w:cs="Arial"/>
        </w:rPr>
        <w:t>[19]</w:t>
      </w:r>
      <w:r w:rsidRPr="00984AD7">
        <w:rPr>
          <w:rFonts w:ascii="Arial" w:hAnsi="Arial" w:cs="Arial"/>
        </w:rPr>
        <w:fldChar w:fldCharType="end"/>
      </w:r>
      <w:r w:rsidRPr="00984AD7">
        <w:rPr>
          <w:rFonts w:ascii="Arial" w:hAnsi="Arial" w:cs="Arial"/>
        </w:rPr>
        <w:t xml:space="preserve"> A few studies in children with OI have shown that tooth development, resorption of the primary tooth and eruption of the permanent tooth are altered. </w:t>
      </w:r>
      <w:r>
        <w:rPr>
          <w:rFonts w:ascii="Arial" w:hAnsi="Arial" w:cs="Arial"/>
        </w:rPr>
        <w:t xml:space="preserve">Notably, </w:t>
      </w:r>
      <w:r w:rsidRPr="00984AD7">
        <w:rPr>
          <w:rFonts w:ascii="Arial" w:hAnsi="Arial" w:cs="Arial"/>
        </w:rPr>
        <w:t xml:space="preserve">the studies by Vourimies et al. </w:t>
      </w:r>
      <w:r w:rsidRPr="00984AD7">
        <w:rPr>
          <w:rFonts w:ascii="Arial" w:hAnsi="Arial" w:cs="Arial"/>
        </w:rPr>
        <w:fldChar w:fldCharType="begin"/>
      </w:r>
      <w:r>
        <w:rPr>
          <w:rFonts w:ascii="Arial" w:hAnsi="Arial" w:cs="Arial"/>
        </w:rPr>
        <w:instrText xml:space="preserve"> ADDIN ZOTERO_ITEM CSL_CITATION {"citationID":"7lMXjqg7","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and Malmgren et al. </w:t>
      </w:r>
      <w:r w:rsidRPr="00984AD7">
        <w:rPr>
          <w:rFonts w:ascii="Arial" w:hAnsi="Arial" w:cs="Arial"/>
        </w:rPr>
        <w:fldChar w:fldCharType="begin"/>
      </w:r>
      <w:r>
        <w:rPr>
          <w:rFonts w:ascii="Arial" w:hAnsi="Arial" w:cs="Arial"/>
        </w:rPr>
        <w:instrText xml:space="preserve"> ADDIN ZOTERO_ITEM CSL_CITATION {"citationID":"SmvKYpB2","properties":{"formattedCitation":"[21]","plainCitation":"[21]","noteIndex":0},"citationItems":[{"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Al"},{"family":"Dahllöf","given":"Göran"},{"family":"Åström","given":"Eva"}],"issued":{"date-parts":[["2020",8]]}}}],"schema":"https://github.com/citation-style-language/schema/raw/master/csl-citation.json"} </w:instrText>
      </w:r>
      <w:r w:rsidRPr="00984AD7">
        <w:rPr>
          <w:rFonts w:ascii="Arial" w:hAnsi="Arial" w:cs="Arial"/>
        </w:rPr>
        <w:fldChar w:fldCharType="separate"/>
      </w:r>
      <w:r>
        <w:rPr>
          <w:rFonts w:ascii="Arial" w:hAnsi="Arial" w:cs="Arial"/>
        </w:rPr>
        <w:t>[21]</w:t>
      </w:r>
      <w:r w:rsidRPr="00984AD7">
        <w:rPr>
          <w:rFonts w:ascii="Arial" w:hAnsi="Arial" w:cs="Arial"/>
        </w:rPr>
        <w:fldChar w:fldCharType="end"/>
      </w:r>
      <w:r w:rsidRPr="00984AD7">
        <w:rPr>
          <w:rFonts w:ascii="Arial" w:hAnsi="Arial" w:cs="Arial"/>
        </w:rPr>
        <w:t xml:space="preserve"> are the only two studies that have previously analysed the eruptive process and compared OI patients medicated with BPs with </w:t>
      </w:r>
      <w:r>
        <w:rPr>
          <w:rFonts w:ascii="Arial" w:hAnsi="Arial" w:cs="Arial"/>
        </w:rPr>
        <w:t>un</w:t>
      </w:r>
      <w:r w:rsidRPr="00984AD7">
        <w:rPr>
          <w:rFonts w:ascii="Arial" w:hAnsi="Arial" w:cs="Arial"/>
        </w:rPr>
        <w:t>medicated</w:t>
      </w:r>
      <w:r>
        <w:rPr>
          <w:rFonts w:ascii="Arial" w:hAnsi="Arial" w:cs="Arial"/>
        </w:rPr>
        <w:t xml:space="preserve"> OI patients</w:t>
      </w:r>
      <w:r w:rsidRPr="00984AD7">
        <w:rPr>
          <w:rFonts w:ascii="Arial" w:hAnsi="Arial" w:cs="Arial"/>
        </w:rPr>
        <w:t xml:space="preserve"> and a healthy </w:t>
      </w:r>
      <w:r>
        <w:rPr>
          <w:rFonts w:ascii="Arial" w:hAnsi="Arial" w:cs="Arial"/>
        </w:rPr>
        <w:t xml:space="preserve">control </w:t>
      </w:r>
      <w:r w:rsidRPr="00984AD7">
        <w:rPr>
          <w:rFonts w:ascii="Arial" w:hAnsi="Arial" w:cs="Arial"/>
        </w:rPr>
        <w:t xml:space="preserve">group. </w:t>
      </w:r>
      <w:r w:rsidRPr="00984AD7">
        <w:rPr>
          <w:rFonts w:ascii="Arial" w:hAnsi="Arial" w:cs="Arial"/>
        </w:rPr>
        <w:fldChar w:fldCharType="begin"/>
      </w:r>
      <w:r>
        <w:rPr>
          <w:rFonts w:ascii="Arial" w:hAnsi="Arial" w:cs="Arial"/>
        </w:rPr>
        <w:instrText xml:space="preserve"> ADDIN ZOTERO_ITEM CSL_CITATION {"citationID":"d4x8o2QW","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p>
    <w:p w14:paraId="330C835B" w14:textId="77777777" w:rsidR="00D230CF" w:rsidRPr="00984AD7" w:rsidRDefault="00D230CF" w:rsidP="00D230CF">
      <w:pPr>
        <w:jc w:val="both"/>
        <w:rPr>
          <w:rFonts w:ascii="Arial" w:hAnsi="Arial" w:cs="Arial"/>
        </w:rPr>
      </w:pPr>
      <w:r w:rsidRPr="00984AD7">
        <w:rPr>
          <w:rFonts w:ascii="Arial" w:hAnsi="Arial" w:cs="Arial"/>
        </w:rPr>
        <w:t>In the oral cavity of children with OI</w:t>
      </w:r>
      <w:r>
        <w:rPr>
          <w:rFonts w:ascii="Arial" w:hAnsi="Arial" w:cs="Arial"/>
        </w:rPr>
        <w:t>,</w:t>
      </w:r>
      <w:r w:rsidRPr="00984AD7">
        <w:rPr>
          <w:rFonts w:ascii="Arial" w:hAnsi="Arial" w:cs="Arial"/>
        </w:rPr>
        <w:t xml:space="preserve"> during growth and development, physiological processes that require the function of osteoclasts occur.</w:t>
      </w:r>
    </w:p>
    <w:p w14:paraId="0218090A" w14:textId="37D0648B" w:rsidR="00D230CF" w:rsidRPr="00984AD7" w:rsidRDefault="00D230CF" w:rsidP="00D230CF">
      <w:pPr>
        <w:jc w:val="both"/>
        <w:rPr>
          <w:rFonts w:ascii="Arial" w:hAnsi="Arial" w:cs="Arial"/>
        </w:rPr>
      </w:pPr>
      <w:r w:rsidRPr="00984AD7">
        <w:rPr>
          <w:rFonts w:ascii="Arial" w:hAnsi="Arial" w:cs="Arial"/>
        </w:rPr>
        <w:t xml:space="preserve">Physiological processes such as tooth eruption are carried out at the expense of clastic cells. The administration of BPs during growth and development could alter the exfoliation of the primary dentition and dental development, thus </w:t>
      </w:r>
      <w:r>
        <w:rPr>
          <w:rFonts w:ascii="Arial" w:hAnsi="Arial" w:cs="Arial"/>
        </w:rPr>
        <w:t xml:space="preserve">affecting </w:t>
      </w:r>
      <w:r w:rsidRPr="00984AD7">
        <w:rPr>
          <w:rFonts w:ascii="Arial" w:hAnsi="Arial" w:cs="Arial"/>
        </w:rPr>
        <w:t xml:space="preserve">the entire eruptive process. </w:t>
      </w:r>
      <w:r w:rsidRPr="005158D2">
        <w:rPr>
          <w:rFonts w:ascii="Arial" w:hAnsi="Arial" w:cs="Arial"/>
        </w:rPr>
        <w:t>The aim of this investigation was</w:t>
      </w:r>
      <w:r w:rsidRPr="00984AD7">
        <w:rPr>
          <w:rFonts w:ascii="Arial" w:hAnsi="Arial" w:cs="Arial"/>
        </w:rPr>
        <w:t xml:space="preserve"> to study the dental development of premolars and the root resorption of primary molars in children with osteogenesis imperfecta medicated with BPs </w:t>
      </w:r>
      <w:r>
        <w:rPr>
          <w:rFonts w:ascii="Arial" w:hAnsi="Arial" w:cs="Arial"/>
        </w:rPr>
        <w:t xml:space="preserve">according to </w:t>
      </w:r>
      <w:r w:rsidRPr="00984AD7">
        <w:rPr>
          <w:rFonts w:ascii="Arial" w:hAnsi="Arial" w:cs="Arial"/>
        </w:rPr>
        <w:t>age and sex.</w:t>
      </w:r>
    </w:p>
    <w:p w14:paraId="6F1F62FA" w14:textId="77777777" w:rsidR="00D230CF" w:rsidRPr="00984AD7" w:rsidRDefault="00D230CF" w:rsidP="00D230CF">
      <w:pPr>
        <w:jc w:val="both"/>
        <w:rPr>
          <w:rFonts w:ascii="Arial" w:hAnsi="Arial" w:cs="Arial"/>
        </w:rPr>
      </w:pPr>
    </w:p>
    <w:p w14:paraId="22250051" w14:textId="77777777" w:rsidR="00D230CF" w:rsidRPr="00984AD7" w:rsidRDefault="00D230CF" w:rsidP="00D230CF">
      <w:pPr>
        <w:jc w:val="both"/>
        <w:rPr>
          <w:rFonts w:ascii="Arial" w:hAnsi="Arial" w:cs="Arial"/>
          <w:b/>
        </w:rPr>
      </w:pPr>
      <w:r w:rsidRPr="00984AD7">
        <w:rPr>
          <w:rFonts w:ascii="Arial" w:hAnsi="Arial" w:cs="Arial"/>
          <w:b/>
        </w:rPr>
        <w:lastRenderedPageBreak/>
        <w:t>Methods.</w:t>
      </w:r>
    </w:p>
    <w:p w14:paraId="0089F8C6" w14:textId="77777777" w:rsidR="00D230CF" w:rsidRPr="00984AD7" w:rsidRDefault="00D230CF" w:rsidP="00D230CF">
      <w:pPr>
        <w:jc w:val="both"/>
        <w:rPr>
          <w:rFonts w:ascii="Arial" w:hAnsi="Arial" w:cs="Arial"/>
        </w:rPr>
      </w:pPr>
      <w:r w:rsidRPr="00984AD7">
        <w:rPr>
          <w:rFonts w:ascii="Arial" w:hAnsi="Arial" w:cs="Arial"/>
        </w:rPr>
        <w:t xml:space="preserve">The research was carried out at the Complutense University of Madrid (UCM) in the Faculty of Dentistry with the support of the AHUCE Foundation under the collaboration agreement between the AHUCE Foundation and UCM. A cross-sectional, </w:t>
      </w:r>
      <w:proofErr w:type="gramStart"/>
      <w:r w:rsidRPr="00984AD7">
        <w:rPr>
          <w:rFonts w:ascii="Arial" w:hAnsi="Arial" w:cs="Arial"/>
        </w:rPr>
        <w:t>observational</w:t>
      </w:r>
      <w:proofErr w:type="gramEnd"/>
      <w:r w:rsidRPr="00984AD7">
        <w:rPr>
          <w:rFonts w:ascii="Arial" w:hAnsi="Arial" w:cs="Arial"/>
        </w:rPr>
        <w:t xml:space="preserve"> and analytical study was designed.</w:t>
      </w:r>
    </w:p>
    <w:p w14:paraId="48197322" w14:textId="77777777" w:rsidR="00D230CF" w:rsidRPr="00984AD7" w:rsidRDefault="00D230CF" w:rsidP="00D230CF">
      <w:pPr>
        <w:jc w:val="both"/>
        <w:rPr>
          <w:rFonts w:ascii="Arial" w:hAnsi="Arial" w:cs="Arial"/>
        </w:rPr>
      </w:pPr>
      <w:r w:rsidRPr="00984AD7">
        <w:rPr>
          <w:rFonts w:ascii="Arial" w:hAnsi="Arial" w:cs="Arial"/>
        </w:rPr>
        <w:t>For dental diagnosis, clinical history data and panoramic radiographs are routinely requested.</w:t>
      </w:r>
    </w:p>
    <w:p w14:paraId="1362C9D4" w14:textId="77777777" w:rsidR="00D230CF" w:rsidRPr="00984AD7" w:rsidRDefault="00D230CF" w:rsidP="00D230CF">
      <w:pPr>
        <w:jc w:val="both"/>
        <w:rPr>
          <w:rFonts w:ascii="Arial" w:hAnsi="Arial" w:cs="Arial"/>
          <w:color w:val="222222"/>
          <w:shd w:val="clear" w:color="auto" w:fill="FFFFFF"/>
        </w:rPr>
      </w:pPr>
    </w:p>
    <w:p w14:paraId="4FE58D3A" w14:textId="50ADF898" w:rsidR="00D230CF" w:rsidRPr="00984AD7" w:rsidRDefault="00D230CF" w:rsidP="00D230CF">
      <w:pPr>
        <w:jc w:val="both"/>
        <w:rPr>
          <w:rFonts w:ascii="Arial" w:hAnsi="Arial" w:cs="Arial"/>
        </w:rPr>
      </w:pPr>
      <w:r w:rsidRPr="000866DF">
        <w:rPr>
          <w:rFonts w:ascii="Arial" w:hAnsi="Arial" w:cs="Arial"/>
          <w:color w:val="222222"/>
          <w:shd w:val="clear" w:color="auto" w:fill="FFFFFF"/>
        </w:rPr>
        <w:t>Sample Characteristics</w:t>
      </w:r>
    </w:p>
    <w:p w14:paraId="3467C14A" w14:textId="2CDB8E91" w:rsidR="00D230CF" w:rsidRPr="00984AD7" w:rsidRDefault="00D230CF" w:rsidP="00D230CF">
      <w:pPr>
        <w:jc w:val="both"/>
        <w:rPr>
          <w:rFonts w:ascii="Arial" w:hAnsi="Arial" w:cs="Arial"/>
        </w:rPr>
      </w:pPr>
      <w:r w:rsidRPr="00984AD7">
        <w:rPr>
          <w:rFonts w:ascii="Arial" w:hAnsi="Arial" w:cs="Arial"/>
        </w:rPr>
        <w:t>The study group consisted</w:t>
      </w:r>
      <w:r w:rsidR="007C1C6A">
        <w:rPr>
          <w:rStyle w:val="Refdecomentario"/>
          <w:rFonts w:eastAsiaTheme="majorEastAsia"/>
        </w:rPr>
        <w:t xml:space="preserve"> </w:t>
      </w:r>
      <w:r w:rsidRPr="00984AD7">
        <w:rPr>
          <w:rFonts w:ascii="Arial" w:hAnsi="Arial" w:cs="Arial"/>
        </w:rPr>
        <w:t>of patients with osteogenesis imperfecta medicated with BPs, while the control group included healthy patients without systemic diseases. The study group consisted</w:t>
      </w:r>
      <w:r w:rsidR="007C1C6A">
        <w:rPr>
          <w:rStyle w:val="Refdecomentario"/>
          <w:rFonts w:eastAsiaTheme="majorEastAsia"/>
        </w:rPr>
        <w:t xml:space="preserve"> </w:t>
      </w:r>
      <w:r w:rsidRPr="00984AD7">
        <w:rPr>
          <w:rFonts w:ascii="Arial" w:hAnsi="Arial" w:cs="Arial"/>
        </w:rPr>
        <w:t>of 26 6- to 12-year-old children with a confirmed diagnosis of osteogenesis imperfecta treated with BPs</w:t>
      </w:r>
      <w:r>
        <w:rPr>
          <w:rFonts w:ascii="Arial" w:hAnsi="Arial" w:cs="Arial"/>
        </w:rPr>
        <w:t xml:space="preserve"> with available </w:t>
      </w:r>
      <w:r w:rsidRPr="00984AD7">
        <w:rPr>
          <w:rFonts w:ascii="Arial" w:hAnsi="Arial" w:cs="Arial"/>
        </w:rPr>
        <w:t xml:space="preserve">panoramic radiographs. As OI is a rare disease with an incidence ranging between 6 and 20 cases per 100,000 live births, </w:t>
      </w:r>
      <w:r>
        <w:rPr>
          <w:rFonts w:ascii="Arial" w:hAnsi="Arial" w:cs="Arial"/>
        </w:rPr>
        <w:t xml:space="preserve">a </w:t>
      </w:r>
      <w:r w:rsidRPr="00984AD7">
        <w:rPr>
          <w:rFonts w:ascii="Arial" w:hAnsi="Arial" w:cs="Arial"/>
        </w:rPr>
        <w:t xml:space="preserve">calculation of the </w:t>
      </w:r>
      <w:r>
        <w:rPr>
          <w:rFonts w:ascii="Arial" w:hAnsi="Arial" w:cs="Arial"/>
        </w:rPr>
        <w:t xml:space="preserve">needed </w:t>
      </w:r>
      <w:r w:rsidRPr="00984AD7">
        <w:rPr>
          <w:rFonts w:ascii="Arial" w:hAnsi="Arial" w:cs="Arial"/>
        </w:rPr>
        <w:t xml:space="preserve">sample size could not be carried out. </w:t>
      </w:r>
      <w:r w:rsidRPr="00984AD7">
        <w:rPr>
          <w:rFonts w:ascii="Arial" w:hAnsi="Arial" w:cs="Arial"/>
        </w:rPr>
        <w:fldChar w:fldCharType="begin"/>
      </w:r>
      <w:r>
        <w:rPr>
          <w:rFonts w:ascii="Arial" w:hAnsi="Arial" w:cs="Arial"/>
        </w:rPr>
        <w:instrText xml:space="preserve"> ADDIN ZOTERO_ITEM CSL_CITATION {"citationID":"KPgbB0FZ","properties":{"formattedCitation":"[1]","plainCitation":"[1]","noteIndex":0},"citationItems":[{"id":542,"uris":["http://zotero.org/users/5260186/items/REQL9TUN",["http://zotero.org/users/5260186/items/REQL9TUN"]],"itemData":{"id":542,"type":"article-journal","abstract":"Osteogenesis imperfecta is a genetic disorder of increased bone fragility, low bone mass, and other connective-tissue manifestations. The most frequently used classification outlines four clinical types, which we have expanded to seven distinct types. In most patients the disorder is caused by mutations in one of the two genes encoding collagen type 1, but in some individuals no such mutations are detectable. The most important therapeutic advance is the introduction of bisphosphonate treatment for moderate to severe forms of osteogenesis imperfecta. However, at present, the best treatment regimen and the long-term outcomes of bisphosphonate therapy are unknown. Although this treatment does not constitute a cure, it is an adjunct to physiotherapy, rehabilitation, and orthopaedic care. Gene-based therapy presently remains in the early stages of preclinical research.","container-title":"Lancet (London, England)","DOI":"10.1016/S0140-6736(04)16051-0","ISSN":"1474-547X","issue":"9418","journalAbbreviation":"Lancet","language":"eng","note":"PMID: 15110498","page":"1377-1385","source":"PubMed","title":"Osteogenesis imperfecta","volume":"363","author":[{"family":"Rauch","given":"Frank"},{"family":"Glorieux","given":"Francis H."}],"issued":{"date-parts":[["2004",4,24]]}}}],"schema":"https://github.com/citation-style-language/schema/raw/master/csl-citation.json"} </w:instrText>
      </w:r>
      <w:r w:rsidRPr="00984AD7">
        <w:rPr>
          <w:rFonts w:ascii="Arial" w:hAnsi="Arial" w:cs="Arial"/>
        </w:rPr>
        <w:fldChar w:fldCharType="separate"/>
      </w:r>
      <w:r>
        <w:rPr>
          <w:rFonts w:ascii="Arial" w:hAnsi="Arial" w:cs="Arial"/>
        </w:rPr>
        <w:t>[1]</w:t>
      </w:r>
      <w:r w:rsidRPr="00984AD7">
        <w:rPr>
          <w:rFonts w:ascii="Arial" w:hAnsi="Arial" w:cs="Arial"/>
        </w:rPr>
        <w:fldChar w:fldCharType="end"/>
      </w:r>
      <w:r w:rsidRPr="00984AD7">
        <w:rPr>
          <w:rFonts w:ascii="Arial" w:hAnsi="Arial" w:cs="Arial"/>
        </w:rPr>
        <w:t xml:space="preserve"> </w:t>
      </w:r>
      <w:r>
        <w:rPr>
          <w:rFonts w:ascii="Arial" w:hAnsi="Arial" w:cs="Arial"/>
        </w:rPr>
        <w:t>A</w:t>
      </w:r>
      <w:r w:rsidRPr="00984AD7">
        <w:rPr>
          <w:rFonts w:ascii="Arial" w:hAnsi="Arial" w:cs="Arial"/>
        </w:rPr>
        <w:t xml:space="preserve"> study conducted using a </w:t>
      </w:r>
      <w:r>
        <w:rPr>
          <w:rFonts w:ascii="Arial" w:hAnsi="Arial" w:cs="Arial"/>
        </w:rPr>
        <w:t xml:space="preserve">human </w:t>
      </w:r>
      <w:r w:rsidRPr="00984AD7">
        <w:rPr>
          <w:rFonts w:ascii="Arial" w:hAnsi="Arial" w:cs="Arial"/>
        </w:rPr>
        <w:t xml:space="preserve">sample was </w:t>
      </w:r>
      <w:r>
        <w:rPr>
          <w:rFonts w:ascii="Arial" w:hAnsi="Arial" w:cs="Arial"/>
        </w:rPr>
        <w:t>used as a reference</w:t>
      </w:r>
      <w:r w:rsidRPr="00984AD7">
        <w:rPr>
          <w:rFonts w:ascii="Arial" w:hAnsi="Arial" w:cs="Arial"/>
        </w:rPr>
        <w:t xml:space="preserve">. This study investigated dental development, root resorption and the emergence of permanent teeth in patients with OI treated with BPs and included a sample of 25 patients with OI. </w:t>
      </w:r>
      <w:r w:rsidRPr="00984AD7">
        <w:rPr>
          <w:rFonts w:ascii="Arial" w:hAnsi="Arial" w:cs="Arial"/>
        </w:rPr>
        <w:fldChar w:fldCharType="begin"/>
      </w:r>
      <w:r>
        <w:rPr>
          <w:rFonts w:ascii="Arial" w:hAnsi="Arial" w:cs="Arial"/>
        </w:rPr>
        <w:instrText xml:space="preserve"> ADDIN ZOTERO_ITEM CSL_CITATION {"citationID":"tY5pmmSP","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p>
    <w:p w14:paraId="0B6EF7D9" w14:textId="77777777" w:rsidR="00D230CF" w:rsidRPr="00984AD7" w:rsidRDefault="00D230CF" w:rsidP="00D230CF">
      <w:pPr>
        <w:jc w:val="both"/>
        <w:rPr>
          <w:rFonts w:ascii="Arial" w:hAnsi="Arial" w:cs="Arial"/>
        </w:rPr>
      </w:pPr>
      <w:r w:rsidRPr="00984AD7">
        <w:rPr>
          <w:rFonts w:ascii="Arial" w:hAnsi="Arial" w:cs="Arial"/>
        </w:rPr>
        <w:t xml:space="preserve">The </w:t>
      </w:r>
      <w:r>
        <w:rPr>
          <w:rFonts w:ascii="Arial" w:hAnsi="Arial" w:cs="Arial"/>
        </w:rPr>
        <w:t xml:space="preserve">participants were </w:t>
      </w:r>
      <w:proofErr w:type="gramStart"/>
      <w:r w:rsidRPr="00984AD7">
        <w:rPr>
          <w:rFonts w:ascii="Arial" w:hAnsi="Arial" w:cs="Arial"/>
        </w:rPr>
        <w:t>classified into groups</w:t>
      </w:r>
      <w:proofErr w:type="gramEnd"/>
      <w:r w:rsidRPr="00984AD7">
        <w:rPr>
          <w:rFonts w:ascii="Arial" w:hAnsi="Arial" w:cs="Arial"/>
        </w:rPr>
        <w:t xml:space="preserve"> based on sex and age. </w:t>
      </w:r>
      <w:r>
        <w:rPr>
          <w:rFonts w:ascii="Arial" w:hAnsi="Arial" w:cs="Arial"/>
        </w:rPr>
        <w:t xml:space="preserve">The </w:t>
      </w:r>
      <w:r w:rsidRPr="00984AD7">
        <w:rPr>
          <w:rFonts w:ascii="Arial" w:hAnsi="Arial" w:cs="Arial"/>
        </w:rPr>
        <w:t xml:space="preserve">two </w:t>
      </w:r>
      <w:r>
        <w:rPr>
          <w:rFonts w:ascii="Arial" w:hAnsi="Arial" w:cs="Arial"/>
        </w:rPr>
        <w:t xml:space="preserve">age </w:t>
      </w:r>
      <w:r w:rsidRPr="00984AD7">
        <w:rPr>
          <w:rFonts w:ascii="Arial" w:hAnsi="Arial" w:cs="Arial"/>
        </w:rPr>
        <w:t xml:space="preserve">groups </w:t>
      </w:r>
      <w:r>
        <w:rPr>
          <w:rFonts w:ascii="Arial" w:hAnsi="Arial" w:cs="Arial"/>
        </w:rPr>
        <w:t>included patients</w:t>
      </w:r>
      <w:r w:rsidRPr="00984AD7">
        <w:rPr>
          <w:rFonts w:ascii="Arial" w:hAnsi="Arial" w:cs="Arial"/>
        </w:rPr>
        <w:t xml:space="preserve"> aged 6-8.9 years and </w:t>
      </w:r>
      <w:r>
        <w:rPr>
          <w:rFonts w:ascii="Arial" w:hAnsi="Arial" w:cs="Arial"/>
        </w:rPr>
        <w:t>patients</w:t>
      </w:r>
      <w:r w:rsidRPr="00984AD7">
        <w:rPr>
          <w:rFonts w:ascii="Arial" w:hAnsi="Arial" w:cs="Arial"/>
        </w:rPr>
        <w:t xml:space="preserve"> aged 9-12 years.</w:t>
      </w:r>
    </w:p>
    <w:p w14:paraId="3B26E9A5" w14:textId="77777777" w:rsidR="00D230CF" w:rsidRPr="00984AD7" w:rsidRDefault="00D230CF" w:rsidP="00D230CF">
      <w:pPr>
        <w:jc w:val="both"/>
        <w:rPr>
          <w:rFonts w:ascii="Arial" w:hAnsi="Arial" w:cs="Arial"/>
        </w:rPr>
      </w:pPr>
      <w:r w:rsidRPr="00984AD7">
        <w:rPr>
          <w:rFonts w:ascii="Arial" w:hAnsi="Arial" w:cs="Arial"/>
        </w:rPr>
        <w:t xml:space="preserve">Special attention </w:t>
      </w:r>
      <w:r>
        <w:rPr>
          <w:rFonts w:ascii="Arial" w:hAnsi="Arial" w:cs="Arial"/>
        </w:rPr>
        <w:t xml:space="preserve">was </w:t>
      </w:r>
      <w:r w:rsidRPr="00984AD7">
        <w:rPr>
          <w:rFonts w:ascii="Arial" w:hAnsi="Arial" w:cs="Arial"/>
        </w:rPr>
        <w:t xml:space="preserve">given to ensure that the control group sample </w:t>
      </w:r>
      <w:r>
        <w:rPr>
          <w:rFonts w:ascii="Arial" w:hAnsi="Arial" w:cs="Arial"/>
        </w:rPr>
        <w:t xml:space="preserve">was </w:t>
      </w:r>
      <w:r w:rsidRPr="00984AD7">
        <w:rPr>
          <w:rFonts w:ascii="Arial" w:hAnsi="Arial" w:cs="Arial"/>
        </w:rPr>
        <w:t xml:space="preserve">as similar as possible to the study group </w:t>
      </w:r>
      <w:proofErr w:type="gramStart"/>
      <w:r w:rsidRPr="00984AD7">
        <w:rPr>
          <w:rFonts w:ascii="Arial" w:hAnsi="Arial" w:cs="Arial"/>
        </w:rPr>
        <w:t>in regard to</w:t>
      </w:r>
      <w:proofErr w:type="gramEnd"/>
      <w:r w:rsidRPr="00984AD7">
        <w:rPr>
          <w:rFonts w:ascii="Arial" w:hAnsi="Arial" w:cs="Arial"/>
        </w:rPr>
        <w:t xml:space="preserve"> age and </w:t>
      </w:r>
      <w:r>
        <w:rPr>
          <w:rFonts w:ascii="Arial" w:hAnsi="Arial" w:cs="Arial"/>
        </w:rPr>
        <w:t>sex for comparability</w:t>
      </w:r>
      <w:r w:rsidRPr="00984AD7">
        <w:rPr>
          <w:rFonts w:ascii="Arial" w:hAnsi="Arial" w:cs="Arial"/>
        </w:rPr>
        <w:t xml:space="preserve">. The control group sample consisted of 395 children with </w:t>
      </w:r>
      <w:r>
        <w:rPr>
          <w:rFonts w:ascii="Arial" w:hAnsi="Arial" w:cs="Arial"/>
        </w:rPr>
        <w:t xml:space="preserve">available </w:t>
      </w:r>
      <w:r w:rsidRPr="00984AD7">
        <w:rPr>
          <w:rFonts w:ascii="Arial" w:hAnsi="Arial" w:cs="Arial"/>
        </w:rPr>
        <w:t xml:space="preserve">panoramic radiographs </w:t>
      </w:r>
      <w:r>
        <w:rPr>
          <w:rFonts w:ascii="Arial" w:hAnsi="Arial" w:cs="Arial"/>
        </w:rPr>
        <w:t xml:space="preserve">and </w:t>
      </w:r>
      <w:r w:rsidRPr="00984AD7">
        <w:rPr>
          <w:rFonts w:ascii="Arial" w:hAnsi="Arial" w:cs="Arial"/>
        </w:rPr>
        <w:t xml:space="preserve">were </w:t>
      </w:r>
      <w:r>
        <w:rPr>
          <w:rFonts w:ascii="Arial" w:hAnsi="Arial" w:cs="Arial"/>
        </w:rPr>
        <w:t xml:space="preserve">divided into subgroups </w:t>
      </w:r>
      <w:r w:rsidRPr="00984AD7">
        <w:rPr>
          <w:rFonts w:ascii="Arial" w:hAnsi="Arial" w:cs="Arial"/>
        </w:rPr>
        <w:t xml:space="preserve">according to sex and age. </w:t>
      </w:r>
      <w:r>
        <w:rPr>
          <w:rFonts w:ascii="Arial" w:hAnsi="Arial" w:cs="Arial"/>
        </w:rPr>
        <w:t xml:space="preserve">The </w:t>
      </w:r>
      <w:r w:rsidRPr="00984AD7">
        <w:rPr>
          <w:rFonts w:ascii="Arial" w:hAnsi="Arial" w:cs="Arial"/>
        </w:rPr>
        <w:t xml:space="preserve">two </w:t>
      </w:r>
      <w:r>
        <w:rPr>
          <w:rFonts w:ascii="Arial" w:hAnsi="Arial" w:cs="Arial"/>
        </w:rPr>
        <w:t xml:space="preserve">age </w:t>
      </w:r>
      <w:r w:rsidRPr="00984AD7">
        <w:rPr>
          <w:rFonts w:ascii="Arial" w:hAnsi="Arial" w:cs="Arial"/>
        </w:rPr>
        <w:t xml:space="preserve">groups </w:t>
      </w:r>
      <w:r>
        <w:rPr>
          <w:rFonts w:ascii="Arial" w:hAnsi="Arial" w:cs="Arial"/>
        </w:rPr>
        <w:t xml:space="preserve">included </w:t>
      </w:r>
      <w:r w:rsidRPr="00984AD7">
        <w:rPr>
          <w:rFonts w:ascii="Arial" w:hAnsi="Arial" w:cs="Arial"/>
        </w:rPr>
        <w:t xml:space="preserve">younger </w:t>
      </w:r>
      <w:r>
        <w:rPr>
          <w:rFonts w:ascii="Arial" w:hAnsi="Arial" w:cs="Arial"/>
        </w:rPr>
        <w:t xml:space="preserve">patients aged </w:t>
      </w:r>
      <w:r w:rsidRPr="00984AD7">
        <w:rPr>
          <w:rFonts w:ascii="Arial" w:hAnsi="Arial" w:cs="Arial"/>
        </w:rPr>
        <w:t xml:space="preserve">6-9 years and older </w:t>
      </w:r>
      <w:r>
        <w:rPr>
          <w:rFonts w:ascii="Arial" w:hAnsi="Arial" w:cs="Arial"/>
        </w:rPr>
        <w:t xml:space="preserve">patients aged </w:t>
      </w:r>
      <w:r w:rsidRPr="00984AD7">
        <w:rPr>
          <w:rFonts w:ascii="Arial" w:hAnsi="Arial" w:cs="Arial"/>
        </w:rPr>
        <w:t xml:space="preserve">9-12 years. </w:t>
      </w:r>
      <w:r>
        <w:rPr>
          <w:rFonts w:ascii="Arial" w:hAnsi="Arial" w:cs="Arial"/>
        </w:rPr>
        <w:t>A</w:t>
      </w:r>
      <w:r w:rsidRPr="00984AD7">
        <w:rPr>
          <w:rFonts w:ascii="Arial" w:hAnsi="Arial" w:cs="Arial"/>
        </w:rPr>
        <w:t>t no time was there any direct contact with the children since the study was carried out by analysing panoramic X-rays and medical history data.</w:t>
      </w:r>
    </w:p>
    <w:p w14:paraId="5EDE200D" w14:textId="77777777" w:rsidR="00D230CF" w:rsidRPr="00984AD7" w:rsidRDefault="00D230CF" w:rsidP="00D230CF">
      <w:pPr>
        <w:jc w:val="both"/>
        <w:rPr>
          <w:rFonts w:ascii="Arial" w:hAnsi="Arial" w:cs="Arial"/>
        </w:rPr>
      </w:pPr>
      <w:r w:rsidRPr="00984AD7">
        <w:rPr>
          <w:rFonts w:ascii="Arial" w:hAnsi="Arial" w:cs="Arial"/>
        </w:rPr>
        <w:t>Chronological age was calculated up to two decimal points for each subject by subtracting the date of birth from the date the radiograph was taken after age conversion to decimals.</w:t>
      </w:r>
    </w:p>
    <w:p w14:paraId="0A808D02" w14:textId="77777777" w:rsidR="00D230CF" w:rsidRPr="00984AD7" w:rsidRDefault="00D230CF" w:rsidP="00D230CF">
      <w:pPr>
        <w:jc w:val="both"/>
        <w:rPr>
          <w:rFonts w:ascii="Arial" w:hAnsi="Arial" w:cs="Arial"/>
          <w:b/>
          <w:bCs/>
        </w:rPr>
      </w:pPr>
      <w:r w:rsidRPr="00984AD7">
        <w:rPr>
          <w:rFonts w:ascii="Arial" w:hAnsi="Arial" w:cs="Arial"/>
          <w:b/>
          <w:bCs/>
        </w:rPr>
        <w:t>The inclusion criteria of the study group are described below:</w:t>
      </w:r>
    </w:p>
    <w:p w14:paraId="00AE49FE" w14:textId="77777777" w:rsidR="00D230CF" w:rsidRPr="00984AD7" w:rsidRDefault="00D230CF" w:rsidP="00D230CF">
      <w:pPr>
        <w:jc w:val="both"/>
        <w:rPr>
          <w:rFonts w:ascii="Arial" w:hAnsi="Arial" w:cs="Arial"/>
        </w:rPr>
      </w:pPr>
      <w:r w:rsidRPr="00984AD7">
        <w:rPr>
          <w:rFonts w:ascii="Arial" w:hAnsi="Arial" w:cs="Arial"/>
        </w:rPr>
        <w:t xml:space="preserve">- Diagnosis of </w:t>
      </w:r>
      <w:r>
        <w:rPr>
          <w:rFonts w:ascii="Arial" w:hAnsi="Arial" w:cs="Arial"/>
        </w:rPr>
        <w:t>o</w:t>
      </w:r>
      <w:r w:rsidRPr="00984AD7">
        <w:rPr>
          <w:rFonts w:ascii="Arial" w:hAnsi="Arial" w:cs="Arial"/>
        </w:rPr>
        <w:t>steogenesis imperfecta (OI)</w:t>
      </w:r>
    </w:p>
    <w:p w14:paraId="39593498" w14:textId="77777777" w:rsidR="00D230CF" w:rsidRPr="00984AD7" w:rsidRDefault="00D230CF" w:rsidP="00D230CF">
      <w:pPr>
        <w:jc w:val="both"/>
        <w:rPr>
          <w:rFonts w:ascii="Arial" w:hAnsi="Arial" w:cs="Arial"/>
        </w:rPr>
      </w:pPr>
      <w:r w:rsidRPr="00984AD7">
        <w:rPr>
          <w:rFonts w:ascii="Arial" w:hAnsi="Arial" w:cs="Arial"/>
        </w:rPr>
        <w:t>- Age between 6 and 12 years</w:t>
      </w:r>
    </w:p>
    <w:p w14:paraId="2E438237" w14:textId="77777777" w:rsidR="00D230CF" w:rsidRPr="00984AD7" w:rsidRDefault="00D230CF" w:rsidP="00D230CF">
      <w:pPr>
        <w:jc w:val="both"/>
        <w:rPr>
          <w:rFonts w:ascii="Arial" w:hAnsi="Arial" w:cs="Arial"/>
        </w:rPr>
      </w:pPr>
      <w:r w:rsidRPr="00984AD7">
        <w:rPr>
          <w:rFonts w:ascii="Arial" w:hAnsi="Arial" w:cs="Arial"/>
        </w:rPr>
        <w:t xml:space="preserve">- Complete and </w:t>
      </w:r>
      <w:r>
        <w:rPr>
          <w:rFonts w:ascii="Arial" w:hAnsi="Arial" w:cs="Arial"/>
        </w:rPr>
        <w:t xml:space="preserve">up-to-date </w:t>
      </w:r>
      <w:r w:rsidRPr="00984AD7">
        <w:rPr>
          <w:rFonts w:ascii="Arial" w:hAnsi="Arial" w:cs="Arial"/>
        </w:rPr>
        <w:t xml:space="preserve">medical history, </w:t>
      </w:r>
      <w:r>
        <w:rPr>
          <w:rFonts w:ascii="Arial" w:hAnsi="Arial" w:cs="Arial"/>
        </w:rPr>
        <w:t xml:space="preserve">including </w:t>
      </w:r>
      <w:r w:rsidRPr="00984AD7">
        <w:rPr>
          <w:rFonts w:ascii="Arial" w:hAnsi="Arial" w:cs="Arial"/>
        </w:rPr>
        <w:t xml:space="preserve">the type of OI, the type of antiresorptive agent, </w:t>
      </w:r>
      <w:proofErr w:type="gramStart"/>
      <w:r w:rsidRPr="00984AD7">
        <w:rPr>
          <w:rFonts w:ascii="Arial" w:hAnsi="Arial" w:cs="Arial"/>
        </w:rPr>
        <w:t>weight</w:t>
      </w:r>
      <w:proofErr w:type="gramEnd"/>
      <w:r w:rsidRPr="00984AD7">
        <w:rPr>
          <w:rFonts w:ascii="Arial" w:hAnsi="Arial" w:cs="Arial"/>
        </w:rPr>
        <w:t xml:space="preserve"> and the administration period.</w:t>
      </w:r>
    </w:p>
    <w:p w14:paraId="6EE7327F" w14:textId="77777777" w:rsidR="00D230CF" w:rsidRPr="00984AD7" w:rsidRDefault="00D230CF" w:rsidP="00D230CF">
      <w:pPr>
        <w:jc w:val="both"/>
        <w:rPr>
          <w:rFonts w:ascii="Arial" w:hAnsi="Arial" w:cs="Arial"/>
        </w:rPr>
      </w:pPr>
      <w:r w:rsidRPr="00984AD7">
        <w:rPr>
          <w:rFonts w:ascii="Arial" w:hAnsi="Arial" w:cs="Arial"/>
        </w:rPr>
        <w:t>- Period of administration of the antiresorptive agent equal to or greater than 1 year.</w:t>
      </w:r>
    </w:p>
    <w:p w14:paraId="36892D05" w14:textId="77777777" w:rsidR="00D230CF" w:rsidRPr="00984AD7" w:rsidRDefault="00D230CF" w:rsidP="00D230CF">
      <w:pPr>
        <w:jc w:val="both"/>
        <w:rPr>
          <w:rFonts w:ascii="Arial" w:hAnsi="Arial" w:cs="Arial"/>
        </w:rPr>
      </w:pPr>
      <w:r w:rsidRPr="00984AD7">
        <w:rPr>
          <w:rFonts w:ascii="Arial" w:hAnsi="Arial" w:cs="Arial"/>
        </w:rPr>
        <w:t>- Availability of panoramic radiograph</w:t>
      </w:r>
      <w:r>
        <w:rPr>
          <w:rFonts w:ascii="Arial" w:hAnsi="Arial" w:cs="Arial"/>
        </w:rPr>
        <w:t>s</w:t>
      </w:r>
      <w:r w:rsidRPr="00984AD7">
        <w:rPr>
          <w:rFonts w:ascii="Arial" w:hAnsi="Arial" w:cs="Arial"/>
        </w:rPr>
        <w:t>.</w:t>
      </w:r>
    </w:p>
    <w:p w14:paraId="4790EE76" w14:textId="77777777" w:rsidR="00D230CF" w:rsidRPr="00984AD7" w:rsidRDefault="00D230CF" w:rsidP="00D230CF">
      <w:pPr>
        <w:jc w:val="both"/>
        <w:rPr>
          <w:rFonts w:ascii="Arial" w:hAnsi="Arial" w:cs="Arial"/>
        </w:rPr>
      </w:pPr>
      <w:r w:rsidRPr="00984AD7">
        <w:rPr>
          <w:rFonts w:ascii="Arial" w:hAnsi="Arial" w:cs="Arial"/>
        </w:rPr>
        <w:t xml:space="preserve">- </w:t>
      </w:r>
      <w:r>
        <w:rPr>
          <w:rFonts w:ascii="Arial" w:hAnsi="Arial" w:cs="Arial"/>
        </w:rPr>
        <w:t xml:space="preserve">Presence of the contralateral premolars 4.4 and 4.5 in patients with </w:t>
      </w:r>
      <w:r w:rsidRPr="00984AD7">
        <w:rPr>
          <w:rFonts w:ascii="Arial" w:hAnsi="Arial" w:cs="Arial"/>
        </w:rPr>
        <w:t>agenesis of 3.4 and 3.5.</w:t>
      </w:r>
    </w:p>
    <w:p w14:paraId="1E18EFF3" w14:textId="77777777" w:rsidR="00D230CF" w:rsidRPr="00984AD7" w:rsidRDefault="00D230CF" w:rsidP="00D230CF">
      <w:pPr>
        <w:jc w:val="both"/>
        <w:rPr>
          <w:rFonts w:ascii="Arial" w:hAnsi="Arial" w:cs="Arial"/>
          <w:b/>
          <w:bCs/>
        </w:rPr>
      </w:pPr>
      <w:r w:rsidRPr="00984AD7">
        <w:rPr>
          <w:rFonts w:ascii="Arial" w:hAnsi="Arial" w:cs="Arial"/>
          <w:b/>
          <w:bCs/>
        </w:rPr>
        <w:t>Patients with any of the following characteristics were excluded:</w:t>
      </w:r>
    </w:p>
    <w:p w14:paraId="3DB9F0E7" w14:textId="77777777" w:rsidR="00D230CF" w:rsidRPr="00984AD7" w:rsidRDefault="00D230CF" w:rsidP="00D230CF">
      <w:pPr>
        <w:jc w:val="both"/>
        <w:rPr>
          <w:rFonts w:ascii="Arial" w:hAnsi="Arial" w:cs="Arial"/>
        </w:rPr>
      </w:pPr>
      <w:r w:rsidRPr="00984AD7">
        <w:rPr>
          <w:rFonts w:ascii="Arial" w:hAnsi="Arial" w:cs="Arial"/>
        </w:rPr>
        <w:t>- Distorted uncalibrated radiographs</w:t>
      </w:r>
    </w:p>
    <w:p w14:paraId="215BAD87" w14:textId="77777777" w:rsidR="00D230CF" w:rsidRPr="00984AD7" w:rsidRDefault="00D230CF" w:rsidP="00D230CF">
      <w:pPr>
        <w:jc w:val="both"/>
        <w:rPr>
          <w:rFonts w:ascii="Arial" w:hAnsi="Arial" w:cs="Arial"/>
        </w:rPr>
      </w:pPr>
      <w:r w:rsidRPr="00984AD7">
        <w:rPr>
          <w:rFonts w:ascii="Arial" w:hAnsi="Arial" w:cs="Arial"/>
        </w:rPr>
        <w:t>- Caries and/or fillings in 7.4 and 7.5.</w:t>
      </w:r>
    </w:p>
    <w:p w14:paraId="551CE530" w14:textId="77777777" w:rsidR="00D230CF" w:rsidRPr="00984AD7" w:rsidRDefault="00D230CF" w:rsidP="00D230CF">
      <w:pPr>
        <w:jc w:val="both"/>
        <w:rPr>
          <w:rFonts w:ascii="Arial" w:hAnsi="Arial" w:cs="Arial"/>
        </w:rPr>
      </w:pPr>
      <w:r w:rsidRPr="00984AD7">
        <w:rPr>
          <w:rFonts w:ascii="Arial" w:hAnsi="Arial" w:cs="Arial"/>
        </w:rPr>
        <w:t xml:space="preserve">- Bilateral agenesis of the lower premolars </w:t>
      </w:r>
      <w:r>
        <w:rPr>
          <w:rFonts w:ascii="Arial" w:hAnsi="Arial" w:cs="Arial"/>
        </w:rPr>
        <w:t>(</w:t>
      </w:r>
      <w:r w:rsidRPr="00984AD7">
        <w:rPr>
          <w:rFonts w:ascii="Arial" w:hAnsi="Arial" w:cs="Arial"/>
        </w:rPr>
        <w:t>3.4, 3.5, 4.4 and 4.5</w:t>
      </w:r>
      <w:r>
        <w:rPr>
          <w:rFonts w:ascii="Arial" w:hAnsi="Arial" w:cs="Arial"/>
        </w:rPr>
        <w:t>)</w:t>
      </w:r>
      <w:r w:rsidRPr="00984AD7">
        <w:rPr>
          <w:rFonts w:ascii="Arial" w:hAnsi="Arial" w:cs="Arial"/>
        </w:rPr>
        <w:t>.</w:t>
      </w:r>
    </w:p>
    <w:p w14:paraId="509157C6" w14:textId="77777777" w:rsidR="00D230CF" w:rsidRPr="00984AD7" w:rsidRDefault="00D230CF" w:rsidP="00D230CF">
      <w:pPr>
        <w:jc w:val="both"/>
        <w:rPr>
          <w:rFonts w:ascii="Arial" w:hAnsi="Arial" w:cs="Arial"/>
          <w:color w:val="222222"/>
          <w:highlight w:val="yellow"/>
          <w:shd w:val="clear" w:color="auto" w:fill="FFFFFF"/>
        </w:rPr>
      </w:pPr>
    </w:p>
    <w:p w14:paraId="72E13200" w14:textId="7DF91874" w:rsidR="00D230CF" w:rsidRPr="00984AD7" w:rsidRDefault="00D230CF" w:rsidP="00D230CF">
      <w:pPr>
        <w:jc w:val="both"/>
        <w:rPr>
          <w:rFonts w:ascii="Arial" w:hAnsi="Arial" w:cs="Arial"/>
        </w:rPr>
      </w:pPr>
      <w:r w:rsidRPr="000866DF">
        <w:rPr>
          <w:rFonts w:ascii="Arial" w:hAnsi="Arial" w:cs="Arial"/>
          <w:color w:val="222222"/>
          <w:shd w:val="clear" w:color="auto" w:fill="FFFFFF"/>
        </w:rPr>
        <w:t>Ethical Considerations</w:t>
      </w:r>
    </w:p>
    <w:p w14:paraId="687BAC0B" w14:textId="34737D56" w:rsidR="000143D4" w:rsidRPr="00984AD7" w:rsidRDefault="00D230CF" w:rsidP="000143D4">
      <w:pPr>
        <w:jc w:val="both"/>
        <w:rPr>
          <w:rFonts w:ascii="Arial" w:hAnsi="Arial" w:cs="Arial"/>
        </w:rPr>
      </w:pPr>
      <w:r w:rsidRPr="00984AD7">
        <w:rPr>
          <w:rFonts w:ascii="Arial" w:hAnsi="Arial" w:cs="Arial"/>
        </w:rPr>
        <w:t>A single blinded operator from the Department of Dental Clinical Specialties of UCM</w:t>
      </w:r>
      <w:r w:rsidRPr="0064229A">
        <w:rPr>
          <w:rFonts w:ascii="Arial" w:hAnsi="Arial" w:cs="Arial"/>
        </w:rPr>
        <w:t xml:space="preserve"> </w:t>
      </w:r>
      <w:r w:rsidRPr="00984AD7">
        <w:rPr>
          <w:rFonts w:ascii="Arial" w:hAnsi="Arial" w:cs="Arial"/>
        </w:rPr>
        <w:t>evaluated the radiographs of each patient. The measurement</w:t>
      </w:r>
      <w:r>
        <w:rPr>
          <w:rFonts w:ascii="Arial" w:hAnsi="Arial" w:cs="Arial"/>
        </w:rPr>
        <w:t>s</w:t>
      </w:r>
      <w:r w:rsidRPr="00984AD7">
        <w:rPr>
          <w:rFonts w:ascii="Arial" w:hAnsi="Arial" w:cs="Arial"/>
        </w:rPr>
        <w:t xml:space="preserve"> </w:t>
      </w:r>
      <w:r>
        <w:rPr>
          <w:rFonts w:ascii="Arial" w:hAnsi="Arial" w:cs="Arial"/>
        </w:rPr>
        <w:t xml:space="preserve">were </w:t>
      </w:r>
      <w:r w:rsidRPr="00984AD7">
        <w:rPr>
          <w:rFonts w:ascii="Arial" w:hAnsi="Arial" w:cs="Arial"/>
        </w:rPr>
        <w:t xml:space="preserve">made using digital X-ray with a computer. A maximum of 20 panoramic radiographs </w:t>
      </w:r>
      <w:r w:rsidRPr="00984AD7">
        <w:rPr>
          <w:rFonts w:ascii="Arial" w:hAnsi="Arial" w:cs="Arial"/>
        </w:rPr>
        <w:lastRenderedPageBreak/>
        <w:t xml:space="preserve">were evaluated </w:t>
      </w:r>
      <w:r>
        <w:rPr>
          <w:rFonts w:ascii="Arial" w:hAnsi="Arial" w:cs="Arial"/>
        </w:rPr>
        <w:t xml:space="preserve">per day </w:t>
      </w:r>
      <w:r w:rsidRPr="00984AD7">
        <w:rPr>
          <w:rFonts w:ascii="Arial" w:hAnsi="Arial" w:cs="Arial"/>
        </w:rPr>
        <w:t xml:space="preserve">to avoid operator fatigue. The operator was an experienced dentist previously trained in </w:t>
      </w:r>
      <w:r>
        <w:rPr>
          <w:rFonts w:ascii="Arial" w:hAnsi="Arial" w:cs="Arial"/>
        </w:rPr>
        <w:t xml:space="preserve">diagnosis by </w:t>
      </w:r>
      <w:r w:rsidRPr="00984AD7">
        <w:rPr>
          <w:rFonts w:ascii="Arial" w:hAnsi="Arial" w:cs="Arial"/>
        </w:rPr>
        <w:t>X-rays. Medical records were evaluated by Professor De Nova and Professor Mourelle.</w:t>
      </w:r>
      <w:r w:rsidR="007C1C6A">
        <w:rPr>
          <w:rFonts w:ascii="Arial" w:hAnsi="Arial" w:cs="Arial"/>
        </w:rPr>
        <w:t xml:space="preserve"> </w:t>
      </w:r>
      <w:r w:rsidRPr="00984AD7">
        <w:rPr>
          <w:rFonts w:ascii="Arial" w:hAnsi="Arial" w:cs="Arial"/>
        </w:rPr>
        <w:t>The study was approved by the Ethics Committee of the San Carlos Clinical Hospital of Madrid with the internal code 21/418-0_M_O, and the ethical criteria formulated by the Declaration of Helsinki of the World Medical Association on ethical principles for medical research on human beings were met.</w:t>
      </w:r>
    </w:p>
    <w:p w14:paraId="4448197E" w14:textId="6B840BCB" w:rsidR="00D230CF" w:rsidRPr="00984AD7" w:rsidRDefault="00D230CF" w:rsidP="00D230CF">
      <w:pPr>
        <w:jc w:val="both"/>
        <w:rPr>
          <w:rFonts w:ascii="Arial" w:hAnsi="Arial" w:cs="Arial"/>
        </w:rPr>
      </w:pPr>
    </w:p>
    <w:p w14:paraId="1D06DB68" w14:textId="77777777" w:rsidR="00D230CF" w:rsidRPr="00984AD7" w:rsidRDefault="00D230CF" w:rsidP="00D230CF">
      <w:pPr>
        <w:jc w:val="both"/>
        <w:rPr>
          <w:rFonts w:ascii="Arial" w:hAnsi="Arial" w:cs="Arial"/>
        </w:rPr>
      </w:pPr>
    </w:p>
    <w:p w14:paraId="65F0D166" w14:textId="4700EB1B" w:rsidR="00D230CF" w:rsidRPr="00984AD7" w:rsidRDefault="00D230CF" w:rsidP="00D230CF">
      <w:pPr>
        <w:jc w:val="both"/>
        <w:rPr>
          <w:rFonts w:ascii="Arial" w:hAnsi="Arial" w:cs="Arial"/>
        </w:rPr>
      </w:pPr>
      <w:r w:rsidRPr="00D97B56">
        <w:rPr>
          <w:rFonts w:ascii="Arial" w:hAnsi="Arial" w:cs="Arial"/>
          <w:color w:val="222222"/>
          <w:shd w:val="clear" w:color="auto" w:fill="FFFFFF"/>
        </w:rPr>
        <w:t>Tooth development of the premolars and root resorption of the temporal molars</w:t>
      </w:r>
    </w:p>
    <w:p w14:paraId="629E13DD" w14:textId="77777777" w:rsidR="00D230CF" w:rsidRPr="00984AD7" w:rsidRDefault="00D230CF" w:rsidP="00D230CF">
      <w:pPr>
        <w:jc w:val="both"/>
        <w:rPr>
          <w:rFonts w:ascii="Arial" w:hAnsi="Arial" w:cs="Arial"/>
        </w:rPr>
      </w:pPr>
      <w:r w:rsidRPr="00984AD7">
        <w:rPr>
          <w:rFonts w:ascii="Arial" w:hAnsi="Arial" w:cs="Arial"/>
        </w:rPr>
        <w:t xml:space="preserve">The third quadrant was studied, focusing on the first left temporary molar (7.4), the second left temporary molar (7.5), the first left permanent premolar (3.4) and the second left </w:t>
      </w:r>
      <w:r>
        <w:rPr>
          <w:rFonts w:ascii="Arial" w:hAnsi="Arial" w:cs="Arial"/>
        </w:rPr>
        <w:t xml:space="preserve">permanent </w:t>
      </w:r>
      <w:r w:rsidRPr="00984AD7">
        <w:rPr>
          <w:rFonts w:ascii="Arial" w:hAnsi="Arial" w:cs="Arial"/>
        </w:rPr>
        <w:t xml:space="preserve">premolar (3.5). In </w:t>
      </w:r>
      <w:r>
        <w:rPr>
          <w:rFonts w:ascii="Arial" w:hAnsi="Arial" w:cs="Arial"/>
        </w:rPr>
        <w:t xml:space="preserve">patients with </w:t>
      </w:r>
      <w:r w:rsidRPr="00984AD7">
        <w:rPr>
          <w:rFonts w:ascii="Arial" w:hAnsi="Arial" w:cs="Arial"/>
        </w:rPr>
        <w:t xml:space="preserve">agenesis of 3.4 and 3.5, the contralateral premolars </w:t>
      </w:r>
      <w:r>
        <w:rPr>
          <w:rFonts w:ascii="Arial" w:hAnsi="Arial" w:cs="Arial"/>
        </w:rPr>
        <w:t xml:space="preserve">in </w:t>
      </w:r>
      <w:r w:rsidRPr="00984AD7">
        <w:rPr>
          <w:rFonts w:ascii="Arial" w:hAnsi="Arial" w:cs="Arial"/>
        </w:rPr>
        <w:t>the fourth quadrant, the first right premolar (4.4) and the second right premolar (4.5)</w:t>
      </w:r>
      <w:r>
        <w:rPr>
          <w:rFonts w:ascii="Arial" w:hAnsi="Arial" w:cs="Arial"/>
        </w:rPr>
        <w:t>,</w:t>
      </w:r>
      <w:r w:rsidRPr="00984AD7">
        <w:rPr>
          <w:rFonts w:ascii="Arial" w:hAnsi="Arial" w:cs="Arial"/>
        </w:rPr>
        <w:t xml:space="preserve"> were studied.</w:t>
      </w:r>
    </w:p>
    <w:p w14:paraId="656CEF02" w14:textId="695157B2" w:rsidR="00D230CF" w:rsidRPr="00984AD7" w:rsidRDefault="00D230CF" w:rsidP="00D230CF">
      <w:pPr>
        <w:jc w:val="both"/>
        <w:rPr>
          <w:rFonts w:ascii="Arial" w:hAnsi="Arial" w:cs="Arial"/>
        </w:rPr>
      </w:pPr>
      <w:r>
        <w:rPr>
          <w:rFonts w:ascii="Arial" w:hAnsi="Arial" w:cs="Arial"/>
        </w:rPr>
        <w:t>T</w:t>
      </w:r>
      <w:r w:rsidRPr="00984AD7">
        <w:rPr>
          <w:rFonts w:ascii="Arial" w:hAnsi="Arial" w:cs="Arial"/>
        </w:rPr>
        <w:t xml:space="preserve">he </w:t>
      </w:r>
      <w:r w:rsidRPr="00984AD7">
        <w:rPr>
          <w:rFonts w:ascii="Arial" w:hAnsi="Arial" w:cs="Arial"/>
          <w:i/>
        </w:rPr>
        <w:t>Demirjian</w:t>
      </w:r>
      <w:r w:rsidRPr="00984AD7">
        <w:rPr>
          <w:rFonts w:ascii="Arial" w:hAnsi="Arial" w:cs="Arial"/>
        </w:rPr>
        <w:t xml:space="preserve"> method was used </w:t>
      </w:r>
      <w:r>
        <w:rPr>
          <w:rFonts w:ascii="Arial" w:hAnsi="Arial" w:cs="Arial"/>
        </w:rPr>
        <w:t>t</w:t>
      </w:r>
      <w:r w:rsidRPr="00984AD7">
        <w:rPr>
          <w:rFonts w:ascii="Arial" w:hAnsi="Arial" w:cs="Arial"/>
        </w:rPr>
        <w:t xml:space="preserve">o study the </w:t>
      </w:r>
      <w:r>
        <w:rPr>
          <w:rFonts w:ascii="Arial" w:hAnsi="Arial" w:cs="Arial"/>
          <w:i/>
        </w:rPr>
        <w:t xml:space="preserve">dental </w:t>
      </w:r>
      <w:r w:rsidRPr="00984AD7">
        <w:rPr>
          <w:rFonts w:ascii="Arial" w:hAnsi="Arial" w:cs="Arial"/>
          <w:i/>
        </w:rPr>
        <w:t>development</w:t>
      </w:r>
      <w:r w:rsidRPr="00984AD7">
        <w:rPr>
          <w:rFonts w:ascii="Arial" w:hAnsi="Arial" w:cs="Arial"/>
        </w:rPr>
        <w:t xml:space="preserve"> (DD) of 3.4 and 3.5. This method is based on the progression of mineralization of each tooth, and the shape does not depend on length estimates.</w:t>
      </w:r>
      <w:r w:rsidRPr="00984AD7">
        <w:rPr>
          <w:rFonts w:ascii="Arial" w:hAnsi="Arial" w:cs="Arial"/>
        </w:rPr>
        <w:fldChar w:fldCharType="begin"/>
      </w:r>
      <w:r w:rsidR="00EB26A5">
        <w:rPr>
          <w:rFonts w:ascii="Arial" w:hAnsi="Arial" w:cs="Arial"/>
        </w:rPr>
        <w:instrText xml:space="preserve"> ADDIN ZOTERO_ITEM CSL_CITATION {"citationID":"Vkg2JKc2","properties":{"formattedCitation":"[22]","plainCitation":"[22]","noteIndex":0},"citationItems":[{"id":"6Vbqh94y/jw090deP","uris":["http://zotero.org/users/5260186/items/77ANSXGN",["http://zotero.org/users/5260186/items/77ANSXGN"]],"itemData":{"id":1332,"type":"article-journal","container-title":"Human Biology","ISSN":"0018-7143","issue":"2","journalAbbreviation":"Hum. Biol.","language":"eng","note":"PMID: 4714564","page":"211-227","source":"PubMed","title":"A new system of dental age assessment","volume":"45","author":[{"family":"Demirjian","given":"A."},{"family":"Goldstein","given":"H."},{"family":"Tanner","given":"J. M."}],"issued":{"date-parts":[["1973",5]]}}}],"schema":"https://github.com/citation-style-language/schema/raw/master/csl-citation.json"} </w:instrText>
      </w:r>
      <w:r w:rsidRPr="00984AD7">
        <w:rPr>
          <w:rFonts w:ascii="Arial" w:hAnsi="Arial" w:cs="Arial"/>
        </w:rPr>
        <w:fldChar w:fldCharType="separate"/>
      </w:r>
      <w:r>
        <w:rPr>
          <w:rFonts w:ascii="Arial" w:hAnsi="Arial" w:cs="Arial"/>
        </w:rPr>
        <w:t>[22]</w:t>
      </w:r>
      <w:r w:rsidRPr="00984AD7">
        <w:rPr>
          <w:rFonts w:ascii="Arial" w:hAnsi="Arial" w:cs="Arial"/>
        </w:rPr>
        <w:fldChar w:fldCharType="end"/>
      </w:r>
      <w:r w:rsidRPr="00984AD7">
        <w:rPr>
          <w:rFonts w:ascii="Arial" w:hAnsi="Arial" w:cs="Arial"/>
        </w:rPr>
        <w:t xml:space="preserve"> Eight stages are recognized for molars and premolars (stage A to stage H), where A corresponds to the mineralization of the cusps in the form of one or several cones without fusion </w:t>
      </w:r>
      <w:r>
        <w:rPr>
          <w:rFonts w:ascii="Arial" w:hAnsi="Arial" w:cs="Arial"/>
        </w:rPr>
        <w:t xml:space="preserve">and </w:t>
      </w:r>
      <w:r w:rsidRPr="00984AD7">
        <w:rPr>
          <w:rFonts w:ascii="Arial" w:hAnsi="Arial" w:cs="Arial"/>
        </w:rPr>
        <w:t>H corresponds to a fully developed tooth.</w:t>
      </w:r>
    </w:p>
    <w:p w14:paraId="1F1A04E2" w14:textId="77777777" w:rsidR="00D230CF" w:rsidRPr="00984AD7" w:rsidRDefault="00D230CF" w:rsidP="00D230CF">
      <w:pPr>
        <w:jc w:val="both"/>
        <w:rPr>
          <w:rFonts w:ascii="Arial" w:hAnsi="Arial" w:cs="Arial"/>
        </w:rPr>
      </w:pPr>
    </w:p>
    <w:p w14:paraId="443A0DD2" w14:textId="4BB48E2B" w:rsidR="00D230CF" w:rsidRPr="00984AD7" w:rsidRDefault="00D230CF" w:rsidP="00D230CF">
      <w:pPr>
        <w:jc w:val="both"/>
        <w:rPr>
          <w:rFonts w:ascii="Arial" w:hAnsi="Arial" w:cs="Arial"/>
          <w:color w:val="222222"/>
          <w:highlight w:val="yellow"/>
          <w:shd w:val="clear" w:color="auto" w:fill="FFFFFF"/>
        </w:rPr>
      </w:pPr>
      <w:r w:rsidRPr="00984AD7">
        <w:rPr>
          <w:rFonts w:ascii="Arial" w:hAnsi="Arial" w:cs="Arial"/>
          <w:i/>
        </w:rPr>
        <w:t>Root resorption</w:t>
      </w:r>
      <w:r w:rsidRPr="00984AD7">
        <w:rPr>
          <w:rFonts w:ascii="Arial" w:hAnsi="Arial" w:cs="Arial"/>
        </w:rPr>
        <w:t xml:space="preserve"> (RR) of the mesial and distal root</w:t>
      </w:r>
      <w:r>
        <w:rPr>
          <w:rFonts w:ascii="Arial" w:hAnsi="Arial" w:cs="Arial"/>
        </w:rPr>
        <w:t>s</w:t>
      </w:r>
      <w:r w:rsidRPr="00984AD7">
        <w:rPr>
          <w:rFonts w:ascii="Arial" w:hAnsi="Arial" w:cs="Arial"/>
        </w:rPr>
        <w:t xml:space="preserve"> of 7.4 and 7.5 was </w:t>
      </w:r>
      <w:r>
        <w:rPr>
          <w:rFonts w:ascii="Arial" w:hAnsi="Arial" w:cs="Arial"/>
        </w:rPr>
        <w:t xml:space="preserve">studied </w:t>
      </w:r>
      <w:r w:rsidRPr="00984AD7">
        <w:rPr>
          <w:rFonts w:ascii="Arial" w:hAnsi="Arial" w:cs="Arial"/>
        </w:rPr>
        <w:t xml:space="preserve">by the </w:t>
      </w:r>
      <w:r w:rsidRPr="00984AD7">
        <w:rPr>
          <w:rFonts w:ascii="Arial" w:hAnsi="Arial" w:cs="Arial"/>
          <w:i/>
        </w:rPr>
        <w:t>Haavikko</w:t>
      </w:r>
      <w:r w:rsidRPr="00984AD7">
        <w:rPr>
          <w:rFonts w:ascii="Arial" w:hAnsi="Arial" w:cs="Arial"/>
        </w:rPr>
        <w:t xml:space="preserve"> method</w:t>
      </w:r>
      <w:r w:rsidRPr="00984AD7">
        <w:rPr>
          <w:rFonts w:ascii="Arial" w:hAnsi="Arial" w:cs="Arial"/>
          <w:i/>
        </w:rPr>
        <w:t xml:space="preserve"> </w:t>
      </w:r>
      <w:r w:rsidRPr="00984AD7">
        <w:rPr>
          <w:rFonts w:ascii="Arial" w:hAnsi="Arial" w:cs="Arial"/>
        </w:rPr>
        <w:fldChar w:fldCharType="begin"/>
      </w:r>
      <w:r w:rsidR="00EB26A5">
        <w:rPr>
          <w:rFonts w:ascii="Arial" w:hAnsi="Arial" w:cs="Arial"/>
        </w:rPr>
        <w:instrText xml:space="preserve"> ADDIN ZOTERO_ITEM CSL_CITATION {"citationID":"qYd7tphL","properties":{"formattedCitation":"[23]","plainCitation":"[23]","noteIndex":0},"citationItems":[{"id":"6Vbqh94y/aQyupDzZ","uris":["http://zotero.org/users/5260186/items/ZW29G2EA",["http://zotero.org/users/5260186/items/ZW29G2EA"]],"itemData":{"id":828,"type":"article-journal","container-title":"Proceedings of the Finnish Dental Society. Suomen Hammaslaakariseuran Toimituksia","issue":"3","journalAbbreviation":"Proc Finn Dent Soc","language":"eng","note":"PMID: 4760761","page":"93-98","source":"PubMed","title":"The physiological resorption of the roots of deciduous teeth in Helsinki children","volume":"69","author":[{"family":"Haavikko","given":"K."}],"issued":{"date-parts":[["1973",6]]}}}],"schema":"https://github.com/citation-style-language/schema/raw/master/csl-citation.json"} </w:instrText>
      </w:r>
      <w:r w:rsidRPr="00984AD7">
        <w:rPr>
          <w:rFonts w:ascii="Arial" w:hAnsi="Arial" w:cs="Arial"/>
        </w:rPr>
        <w:fldChar w:fldCharType="separate"/>
      </w:r>
      <w:r>
        <w:rPr>
          <w:rFonts w:ascii="Arial" w:hAnsi="Arial" w:cs="Arial"/>
        </w:rPr>
        <w:t>[23]</w:t>
      </w:r>
      <w:r w:rsidRPr="00984AD7">
        <w:rPr>
          <w:rFonts w:ascii="Arial" w:hAnsi="Arial" w:cs="Arial"/>
        </w:rPr>
        <w:fldChar w:fldCharType="end"/>
      </w:r>
      <w:r w:rsidRPr="00984AD7">
        <w:rPr>
          <w:rFonts w:ascii="Arial" w:hAnsi="Arial" w:cs="Arial"/>
        </w:rPr>
        <w:t xml:space="preserve"> </w:t>
      </w:r>
      <w:r>
        <w:rPr>
          <w:rFonts w:ascii="Arial" w:hAnsi="Arial" w:cs="Arial"/>
        </w:rPr>
        <w:t xml:space="preserve">as </w:t>
      </w:r>
      <w:r w:rsidRPr="00984AD7">
        <w:rPr>
          <w:rFonts w:ascii="Arial" w:hAnsi="Arial" w:cs="Arial"/>
        </w:rPr>
        <w:t>modified by Vuorimies et al. in 2017.</w:t>
      </w:r>
      <w:r w:rsidRPr="00984AD7">
        <w:rPr>
          <w:rFonts w:ascii="Arial" w:hAnsi="Arial" w:cs="Arial"/>
        </w:rPr>
        <w:fldChar w:fldCharType="begin"/>
      </w:r>
      <w:r>
        <w:rPr>
          <w:rFonts w:ascii="Arial" w:hAnsi="Arial" w:cs="Arial"/>
        </w:rPr>
        <w:instrText xml:space="preserve"> ADDIN ZOTERO_ITEM CSL_CITATION {"citationID":"Q7RUIBEO","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This method establishes four stages of root resorption according to root length. </w:t>
      </w:r>
      <w:r w:rsidRPr="00984AD7">
        <w:rPr>
          <w:rFonts w:ascii="Arial" w:hAnsi="Arial" w:cs="Arial"/>
        </w:rPr>
        <w:fldChar w:fldCharType="begin"/>
      </w:r>
      <w:r>
        <w:rPr>
          <w:rFonts w:ascii="Arial" w:hAnsi="Arial" w:cs="Arial"/>
        </w:rPr>
        <w:instrText xml:space="preserve"> ADDIN ZOTERO_ITEM CSL_CITATION {"citationID":"fVHRQCiR","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Each tooth was assigned the following </w:t>
      </w:r>
      <w:r>
        <w:rPr>
          <w:rFonts w:ascii="Arial" w:hAnsi="Arial" w:cs="Arial"/>
        </w:rPr>
        <w:t>score</w:t>
      </w:r>
      <w:r w:rsidRPr="00984AD7">
        <w:rPr>
          <w:rFonts w:ascii="Arial" w:hAnsi="Arial" w:cs="Arial"/>
        </w:rPr>
        <w:t xml:space="preserve">: 1, without root resorption; 2, ¼ of the root is resorbed; 3, half of the root is resorbed; and 4, ¾ of the root is resorbed or exfoliated. </w:t>
      </w:r>
      <w:r w:rsidRPr="00984AD7">
        <w:rPr>
          <w:rFonts w:ascii="Arial" w:hAnsi="Arial" w:cs="Arial"/>
          <w:color w:val="222222"/>
          <w:shd w:val="clear" w:color="auto" w:fill="FFFFFF"/>
        </w:rPr>
        <w:t xml:space="preserve">The mesial and distal </w:t>
      </w:r>
      <w:r w:rsidRPr="00984AD7">
        <w:rPr>
          <w:rFonts w:ascii="Arial" w:hAnsi="Arial" w:cs="Arial"/>
          <w:color w:val="222222"/>
        </w:rPr>
        <w:t>roots</w:t>
      </w:r>
      <w:r w:rsidRPr="00984AD7">
        <w:rPr>
          <w:rFonts w:ascii="Arial" w:hAnsi="Arial" w:cs="Arial"/>
          <w:color w:val="222222"/>
          <w:shd w:val="clear" w:color="auto" w:fill="FFFFFF"/>
        </w:rPr>
        <w:t xml:space="preserve"> of the primary </w:t>
      </w:r>
      <w:r w:rsidRPr="00984AD7">
        <w:rPr>
          <w:rFonts w:ascii="Arial" w:hAnsi="Arial" w:cs="Arial"/>
          <w:color w:val="222222"/>
        </w:rPr>
        <w:t>molars were</w:t>
      </w:r>
      <w:r w:rsidRPr="00984AD7">
        <w:rPr>
          <w:rFonts w:ascii="Arial" w:hAnsi="Arial" w:cs="Arial"/>
          <w:color w:val="222222"/>
          <w:shd w:val="clear" w:color="auto" w:fill="FFFFFF"/>
        </w:rPr>
        <w:t xml:space="preserve"> analysed </w:t>
      </w:r>
      <w:r w:rsidRPr="00984AD7">
        <w:rPr>
          <w:rFonts w:ascii="Arial" w:hAnsi="Arial" w:cs="Arial"/>
          <w:color w:val="222222"/>
        </w:rPr>
        <w:t>separately, and the scores ranged</w:t>
      </w:r>
      <w:r w:rsidRPr="00984AD7">
        <w:rPr>
          <w:rFonts w:ascii="Arial" w:hAnsi="Arial" w:cs="Arial"/>
          <w:color w:val="222222"/>
          <w:shd w:val="clear" w:color="auto" w:fill="FFFFFF"/>
        </w:rPr>
        <w:t xml:space="preserve"> from 2 to 8 for one molar and from 4 to 16</w:t>
      </w:r>
      <w:r w:rsidRPr="00984AD7">
        <w:rPr>
          <w:rFonts w:ascii="Arial" w:hAnsi="Arial" w:cs="Arial"/>
          <w:color w:val="222222"/>
        </w:rPr>
        <w:t xml:space="preserve"> for two molars</w:t>
      </w:r>
      <w:r w:rsidRPr="00984AD7">
        <w:rPr>
          <w:rFonts w:ascii="Arial" w:hAnsi="Arial" w:cs="Arial"/>
          <w:color w:val="222222"/>
          <w:shd w:val="clear" w:color="auto" w:fill="FFFFFF"/>
        </w:rPr>
        <w:t>.</w:t>
      </w:r>
    </w:p>
    <w:p w14:paraId="02310237" w14:textId="77777777" w:rsidR="00D230CF" w:rsidRPr="00984AD7" w:rsidRDefault="00D230CF" w:rsidP="00D230CF">
      <w:pPr>
        <w:jc w:val="both"/>
        <w:rPr>
          <w:rFonts w:ascii="Arial" w:hAnsi="Arial" w:cs="Arial"/>
          <w:color w:val="222222"/>
          <w:highlight w:val="yellow"/>
          <w:shd w:val="clear" w:color="auto" w:fill="FFFFFF"/>
        </w:rPr>
      </w:pPr>
    </w:p>
    <w:p w14:paraId="2D2EB20D" w14:textId="3558AFCC" w:rsidR="00D230CF" w:rsidRPr="00984AD7" w:rsidRDefault="00D230CF" w:rsidP="00D230CF">
      <w:pPr>
        <w:jc w:val="both"/>
        <w:rPr>
          <w:rFonts w:ascii="Arial" w:hAnsi="Arial" w:cs="Arial"/>
        </w:rPr>
      </w:pPr>
      <w:r w:rsidRPr="000866DF">
        <w:rPr>
          <w:rFonts w:ascii="Arial" w:hAnsi="Arial" w:cs="Arial"/>
          <w:color w:val="222222"/>
          <w:shd w:val="clear" w:color="auto" w:fill="FFFFFF"/>
        </w:rPr>
        <w:t>Statistical</w:t>
      </w:r>
      <w:r w:rsidR="007C1C6A">
        <w:rPr>
          <w:rStyle w:val="Refdecomentario"/>
          <w:rFonts w:eastAsiaTheme="majorEastAsia"/>
        </w:rPr>
        <w:t xml:space="preserve"> </w:t>
      </w:r>
      <w:r w:rsidRPr="000866DF">
        <w:rPr>
          <w:rFonts w:ascii="Arial" w:hAnsi="Arial" w:cs="Arial"/>
          <w:color w:val="222222"/>
          <w:shd w:val="clear" w:color="auto" w:fill="FFFFFF"/>
        </w:rPr>
        <w:t>analysis</w:t>
      </w:r>
    </w:p>
    <w:p w14:paraId="73716DCB" w14:textId="77777777" w:rsidR="00D230CF" w:rsidRPr="00984AD7" w:rsidRDefault="00D230CF" w:rsidP="00D230CF">
      <w:pPr>
        <w:jc w:val="both"/>
        <w:rPr>
          <w:rFonts w:ascii="Arial" w:hAnsi="Arial" w:cs="Arial"/>
        </w:rPr>
      </w:pPr>
      <w:r w:rsidRPr="00984AD7">
        <w:rPr>
          <w:rFonts w:ascii="Arial" w:hAnsi="Arial" w:cs="Arial"/>
        </w:rPr>
        <w:t xml:space="preserve">Statistical analysis was carried out with </w:t>
      </w:r>
      <w:r w:rsidRPr="00984AD7">
        <w:rPr>
          <w:rFonts w:ascii="Arial" w:hAnsi="Arial" w:cs="Arial"/>
          <w:i/>
        </w:rPr>
        <w:t>IBM-SPSS Statistics®</w:t>
      </w:r>
      <w:r w:rsidRPr="00984AD7">
        <w:rPr>
          <w:rFonts w:ascii="Arial" w:hAnsi="Arial" w:cs="Arial"/>
        </w:rPr>
        <w:t xml:space="preserve"> version 25 (reference: IBM Corp. Released 2017. IBM SPSS Statistics v 25.0 for Windows; Armonk. NY. USA).</w:t>
      </w:r>
    </w:p>
    <w:p w14:paraId="618E0A1E" w14:textId="77777777" w:rsidR="00D230CF" w:rsidRPr="00984AD7" w:rsidRDefault="00D230CF" w:rsidP="00D230CF">
      <w:pPr>
        <w:jc w:val="both"/>
        <w:rPr>
          <w:rFonts w:ascii="Arial" w:hAnsi="Arial" w:cs="Arial"/>
        </w:rPr>
      </w:pPr>
      <w:r w:rsidRPr="00984AD7">
        <w:rPr>
          <w:rFonts w:ascii="Arial" w:hAnsi="Arial" w:cs="Arial"/>
        </w:rPr>
        <w:t>The statistical techniques and tests applied consisted of the following:</w:t>
      </w:r>
    </w:p>
    <w:p w14:paraId="21270707" w14:textId="77777777" w:rsidR="00D230CF" w:rsidRPr="00984AD7" w:rsidRDefault="00D230CF" w:rsidP="00D230CF">
      <w:pPr>
        <w:jc w:val="both"/>
        <w:rPr>
          <w:rFonts w:ascii="Arial" w:hAnsi="Arial" w:cs="Arial"/>
        </w:rPr>
      </w:pPr>
      <w:r w:rsidRPr="00984AD7">
        <w:rPr>
          <w:rFonts w:ascii="Arial" w:hAnsi="Arial" w:cs="Arial"/>
        </w:rPr>
        <w:t xml:space="preserve">- In </w:t>
      </w:r>
      <w:r>
        <w:rPr>
          <w:rFonts w:ascii="Arial" w:hAnsi="Arial" w:cs="Arial"/>
        </w:rPr>
        <w:t xml:space="preserve">the </w:t>
      </w:r>
      <w:r w:rsidRPr="00984AD7">
        <w:rPr>
          <w:rFonts w:ascii="Arial" w:hAnsi="Arial" w:cs="Arial"/>
        </w:rPr>
        <w:t>groups with N&gt;50, the Kolmogorov‒Smirnov test was applied, while in the groups with N&lt;50, the Shapiro‒Wilk test was used.</w:t>
      </w:r>
    </w:p>
    <w:p w14:paraId="7145611F" w14:textId="77777777" w:rsidR="00D230CF" w:rsidRPr="00984AD7" w:rsidRDefault="00D230CF" w:rsidP="00D230CF">
      <w:pPr>
        <w:jc w:val="both"/>
        <w:rPr>
          <w:rFonts w:ascii="Arial" w:hAnsi="Arial" w:cs="Arial"/>
        </w:rPr>
      </w:pPr>
      <w:r w:rsidRPr="00984AD7">
        <w:rPr>
          <w:rFonts w:ascii="Arial" w:hAnsi="Arial" w:cs="Arial"/>
        </w:rPr>
        <w:t xml:space="preserve">- The quantitative variables are described using the usual </w:t>
      </w:r>
      <w:r>
        <w:rPr>
          <w:rFonts w:ascii="Arial" w:hAnsi="Arial" w:cs="Arial"/>
        </w:rPr>
        <w:t xml:space="preserve">measures of </w:t>
      </w:r>
      <w:r w:rsidRPr="00984AD7">
        <w:rPr>
          <w:rFonts w:ascii="Arial" w:hAnsi="Arial" w:cs="Arial"/>
        </w:rPr>
        <w:t xml:space="preserve">(a) centrality </w:t>
      </w:r>
      <w:r>
        <w:rPr>
          <w:rFonts w:ascii="Arial" w:hAnsi="Arial" w:cs="Arial"/>
        </w:rPr>
        <w:t>(</w:t>
      </w:r>
      <w:r w:rsidRPr="00984AD7">
        <w:rPr>
          <w:rFonts w:ascii="Arial" w:hAnsi="Arial" w:cs="Arial"/>
        </w:rPr>
        <w:t>mean and median</w:t>
      </w:r>
      <w:r>
        <w:rPr>
          <w:rFonts w:ascii="Arial" w:hAnsi="Arial" w:cs="Arial"/>
        </w:rPr>
        <w:t>)</w:t>
      </w:r>
      <w:r w:rsidRPr="00984AD7">
        <w:rPr>
          <w:rFonts w:ascii="Arial" w:hAnsi="Arial" w:cs="Arial"/>
        </w:rPr>
        <w:t xml:space="preserve"> and (b) variability </w:t>
      </w:r>
      <w:r>
        <w:rPr>
          <w:rFonts w:ascii="Arial" w:hAnsi="Arial" w:cs="Arial"/>
        </w:rPr>
        <w:t>(</w:t>
      </w:r>
      <w:r w:rsidRPr="00984AD7">
        <w:rPr>
          <w:rFonts w:ascii="Arial" w:hAnsi="Arial" w:cs="Arial"/>
        </w:rPr>
        <w:t xml:space="preserve">observed range, standard </w:t>
      </w:r>
      <w:proofErr w:type="gramStart"/>
      <w:r w:rsidRPr="00984AD7">
        <w:rPr>
          <w:rFonts w:ascii="Arial" w:hAnsi="Arial" w:cs="Arial"/>
        </w:rPr>
        <w:t>deviation</w:t>
      </w:r>
      <w:proofErr w:type="gramEnd"/>
      <w:r w:rsidRPr="00984AD7">
        <w:rPr>
          <w:rFonts w:ascii="Arial" w:hAnsi="Arial" w:cs="Arial"/>
        </w:rPr>
        <w:t xml:space="preserve"> and interquartile range</w:t>
      </w:r>
      <w:r>
        <w:rPr>
          <w:rFonts w:ascii="Arial" w:hAnsi="Arial" w:cs="Arial"/>
        </w:rPr>
        <w:t>)</w:t>
      </w:r>
      <w:r w:rsidRPr="00984AD7">
        <w:rPr>
          <w:rFonts w:ascii="Arial" w:hAnsi="Arial" w:cs="Arial"/>
        </w:rPr>
        <w:t>.</w:t>
      </w:r>
    </w:p>
    <w:p w14:paraId="0DABCA57" w14:textId="77777777" w:rsidR="00D230CF" w:rsidRPr="00984AD7" w:rsidRDefault="00D230CF" w:rsidP="00D230CF">
      <w:pPr>
        <w:jc w:val="both"/>
        <w:rPr>
          <w:rFonts w:ascii="Arial" w:hAnsi="Arial" w:cs="Arial"/>
        </w:rPr>
      </w:pPr>
      <w:r w:rsidRPr="00984AD7">
        <w:rPr>
          <w:rFonts w:ascii="Arial" w:hAnsi="Arial" w:cs="Arial"/>
        </w:rPr>
        <w:t xml:space="preserve">- For the </w:t>
      </w:r>
      <w:r>
        <w:rPr>
          <w:rFonts w:ascii="Arial" w:hAnsi="Arial" w:cs="Arial"/>
        </w:rPr>
        <w:t xml:space="preserve">comparison of the </w:t>
      </w:r>
      <w:r w:rsidRPr="00984AD7">
        <w:rPr>
          <w:rFonts w:ascii="Arial" w:hAnsi="Arial" w:cs="Arial"/>
        </w:rPr>
        <w:t>means among groups of different subjects (independent of each other), the nonparametric alternative of the Mann‒Whitney test was used since the variables did not meet normality criteria.</w:t>
      </w:r>
    </w:p>
    <w:p w14:paraId="127E2AA0" w14:textId="77777777" w:rsidR="00D230CF" w:rsidRPr="00984AD7" w:rsidRDefault="00D230CF" w:rsidP="00D230CF">
      <w:pPr>
        <w:jc w:val="both"/>
        <w:rPr>
          <w:rFonts w:ascii="Arial" w:hAnsi="Arial" w:cs="Arial"/>
        </w:rPr>
      </w:pPr>
      <w:r w:rsidRPr="00984AD7">
        <w:rPr>
          <w:rFonts w:ascii="Arial" w:hAnsi="Arial" w:cs="Arial"/>
        </w:rPr>
        <w:t>- The effect size was calculated to express the magnitude of the differences between groups. The effect size was expressed in R2 (scale: 0-1) so that it could be compared between different types of data (units of measurement) and between different statistical tests.</w:t>
      </w:r>
    </w:p>
    <w:p w14:paraId="0D35E663" w14:textId="77777777" w:rsidR="00D230CF" w:rsidRPr="00984AD7" w:rsidRDefault="00D230CF" w:rsidP="00D230CF">
      <w:pPr>
        <w:jc w:val="both"/>
        <w:rPr>
          <w:rFonts w:ascii="Arial" w:hAnsi="Arial" w:cs="Arial"/>
        </w:rPr>
      </w:pPr>
      <w:r w:rsidRPr="00984AD7">
        <w:rPr>
          <w:rFonts w:ascii="Arial" w:hAnsi="Arial" w:cs="Arial"/>
        </w:rPr>
        <w:t>- Spearman's correlation coefficient was used to explore the correlation between nonnormally distributed quantitative variables.</w:t>
      </w:r>
    </w:p>
    <w:p w14:paraId="67D42886" w14:textId="77777777" w:rsidR="00D230CF" w:rsidRPr="00984AD7" w:rsidRDefault="00D230CF" w:rsidP="00D230CF">
      <w:pPr>
        <w:jc w:val="both"/>
        <w:rPr>
          <w:rFonts w:ascii="Arial" w:hAnsi="Arial" w:cs="Arial"/>
        </w:rPr>
      </w:pPr>
      <w:r w:rsidRPr="00984AD7">
        <w:rPr>
          <w:rFonts w:ascii="Arial" w:hAnsi="Arial" w:cs="Arial"/>
        </w:rPr>
        <w:lastRenderedPageBreak/>
        <w:t>p values &lt;0.05 were considered to indicate statistical significance.</w:t>
      </w:r>
    </w:p>
    <w:p w14:paraId="51237E3C" w14:textId="77777777" w:rsidR="00D230CF" w:rsidRPr="00984AD7" w:rsidRDefault="00D230CF" w:rsidP="00D230CF">
      <w:pPr>
        <w:jc w:val="both"/>
        <w:rPr>
          <w:rFonts w:ascii="Arial" w:hAnsi="Arial" w:cs="Arial"/>
          <w:b/>
        </w:rPr>
      </w:pPr>
    </w:p>
    <w:p w14:paraId="59AEB0AB" w14:textId="77777777" w:rsidR="00D230CF" w:rsidRPr="00984AD7" w:rsidRDefault="00D230CF" w:rsidP="00D230CF">
      <w:pPr>
        <w:jc w:val="both"/>
        <w:rPr>
          <w:rFonts w:ascii="Arial" w:hAnsi="Arial" w:cs="Arial"/>
          <w:b/>
        </w:rPr>
      </w:pPr>
      <w:r w:rsidRPr="00984AD7">
        <w:rPr>
          <w:rFonts w:ascii="Arial" w:hAnsi="Arial" w:cs="Arial"/>
          <w:b/>
        </w:rPr>
        <w:t>Results:</w:t>
      </w:r>
    </w:p>
    <w:p w14:paraId="1DBC670A" w14:textId="77777777" w:rsidR="00D230CF" w:rsidRPr="00984AD7" w:rsidRDefault="00D230CF" w:rsidP="00D230CF">
      <w:pPr>
        <w:jc w:val="both"/>
        <w:rPr>
          <w:rFonts w:ascii="Arial" w:hAnsi="Arial" w:cs="Arial"/>
        </w:rPr>
      </w:pPr>
      <w:r>
        <w:rPr>
          <w:rFonts w:ascii="Arial" w:hAnsi="Arial" w:cs="Arial"/>
        </w:rPr>
        <w:t xml:space="preserve">This study included </w:t>
      </w:r>
      <w:r w:rsidRPr="00984AD7">
        <w:rPr>
          <w:rFonts w:ascii="Arial" w:hAnsi="Arial" w:cs="Arial"/>
        </w:rPr>
        <w:t xml:space="preserve">a group of 26 patients with osteogenesis imperfecta and a control group of 395 healthy patients without systemic diseases. The ages of these 421 children ranged between 6.01 and 11.99 years, with a mean of 9.21 years (95% CI 9.05–9.37). A total of 69.2% of the participants in the study group had OI type I, and 30.7% had OI type III or IV, as </w:t>
      </w:r>
      <w:r>
        <w:rPr>
          <w:rFonts w:ascii="Arial" w:hAnsi="Arial" w:cs="Arial"/>
        </w:rPr>
        <w:t xml:space="preserve">shown </w:t>
      </w:r>
      <w:r w:rsidRPr="00984AD7">
        <w:rPr>
          <w:rFonts w:ascii="Arial" w:hAnsi="Arial" w:cs="Arial"/>
        </w:rPr>
        <w:t xml:space="preserve">in Table 1. </w:t>
      </w:r>
      <w:r>
        <w:rPr>
          <w:rFonts w:ascii="Arial" w:hAnsi="Arial" w:cs="Arial"/>
        </w:rPr>
        <w:t>T</w:t>
      </w:r>
      <w:r w:rsidRPr="00984AD7">
        <w:rPr>
          <w:rFonts w:ascii="Arial" w:hAnsi="Arial" w:cs="Arial"/>
        </w:rPr>
        <w:t>he sample was reasonably balanced</w:t>
      </w:r>
      <w:r>
        <w:rPr>
          <w:rFonts w:ascii="Arial" w:hAnsi="Arial" w:cs="Arial"/>
        </w:rPr>
        <w:t xml:space="preserve"> according to sex, with </w:t>
      </w:r>
      <w:r w:rsidRPr="00984AD7">
        <w:rPr>
          <w:rFonts w:ascii="Arial" w:hAnsi="Arial" w:cs="Arial"/>
        </w:rPr>
        <w:t>52.5% (221</w:t>
      </w:r>
      <w:r>
        <w:rPr>
          <w:rFonts w:ascii="Arial" w:hAnsi="Arial" w:cs="Arial"/>
        </w:rPr>
        <w:t xml:space="preserve"> patients</w:t>
      </w:r>
      <w:r w:rsidRPr="00984AD7">
        <w:rPr>
          <w:rFonts w:ascii="Arial" w:hAnsi="Arial" w:cs="Arial"/>
        </w:rPr>
        <w:t xml:space="preserve">) boys </w:t>
      </w:r>
      <w:r>
        <w:rPr>
          <w:rFonts w:ascii="Arial" w:hAnsi="Arial" w:cs="Arial"/>
        </w:rPr>
        <w:t xml:space="preserve">and </w:t>
      </w:r>
      <w:r w:rsidRPr="00984AD7">
        <w:rPr>
          <w:rFonts w:ascii="Arial" w:hAnsi="Arial" w:cs="Arial"/>
        </w:rPr>
        <w:t>47.5% (200</w:t>
      </w:r>
      <w:r>
        <w:rPr>
          <w:rFonts w:ascii="Arial" w:hAnsi="Arial" w:cs="Arial"/>
        </w:rPr>
        <w:t xml:space="preserve"> patients</w:t>
      </w:r>
      <w:r w:rsidRPr="00984AD7">
        <w:rPr>
          <w:rFonts w:ascii="Arial" w:hAnsi="Arial" w:cs="Arial"/>
        </w:rPr>
        <w:t>)</w:t>
      </w:r>
      <w:r w:rsidRPr="00A7061E">
        <w:rPr>
          <w:rFonts w:ascii="Arial" w:hAnsi="Arial" w:cs="Arial"/>
        </w:rPr>
        <w:t xml:space="preserve"> </w:t>
      </w:r>
      <w:r w:rsidRPr="00512830">
        <w:rPr>
          <w:rFonts w:ascii="Arial" w:hAnsi="Arial" w:cs="Arial"/>
        </w:rPr>
        <w:t xml:space="preserve">girls. A total of </w:t>
      </w:r>
      <w:r w:rsidRPr="005158D2">
        <w:rPr>
          <w:rFonts w:ascii="Arial" w:hAnsi="Arial" w:cs="Arial"/>
        </w:rPr>
        <w:t>198 patients were included in the &lt;9-year-old group, and 223 patients were included in the &gt; 9-year-old</w:t>
      </w:r>
      <w:r w:rsidRPr="00512830">
        <w:rPr>
          <w:rFonts w:ascii="Arial" w:hAnsi="Arial" w:cs="Arial"/>
        </w:rPr>
        <w:t xml:space="preserve"> group, as shown in Table 2.</w:t>
      </w:r>
    </w:p>
    <w:p w14:paraId="5FC9B915" w14:textId="77777777" w:rsidR="00D230CF" w:rsidRPr="00984AD7" w:rsidRDefault="00D230CF" w:rsidP="00D230CF">
      <w:pPr>
        <w:jc w:val="both"/>
        <w:rPr>
          <w:rFonts w:ascii="Arial" w:hAnsi="Arial" w:cs="Arial"/>
        </w:rPr>
      </w:pPr>
    </w:p>
    <w:tbl>
      <w:tblPr>
        <w:tblStyle w:val="Tablaconcuadrcula1clara"/>
        <w:tblW w:w="6868" w:type="dxa"/>
        <w:jc w:val="center"/>
        <w:tblLook w:val="04A0" w:firstRow="1" w:lastRow="0" w:firstColumn="1" w:lastColumn="0" w:noHBand="0" w:noVBand="1"/>
      </w:tblPr>
      <w:tblGrid>
        <w:gridCol w:w="2298"/>
        <w:gridCol w:w="969"/>
        <w:gridCol w:w="1090"/>
        <w:gridCol w:w="969"/>
        <w:gridCol w:w="1542"/>
      </w:tblGrid>
      <w:tr w:rsidR="00D230CF" w:rsidRPr="00984AD7" w14:paraId="60B75074" w14:textId="77777777" w:rsidTr="005158D2">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E7E6E6" w:themeFill="background2"/>
          </w:tcPr>
          <w:p w14:paraId="58CE3B49" w14:textId="77777777" w:rsidR="00D230CF" w:rsidRPr="00984AD7" w:rsidRDefault="00D230CF" w:rsidP="005158D2">
            <w:pPr>
              <w:spacing w:line="360" w:lineRule="auto"/>
              <w:jc w:val="both"/>
              <w:rPr>
                <w:rFonts w:ascii="Arial" w:hAnsi="Arial" w:cs="Arial"/>
                <w:sz w:val="18"/>
                <w:szCs w:val="18"/>
              </w:rPr>
            </w:pPr>
          </w:p>
        </w:tc>
        <w:tc>
          <w:tcPr>
            <w:tcW w:w="969" w:type="dxa"/>
            <w:shd w:val="clear" w:color="auto" w:fill="E7E6E6" w:themeFill="background2"/>
          </w:tcPr>
          <w:p w14:paraId="7AC5457E" w14:textId="77777777" w:rsidR="00D230CF" w:rsidRPr="00984AD7" w:rsidRDefault="00D230CF" w:rsidP="005158D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OI type I</w:t>
            </w:r>
          </w:p>
        </w:tc>
        <w:tc>
          <w:tcPr>
            <w:tcW w:w="1090" w:type="dxa"/>
            <w:shd w:val="clear" w:color="auto" w:fill="E7E6E6" w:themeFill="background2"/>
          </w:tcPr>
          <w:p w14:paraId="7D07FB24" w14:textId="77777777" w:rsidR="00D230CF" w:rsidRPr="00984AD7" w:rsidRDefault="00D230CF" w:rsidP="005158D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OI type III</w:t>
            </w:r>
          </w:p>
        </w:tc>
        <w:tc>
          <w:tcPr>
            <w:tcW w:w="969" w:type="dxa"/>
            <w:shd w:val="clear" w:color="auto" w:fill="E7E6E6" w:themeFill="background2"/>
          </w:tcPr>
          <w:p w14:paraId="363A8466" w14:textId="77777777" w:rsidR="00D230CF" w:rsidRPr="00984AD7" w:rsidRDefault="00D230CF" w:rsidP="005158D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OI type IV</w:t>
            </w:r>
          </w:p>
        </w:tc>
        <w:tc>
          <w:tcPr>
            <w:tcW w:w="1542" w:type="dxa"/>
            <w:shd w:val="clear" w:color="auto" w:fill="E7E6E6" w:themeFill="background2"/>
          </w:tcPr>
          <w:p w14:paraId="7DF5FB51" w14:textId="77777777" w:rsidR="00D230CF" w:rsidRPr="00984AD7" w:rsidRDefault="00D230CF" w:rsidP="005158D2">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TOTAL</w:t>
            </w:r>
          </w:p>
        </w:tc>
      </w:tr>
      <w:tr w:rsidR="00D230CF" w:rsidRPr="00984AD7" w14:paraId="5ED3B599"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FFD966" w:themeFill="accent4" w:themeFillTint="99"/>
          </w:tcPr>
          <w:p w14:paraId="7396600F" w14:textId="77777777" w:rsidR="00D230CF" w:rsidRPr="00984AD7" w:rsidRDefault="00D230CF" w:rsidP="005158D2">
            <w:pPr>
              <w:spacing w:line="360" w:lineRule="auto"/>
              <w:jc w:val="both"/>
              <w:rPr>
                <w:rFonts w:ascii="Arial" w:hAnsi="Arial" w:cs="Arial"/>
                <w:sz w:val="18"/>
                <w:szCs w:val="18"/>
              </w:rPr>
            </w:pPr>
            <w:r w:rsidRPr="00984AD7">
              <w:rPr>
                <w:rFonts w:ascii="Wingdings" w:hAnsi="Wingdings" w:cs="Arial"/>
                <w:sz w:val="18"/>
                <w:szCs w:val="18"/>
              </w:rPr>
              <w:sym w:font="Wingdings" w:char="F0E0"/>
            </w:r>
            <w:r w:rsidRPr="00984AD7">
              <w:rPr>
                <w:rFonts w:ascii="Arial" w:hAnsi="Arial" w:cs="Arial"/>
                <w:sz w:val="18"/>
                <w:szCs w:val="18"/>
              </w:rPr>
              <w:t>Study Group</w:t>
            </w:r>
          </w:p>
        </w:tc>
        <w:tc>
          <w:tcPr>
            <w:tcW w:w="969" w:type="dxa"/>
            <w:shd w:val="clear" w:color="auto" w:fill="FFD966" w:themeFill="accent4" w:themeFillTint="99"/>
          </w:tcPr>
          <w:p w14:paraId="6AF00B32"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FFD966" w:themeFill="accent4" w:themeFillTint="99"/>
          </w:tcPr>
          <w:p w14:paraId="15EA5ECC"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FFD966" w:themeFill="accent4" w:themeFillTint="99"/>
          </w:tcPr>
          <w:p w14:paraId="5B4385A9"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FFD966" w:themeFill="accent4" w:themeFillTint="99"/>
          </w:tcPr>
          <w:p w14:paraId="486B7E29"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D230CF" w:rsidRPr="00984AD7" w14:paraId="68F86F59"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FFD966" w:themeFill="accent4" w:themeFillTint="99"/>
          </w:tcPr>
          <w:p w14:paraId="7AEA8C17" w14:textId="77777777" w:rsidR="00D230CF" w:rsidRPr="00984AD7" w:rsidRDefault="00D230CF" w:rsidP="005158D2">
            <w:pPr>
              <w:spacing w:line="360" w:lineRule="auto"/>
              <w:jc w:val="both"/>
              <w:rPr>
                <w:rFonts w:ascii="Arial" w:hAnsi="Arial" w:cs="Arial"/>
                <w:sz w:val="18"/>
                <w:szCs w:val="18"/>
              </w:rPr>
            </w:pPr>
            <w:r w:rsidRPr="00984AD7">
              <w:rPr>
                <w:rFonts w:ascii="Arial" w:hAnsi="Arial" w:cs="Arial"/>
                <w:sz w:val="18"/>
                <w:szCs w:val="18"/>
              </w:rPr>
              <w:t>Participants</w:t>
            </w:r>
          </w:p>
        </w:tc>
        <w:tc>
          <w:tcPr>
            <w:tcW w:w="969" w:type="dxa"/>
            <w:shd w:val="clear" w:color="auto" w:fill="FFD966" w:themeFill="accent4" w:themeFillTint="99"/>
          </w:tcPr>
          <w:p w14:paraId="130D4293"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18</w:t>
            </w:r>
          </w:p>
        </w:tc>
        <w:tc>
          <w:tcPr>
            <w:tcW w:w="1090" w:type="dxa"/>
            <w:shd w:val="clear" w:color="auto" w:fill="FFD966" w:themeFill="accent4" w:themeFillTint="99"/>
          </w:tcPr>
          <w:p w14:paraId="7EBFAA62"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2</w:t>
            </w:r>
          </w:p>
        </w:tc>
        <w:tc>
          <w:tcPr>
            <w:tcW w:w="969" w:type="dxa"/>
            <w:shd w:val="clear" w:color="auto" w:fill="FFD966" w:themeFill="accent4" w:themeFillTint="99"/>
          </w:tcPr>
          <w:p w14:paraId="19F87F85"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6</w:t>
            </w:r>
          </w:p>
        </w:tc>
        <w:tc>
          <w:tcPr>
            <w:tcW w:w="1542" w:type="dxa"/>
            <w:shd w:val="clear" w:color="auto" w:fill="FFD966" w:themeFill="accent4" w:themeFillTint="99"/>
          </w:tcPr>
          <w:p w14:paraId="6D40C5FD"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26</w:t>
            </w:r>
          </w:p>
        </w:tc>
      </w:tr>
      <w:tr w:rsidR="00D230CF" w:rsidRPr="00984AD7" w14:paraId="6588B588"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FFD966" w:themeFill="accent4" w:themeFillTint="99"/>
          </w:tcPr>
          <w:p w14:paraId="1DD48DAA" w14:textId="77777777" w:rsidR="00D230CF" w:rsidRPr="00984AD7" w:rsidRDefault="00D230CF" w:rsidP="005158D2">
            <w:pPr>
              <w:spacing w:line="360" w:lineRule="auto"/>
              <w:jc w:val="both"/>
              <w:rPr>
                <w:rFonts w:ascii="Arial" w:hAnsi="Arial" w:cs="Arial"/>
                <w:sz w:val="18"/>
                <w:szCs w:val="18"/>
              </w:rPr>
            </w:pPr>
            <w:r>
              <w:rPr>
                <w:rFonts w:ascii="Arial" w:hAnsi="Arial" w:cs="Arial"/>
                <w:sz w:val="18"/>
                <w:szCs w:val="18"/>
              </w:rPr>
              <w:t xml:space="preserve">Sex </w:t>
            </w:r>
            <w:r w:rsidRPr="00984AD7">
              <w:rPr>
                <w:rFonts w:ascii="Arial" w:hAnsi="Arial" w:cs="Arial"/>
                <w:sz w:val="18"/>
                <w:szCs w:val="18"/>
              </w:rPr>
              <w:t>(M/F)</w:t>
            </w:r>
          </w:p>
        </w:tc>
        <w:tc>
          <w:tcPr>
            <w:tcW w:w="969" w:type="dxa"/>
            <w:shd w:val="clear" w:color="auto" w:fill="FFD966" w:themeFill="accent4" w:themeFillTint="99"/>
          </w:tcPr>
          <w:p w14:paraId="7E4B6E8C"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9/9</w:t>
            </w:r>
          </w:p>
        </w:tc>
        <w:tc>
          <w:tcPr>
            <w:tcW w:w="1090" w:type="dxa"/>
            <w:shd w:val="clear" w:color="auto" w:fill="FFD966" w:themeFill="accent4" w:themeFillTint="99"/>
          </w:tcPr>
          <w:p w14:paraId="2EDCEF1D"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0/2</w:t>
            </w:r>
          </w:p>
        </w:tc>
        <w:tc>
          <w:tcPr>
            <w:tcW w:w="969" w:type="dxa"/>
            <w:shd w:val="clear" w:color="auto" w:fill="FFD966" w:themeFill="accent4" w:themeFillTint="99"/>
          </w:tcPr>
          <w:p w14:paraId="6CCE07EB"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4/2</w:t>
            </w:r>
          </w:p>
        </w:tc>
        <w:tc>
          <w:tcPr>
            <w:tcW w:w="1542" w:type="dxa"/>
            <w:shd w:val="clear" w:color="auto" w:fill="FFD966" w:themeFill="accent4" w:themeFillTint="99"/>
          </w:tcPr>
          <w:p w14:paraId="3712C127"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13/13</w:t>
            </w:r>
          </w:p>
        </w:tc>
      </w:tr>
      <w:tr w:rsidR="00D230CF" w:rsidRPr="00984AD7" w14:paraId="6ADBAAEC"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FFD966" w:themeFill="accent4" w:themeFillTint="99"/>
          </w:tcPr>
          <w:p w14:paraId="48A8FD5E" w14:textId="77777777" w:rsidR="00D230CF" w:rsidRPr="00984AD7" w:rsidRDefault="00D230CF" w:rsidP="005158D2">
            <w:pPr>
              <w:spacing w:line="360" w:lineRule="auto"/>
              <w:jc w:val="both"/>
              <w:rPr>
                <w:rFonts w:ascii="Arial" w:hAnsi="Arial" w:cs="Arial"/>
                <w:sz w:val="18"/>
                <w:szCs w:val="18"/>
              </w:rPr>
            </w:pPr>
            <w:r w:rsidRPr="00984AD7">
              <w:rPr>
                <w:rFonts w:ascii="Arial" w:hAnsi="Arial" w:cs="Arial"/>
                <w:sz w:val="18"/>
                <w:szCs w:val="18"/>
              </w:rPr>
              <w:t>Age</w:t>
            </w:r>
          </w:p>
        </w:tc>
        <w:tc>
          <w:tcPr>
            <w:tcW w:w="969" w:type="dxa"/>
            <w:shd w:val="clear" w:color="auto" w:fill="FFD966" w:themeFill="accent4" w:themeFillTint="99"/>
          </w:tcPr>
          <w:p w14:paraId="160CEC9F"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FFD966" w:themeFill="accent4" w:themeFillTint="99"/>
          </w:tcPr>
          <w:p w14:paraId="08DE51B4"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FFD966" w:themeFill="accent4" w:themeFillTint="99"/>
          </w:tcPr>
          <w:p w14:paraId="53F113DF"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FFD966" w:themeFill="accent4" w:themeFillTint="99"/>
          </w:tcPr>
          <w:p w14:paraId="629435AA"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8,05 (+-1,67)</w:t>
            </w:r>
          </w:p>
        </w:tc>
      </w:tr>
      <w:tr w:rsidR="00D230CF" w:rsidRPr="00984AD7" w14:paraId="69A86915"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A8D08D" w:themeFill="accent6" w:themeFillTint="99"/>
          </w:tcPr>
          <w:p w14:paraId="08391CB8" w14:textId="77777777" w:rsidR="00D230CF" w:rsidRPr="00984AD7" w:rsidRDefault="00D230CF" w:rsidP="005158D2">
            <w:pPr>
              <w:spacing w:line="360" w:lineRule="auto"/>
              <w:jc w:val="both"/>
              <w:rPr>
                <w:rFonts w:ascii="Arial" w:hAnsi="Arial" w:cs="Arial"/>
                <w:sz w:val="18"/>
                <w:szCs w:val="18"/>
              </w:rPr>
            </w:pPr>
            <w:r w:rsidRPr="00984AD7">
              <w:rPr>
                <w:rFonts w:ascii="Wingdings" w:hAnsi="Wingdings" w:cs="Arial"/>
                <w:sz w:val="18"/>
                <w:szCs w:val="18"/>
              </w:rPr>
              <w:sym w:font="Wingdings" w:char="F0E0"/>
            </w:r>
            <w:r w:rsidRPr="00984AD7">
              <w:rPr>
                <w:rFonts w:ascii="Arial" w:hAnsi="Arial" w:cs="Arial"/>
                <w:sz w:val="18"/>
                <w:szCs w:val="18"/>
              </w:rPr>
              <w:t xml:space="preserve"> Control group</w:t>
            </w:r>
          </w:p>
        </w:tc>
        <w:tc>
          <w:tcPr>
            <w:tcW w:w="969" w:type="dxa"/>
            <w:shd w:val="clear" w:color="auto" w:fill="A8D08D" w:themeFill="accent6" w:themeFillTint="99"/>
          </w:tcPr>
          <w:p w14:paraId="120F716C"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A8D08D" w:themeFill="accent6" w:themeFillTint="99"/>
          </w:tcPr>
          <w:p w14:paraId="757F0703"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A8D08D" w:themeFill="accent6" w:themeFillTint="99"/>
          </w:tcPr>
          <w:p w14:paraId="253CE292"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A8D08D" w:themeFill="accent6" w:themeFillTint="99"/>
          </w:tcPr>
          <w:p w14:paraId="2BCCC4D8"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D230CF" w:rsidRPr="00984AD7" w14:paraId="56B38F9D"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A8D08D" w:themeFill="accent6" w:themeFillTint="99"/>
          </w:tcPr>
          <w:p w14:paraId="7CD449EE" w14:textId="77777777" w:rsidR="00D230CF" w:rsidRPr="00984AD7" w:rsidRDefault="00D230CF" w:rsidP="005158D2">
            <w:pPr>
              <w:spacing w:line="360" w:lineRule="auto"/>
              <w:jc w:val="both"/>
              <w:rPr>
                <w:rFonts w:ascii="Arial" w:hAnsi="Arial" w:cs="Arial"/>
                <w:sz w:val="18"/>
                <w:szCs w:val="18"/>
              </w:rPr>
            </w:pPr>
            <w:r w:rsidRPr="00984AD7">
              <w:rPr>
                <w:rFonts w:ascii="Arial" w:hAnsi="Arial" w:cs="Arial"/>
                <w:sz w:val="18"/>
                <w:szCs w:val="18"/>
              </w:rPr>
              <w:t>Participants</w:t>
            </w:r>
          </w:p>
        </w:tc>
        <w:tc>
          <w:tcPr>
            <w:tcW w:w="969" w:type="dxa"/>
            <w:shd w:val="clear" w:color="auto" w:fill="A8D08D" w:themeFill="accent6" w:themeFillTint="99"/>
          </w:tcPr>
          <w:p w14:paraId="7725209A"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A8D08D" w:themeFill="accent6" w:themeFillTint="99"/>
          </w:tcPr>
          <w:p w14:paraId="66609892"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A8D08D" w:themeFill="accent6" w:themeFillTint="99"/>
          </w:tcPr>
          <w:p w14:paraId="22CA1725"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A8D08D" w:themeFill="accent6" w:themeFillTint="99"/>
          </w:tcPr>
          <w:p w14:paraId="3DE6B4D1"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395</w:t>
            </w:r>
          </w:p>
        </w:tc>
      </w:tr>
      <w:tr w:rsidR="00D230CF" w:rsidRPr="00984AD7" w14:paraId="72D8B1F2"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A8D08D" w:themeFill="accent6" w:themeFillTint="99"/>
          </w:tcPr>
          <w:p w14:paraId="41996422" w14:textId="77777777" w:rsidR="00D230CF" w:rsidRPr="00984AD7" w:rsidRDefault="00D230CF" w:rsidP="005158D2">
            <w:pPr>
              <w:spacing w:line="360" w:lineRule="auto"/>
              <w:jc w:val="both"/>
              <w:rPr>
                <w:rFonts w:ascii="Arial" w:hAnsi="Arial" w:cs="Arial"/>
                <w:sz w:val="18"/>
                <w:szCs w:val="18"/>
              </w:rPr>
            </w:pPr>
            <w:r>
              <w:rPr>
                <w:rFonts w:ascii="Arial" w:hAnsi="Arial" w:cs="Arial"/>
                <w:sz w:val="18"/>
                <w:szCs w:val="18"/>
              </w:rPr>
              <w:t>Sex</w:t>
            </w:r>
            <w:r w:rsidRPr="00984AD7">
              <w:rPr>
                <w:rFonts w:ascii="Arial" w:hAnsi="Arial" w:cs="Arial"/>
                <w:sz w:val="18"/>
                <w:szCs w:val="18"/>
              </w:rPr>
              <w:t xml:space="preserve"> (M/F)</w:t>
            </w:r>
          </w:p>
        </w:tc>
        <w:tc>
          <w:tcPr>
            <w:tcW w:w="969" w:type="dxa"/>
            <w:shd w:val="clear" w:color="auto" w:fill="A8D08D" w:themeFill="accent6" w:themeFillTint="99"/>
          </w:tcPr>
          <w:p w14:paraId="34A34DFC"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A8D08D" w:themeFill="accent6" w:themeFillTint="99"/>
          </w:tcPr>
          <w:p w14:paraId="77F38A05"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A8D08D" w:themeFill="accent6" w:themeFillTint="99"/>
          </w:tcPr>
          <w:p w14:paraId="5502DAF9"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A8D08D" w:themeFill="accent6" w:themeFillTint="99"/>
          </w:tcPr>
          <w:p w14:paraId="699777B8"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208/187</w:t>
            </w:r>
          </w:p>
        </w:tc>
      </w:tr>
      <w:tr w:rsidR="00D230CF" w:rsidRPr="00984AD7" w14:paraId="5372FEF5" w14:textId="77777777" w:rsidTr="005158D2">
        <w:trPr>
          <w:trHeight w:val="449"/>
          <w:jc w:val="center"/>
        </w:trPr>
        <w:tc>
          <w:tcPr>
            <w:cnfStyle w:val="001000000000" w:firstRow="0" w:lastRow="0" w:firstColumn="1" w:lastColumn="0" w:oddVBand="0" w:evenVBand="0" w:oddHBand="0" w:evenHBand="0" w:firstRowFirstColumn="0" w:firstRowLastColumn="0" w:lastRowFirstColumn="0" w:lastRowLastColumn="0"/>
            <w:tcW w:w="2298" w:type="dxa"/>
            <w:shd w:val="clear" w:color="auto" w:fill="A8D08D" w:themeFill="accent6" w:themeFillTint="99"/>
          </w:tcPr>
          <w:p w14:paraId="7E2F8486" w14:textId="77777777" w:rsidR="00D230CF" w:rsidRPr="00984AD7" w:rsidRDefault="00D230CF" w:rsidP="005158D2">
            <w:pPr>
              <w:spacing w:line="360" w:lineRule="auto"/>
              <w:jc w:val="both"/>
              <w:rPr>
                <w:rFonts w:ascii="Arial" w:hAnsi="Arial" w:cs="Arial"/>
                <w:sz w:val="18"/>
                <w:szCs w:val="18"/>
              </w:rPr>
            </w:pPr>
            <w:r w:rsidRPr="00984AD7">
              <w:rPr>
                <w:rFonts w:ascii="Arial" w:hAnsi="Arial" w:cs="Arial"/>
                <w:sz w:val="18"/>
                <w:szCs w:val="18"/>
              </w:rPr>
              <w:t>Age</w:t>
            </w:r>
          </w:p>
        </w:tc>
        <w:tc>
          <w:tcPr>
            <w:tcW w:w="969" w:type="dxa"/>
            <w:shd w:val="clear" w:color="auto" w:fill="A8D08D" w:themeFill="accent6" w:themeFillTint="99"/>
          </w:tcPr>
          <w:p w14:paraId="7FFC135E"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90" w:type="dxa"/>
            <w:shd w:val="clear" w:color="auto" w:fill="A8D08D" w:themeFill="accent6" w:themeFillTint="99"/>
          </w:tcPr>
          <w:p w14:paraId="048005BF"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69" w:type="dxa"/>
            <w:shd w:val="clear" w:color="auto" w:fill="A8D08D" w:themeFill="accent6" w:themeFillTint="99"/>
          </w:tcPr>
          <w:p w14:paraId="3E6928F5"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542" w:type="dxa"/>
            <w:shd w:val="clear" w:color="auto" w:fill="A8D08D" w:themeFill="accent6" w:themeFillTint="99"/>
          </w:tcPr>
          <w:p w14:paraId="63551E29" w14:textId="77777777" w:rsidR="00D230CF" w:rsidRPr="00984AD7" w:rsidRDefault="00D230CF" w:rsidP="005158D2">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AD7">
              <w:rPr>
                <w:rFonts w:ascii="Arial" w:hAnsi="Arial" w:cs="Arial"/>
                <w:sz w:val="18"/>
                <w:szCs w:val="18"/>
              </w:rPr>
              <w:t>9,29 (+-1,62)</w:t>
            </w:r>
          </w:p>
        </w:tc>
      </w:tr>
    </w:tbl>
    <w:p w14:paraId="7DABE4B4" w14:textId="77777777" w:rsidR="00D230CF" w:rsidRPr="00984AD7" w:rsidRDefault="00D230CF" w:rsidP="00D230CF">
      <w:pPr>
        <w:jc w:val="both"/>
        <w:rPr>
          <w:rFonts w:ascii="Arial" w:hAnsi="Arial" w:cs="Arial"/>
          <w:sz w:val="20"/>
          <w:szCs w:val="20"/>
        </w:rPr>
      </w:pPr>
      <w:r w:rsidRPr="00984AD7">
        <w:rPr>
          <w:rFonts w:ascii="Arial" w:hAnsi="Arial" w:cs="Arial"/>
          <w:sz w:val="20"/>
          <w:szCs w:val="20"/>
        </w:rPr>
        <w:t xml:space="preserve">Table 1. </w:t>
      </w:r>
      <w:r>
        <w:rPr>
          <w:rFonts w:ascii="Arial" w:hAnsi="Arial" w:cs="Arial"/>
          <w:sz w:val="20"/>
          <w:szCs w:val="20"/>
        </w:rPr>
        <w:t>Age and sex d</w:t>
      </w:r>
      <w:r w:rsidRPr="00984AD7">
        <w:rPr>
          <w:rFonts w:ascii="Arial" w:hAnsi="Arial" w:cs="Arial"/>
          <w:sz w:val="20"/>
          <w:szCs w:val="20"/>
        </w:rPr>
        <w:t>istribution</w:t>
      </w:r>
      <w:r>
        <w:rPr>
          <w:rFonts w:ascii="Arial" w:hAnsi="Arial" w:cs="Arial"/>
          <w:sz w:val="20"/>
          <w:szCs w:val="20"/>
        </w:rPr>
        <w:t>s</w:t>
      </w:r>
      <w:r w:rsidRPr="00984AD7">
        <w:rPr>
          <w:rFonts w:ascii="Arial" w:hAnsi="Arial" w:cs="Arial"/>
          <w:sz w:val="20"/>
          <w:szCs w:val="20"/>
        </w:rPr>
        <w:t xml:space="preserve"> of the study group and control group.</w:t>
      </w:r>
    </w:p>
    <w:tbl>
      <w:tblPr>
        <w:tblStyle w:val="Tablaconcuadrcula"/>
        <w:tblW w:w="8359" w:type="dxa"/>
        <w:jc w:val="center"/>
        <w:shd w:val="clear" w:color="auto" w:fill="FFE599" w:themeFill="accent4" w:themeFillTint="66"/>
        <w:tblLook w:val="04A0" w:firstRow="1" w:lastRow="0" w:firstColumn="1" w:lastColumn="0" w:noHBand="0" w:noVBand="1"/>
      </w:tblPr>
      <w:tblGrid>
        <w:gridCol w:w="1615"/>
        <w:gridCol w:w="1620"/>
        <w:gridCol w:w="1710"/>
        <w:gridCol w:w="1713"/>
        <w:gridCol w:w="1701"/>
      </w:tblGrid>
      <w:tr w:rsidR="00D230CF" w:rsidRPr="00984AD7" w14:paraId="3B0FAECE" w14:textId="77777777" w:rsidTr="005158D2">
        <w:trPr>
          <w:trHeight w:val="350"/>
          <w:jc w:val="center"/>
        </w:trPr>
        <w:tc>
          <w:tcPr>
            <w:tcW w:w="1615" w:type="dxa"/>
            <w:shd w:val="clear" w:color="auto" w:fill="D9D9D9" w:themeFill="background1" w:themeFillShade="D9"/>
          </w:tcPr>
          <w:p w14:paraId="4671B637" w14:textId="77777777" w:rsidR="00D230CF" w:rsidRPr="00984AD7" w:rsidRDefault="00D230CF" w:rsidP="005158D2">
            <w:pPr>
              <w:spacing w:line="360" w:lineRule="auto"/>
              <w:jc w:val="both"/>
              <w:rPr>
                <w:rFonts w:ascii="Arial" w:hAnsi="Arial" w:cs="Arial"/>
                <w:i/>
                <w:sz w:val="18"/>
                <w:szCs w:val="18"/>
              </w:rPr>
            </w:pPr>
          </w:p>
          <w:p w14:paraId="13683A51" w14:textId="77777777" w:rsidR="00D230CF" w:rsidRPr="00984AD7" w:rsidRDefault="00D230CF" w:rsidP="005158D2">
            <w:pPr>
              <w:spacing w:line="360" w:lineRule="auto"/>
              <w:jc w:val="both"/>
              <w:rPr>
                <w:rFonts w:ascii="Arial" w:hAnsi="Arial" w:cs="Arial"/>
                <w:i/>
                <w:sz w:val="18"/>
                <w:szCs w:val="18"/>
              </w:rPr>
            </w:pPr>
          </w:p>
        </w:tc>
        <w:tc>
          <w:tcPr>
            <w:tcW w:w="3330" w:type="dxa"/>
            <w:gridSpan w:val="2"/>
            <w:shd w:val="clear" w:color="auto" w:fill="FFD966" w:themeFill="accent4" w:themeFillTint="99"/>
          </w:tcPr>
          <w:p w14:paraId="20920334" w14:textId="77777777" w:rsidR="00D230CF" w:rsidRPr="00984AD7" w:rsidRDefault="00D230CF" w:rsidP="005158D2">
            <w:pPr>
              <w:spacing w:line="360" w:lineRule="auto"/>
              <w:jc w:val="both"/>
              <w:rPr>
                <w:rFonts w:ascii="Arial" w:hAnsi="Arial" w:cs="Arial"/>
                <w:b/>
                <w:bCs/>
                <w:iCs/>
                <w:sz w:val="18"/>
                <w:szCs w:val="18"/>
              </w:rPr>
            </w:pPr>
          </w:p>
          <w:p w14:paraId="1C91AA33" w14:textId="77777777" w:rsidR="00D230CF" w:rsidRPr="00984AD7" w:rsidRDefault="00D230CF" w:rsidP="005158D2">
            <w:pPr>
              <w:spacing w:line="360" w:lineRule="auto"/>
              <w:jc w:val="both"/>
              <w:rPr>
                <w:rFonts w:ascii="Arial" w:hAnsi="Arial" w:cs="Arial"/>
                <w:b/>
                <w:bCs/>
                <w:iCs/>
                <w:sz w:val="18"/>
                <w:szCs w:val="18"/>
              </w:rPr>
            </w:pPr>
            <w:r w:rsidRPr="00984AD7">
              <w:rPr>
                <w:rFonts w:ascii="Arial" w:hAnsi="Arial" w:cs="Arial"/>
                <w:b/>
                <w:bCs/>
                <w:iCs/>
                <w:sz w:val="18"/>
                <w:szCs w:val="18"/>
              </w:rPr>
              <w:t>Study Group</w:t>
            </w:r>
          </w:p>
        </w:tc>
        <w:tc>
          <w:tcPr>
            <w:tcW w:w="3414" w:type="dxa"/>
            <w:gridSpan w:val="2"/>
            <w:shd w:val="clear" w:color="auto" w:fill="A8D08D" w:themeFill="accent6" w:themeFillTint="99"/>
          </w:tcPr>
          <w:p w14:paraId="1B3B24DF" w14:textId="77777777" w:rsidR="00D230CF" w:rsidRPr="00984AD7" w:rsidRDefault="00D230CF" w:rsidP="005158D2">
            <w:pPr>
              <w:spacing w:line="360" w:lineRule="auto"/>
              <w:jc w:val="both"/>
              <w:rPr>
                <w:rFonts w:ascii="Arial" w:hAnsi="Arial" w:cs="Arial"/>
                <w:b/>
                <w:bCs/>
                <w:iCs/>
                <w:sz w:val="18"/>
                <w:szCs w:val="18"/>
              </w:rPr>
            </w:pPr>
          </w:p>
          <w:p w14:paraId="47023748" w14:textId="77777777" w:rsidR="00D230CF" w:rsidRPr="00984AD7" w:rsidRDefault="00D230CF" w:rsidP="005158D2">
            <w:pPr>
              <w:spacing w:line="360" w:lineRule="auto"/>
              <w:jc w:val="both"/>
              <w:rPr>
                <w:rFonts w:ascii="Arial" w:hAnsi="Arial" w:cs="Arial"/>
                <w:b/>
                <w:bCs/>
                <w:iCs/>
                <w:sz w:val="18"/>
                <w:szCs w:val="18"/>
              </w:rPr>
            </w:pPr>
            <w:r w:rsidRPr="00984AD7">
              <w:rPr>
                <w:rFonts w:ascii="Arial" w:hAnsi="Arial" w:cs="Arial"/>
                <w:b/>
                <w:bCs/>
                <w:iCs/>
                <w:sz w:val="18"/>
                <w:szCs w:val="18"/>
              </w:rPr>
              <w:t>Control Group</w:t>
            </w:r>
          </w:p>
        </w:tc>
      </w:tr>
      <w:tr w:rsidR="00D230CF" w:rsidRPr="00984AD7" w14:paraId="621E1FBD" w14:textId="77777777" w:rsidTr="005158D2">
        <w:trPr>
          <w:jc w:val="center"/>
        </w:trPr>
        <w:tc>
          <w:tcPr>
            <w:tcW w:w="1615" w:type="dxa"/>
            <w:shd w:val="clear" w:color="auto" w:fill="D9D9D9" w:themeFill="background1" w:themeFillShade="D9"/>
          </w:tcPr>
          <w:p w14:paraId="63B1F305" w14:textId="77777777" w:rsidR="00D230CF" w:rsidRPr="00984AD7" w:rsidRDefault="00D230CF" w:rsidP="005158D2">
            <w:pPr>
              <w:spacing w:line="360" w:lineRule="auto"/>
              <w:jc w:val="both"/>
              <w:rPr>
                <w:rFonts w:ascii="Arial" w:hAnsi="Arial" w:cs="Arial"/>
                <w:iCs/>
                <w:sz w:val="18"/>
                <w:szCs w:val="18"/>
              </w:rPr>
            </w:pPr>
          </w:p>
        </w:tc>
        <w:tc>
          <w:tcPr>
            <w:tcW w:w="1620" w:type="dxa"/>
            <w:shd w:val="clear" w:color="auto" w:fill="BDD6EE" w:themeFill="accent5" w:themeFillTint="66"/>
          </w:tcPr>
          <w:p w14:paraId="3CC4ED05" w14:textId="77777777" w:rsidR="00D230CF" w:rsidRPr="00984AD7" w:rsidRDefault="00D230CF" w:rsidP="005158D2">
            <w:pPr>
              <w:spacing w:line="360" w:lineRule="auto"/>
              <w:jc w:val="both"/>
              <w:rPr>
                <w:rFonts w:ascii="Arial" w:hAnsi="Arial" w:cs="Arial"/>
                <w:b/>
                <w:iCs/>
                <w:sz w:val="18"/>
                <w:szCs w:val="18"/>
              </w:rPr>
            </w:pPr>
            <w:r w:rsidRPr="00984AD7">
              <w:rPr>
                <w:rFonts w:ascii="Arial" w:hAnsi="Arial" w:cs="Arial"/>
                <w:b/>
                <w:iCs/>
                <w:sz w:val="18"/>
                <w:szCs w:val="18"/>
              </w:rPr>
              <w:t>Boys</w:t>
            </w:r>
          </w:p>
        </w:tc>
        <w:tc>
          <w:tcPr>
            <w:tcW w:w="1710" w:type="dxa"/>
            <w:shd w:val="clear" w:color="auto" w:fill="E3BCEF"/>
          </w:tcPr>
          <w:p w14:paraId="69C5A95D" w14:textId="77777777" w:rsidR="00D230CF" w:rsidRPr="00984AD7" w:rsidRDefault="00D230CF" w:rsidP="005158D2">
            <w:pPr>
              <w:spacing w:line="360" w:lineRule="auto"/>
              <w:jc w:val="both"/>
              <w:rPr>
                <w:rFonts w:ascii="Arial" w:hAnsi="Arial" w:cs="Arial"/>
                <w:b/>
                <w:iCs/>
                <w:sz w:val="18"/>
                <w:szCs w:val="18"/>
              </w:rPr>
            </w:pPr>
            <w:r w:rsidRPr="00984AD7">
              <w:rPr>
                <w:rFonts w:ascii="Arial" w:hAnsi="Arial" w:cs="Arial"/>
                <w:b/>
                <w:iCs/>
                <w:sz w:val="18"/>
                <w:szCs w:val="18"/>
              </w:rPr>
              <w:t>Girls</w:t>
            </w:r>
          </w:p>
        </w:tc>
        <w:tc>
          <w:tcPr>
            <w:tcW w:w="1713" w:type="dxa"/>
            <w:shd w:val="clear" w:color="auto" w:fill="BDD6EE" w:themeFill="accent5" w:themeFillTint="66"/>
          </w:tcPr>
          <w:p w14:paraId="5EFF38BD" w14:textId="77777777" w:rsidR="00D230CF" w:rsidRPr="00984AD7" w:rsidRDefault="00D230CF" w:rsidP="005158D2">
            <w:pPr>
              <w:spacing w:line="360" w:lineRule="auto"/>
              <w:jc w:val="both"/>
              <w:rPr>
                <w:rFonts w:ascii="Arial" w:hAnsi="Arial" w:cs="Arial"/>
                <w:b/>
                <w:iCs/>
                <w:sz w:val="18"/>
                <w:szCs w:val="18"/>
              </w:rPr>
            </w:pPr>
            <w:r w:rsidRPr="00984AD7">
              <w:rPr>
                <w:rFonts w:ascii="Arial" w:hAnsi="Arial" w:cs="Arial"/>
                <w:b/>
                <w:iCs/>
                <w:sz w:val="18"/>
                <w:szCs w:val="18"/>
              </w:rPr>
              <w:t>Boys</w:t>
            </w:r>
          </w:p>
        </w:tc>
        <w:tc>
          <w:tcPr>
            <w:tcW w:w="1701" w:type="dxa"/>
            <w:shd w:val="clear" w:color="auto" w:fill="E3BCEF"/>
          </w:tcPr>
          <w:p w14:paraId="00309058" w14:textId="77777777" w:rsidR="00D230CF" w:rsidRPr="00984AD7" w:rsidRDefault="00D230CF" w:rsidP="005158D2">
            <w:pPr>
              <w:spacing w:line="360" w:lineRule="auto"/>
              <w:jc w:val="both"/>
              <w:rPr>
                <w:rFonts w:ascii="Arial" w:hAnsi="Arial" w:cs="Arial"/>
                <w:b/>
                <w:iCs/>
                <w:sz w:val="18"/>
                <w:szCs w:val="18"/>
              </w:rPr>
            </w:pPr>
            <w:r w:rsidRPr="00984AD7">
              <w:rPr>
                <w:rFonts w:ascii="Arial" w:hAnsi="Arial" w:cs="Arial"/>
                <w:b/>
                <w:iCs/>
                <w:sz w:val="18"/>
                <w:szCs w:val="18"/>
              </w:rPr>
              <w:t>Girls</w:t>
            </w:r>
          </w:p>
        </w:tc>
      </w:tr>
      <w:tr w:rsidR="00D230CF" w:rsidRPr="00984AD7" w14:paraId="5163367E" w14:textId="77777777" w:rsidTr="005158D2">
        <w:trPr>
          <w:jc w:val="center"/>
        </w:trPr>
        <w:tc>
          <w:tcPr>
            <w:tcW w:w="1615" w:type="dxa"/>
            <w:shd w:val="clear" w:color="auto" w:fill="D9D9D9" w:themeFill="background1" w:themeFillShade="D9"/>
          </w:tcPr>
          <w:p w14:paraId="38B4701A" w14:textId="77777777" w:rsidR="00D230CF" w:rsidRPr="00984AD7" w:rsidRDefault="00D230CF" w:rsidP="005158D2">
            <w:pPr>
              <w:spacing w:line="360" w:lineRule="auto"/>
              <w:jc w:val="both"/>
              <w:rPr>
                <w:rFonts w:ascii="Arial" w:hAnsi="Arial" w:cs="Arial"/>
                <w:b/>
                <w:bCs/>
                <w:iCs/>
                <w:sz w:val="18"/>
                <w:szCs w:val="18"/>
              </w:rPr>
            </w:pPr>
            <w:r w:rsidRPr="00984AD7">
              <w:rPr>
                <w:rFonts w:ascii="Arial" w:hAnsi="Arial" w:cs="Arial"/>
                <w:b/>
                <w:bCs/>
                <w:iCs/>
                <w:sz w:val="18"/>
                <w:szCs w:val="18"/>
              </w:rPr>
              <w:t>&lt;9 years</w:t>
            </w:r>
            <w:r>
              <w:rPr>
                <w:rFonts w:ascii="Arial" w:hAnsi="Arial" w:cs="Arial"/>
                <w:b/>
                <w:bCs/>
                <w:iCs/>
                <w:sz w:val="18"/>
                <w:szCs w:val="18"/>
              </w:rPr>
              <w:t xml:space="preserve"> </w:t>
            </w:r>
            <w:r w:rsidRPr="00984AD7">
              <w:rPr>
                <w:rFonts w:ascii="Arial" w:hAnsi="Arial" w:cs="Arial"/>
                <w:b/>
                <w:bCs/>
                <w:iCs/>
                <w:sz w:val="18"/>
                <w:szCs w:val="18"/>
              </w:rPr>
              <w:t>old</w:t>
            </w:r>
          </w:p>
        </w:tc>
        <w:tc>
          <w:tcPr>
            <w:tcW w:w="1620" w:type="dxa"/>
            <w:shd w:val="clear" w:color="auto" w:fill="BDD6EE" w:themeFill="accent5" w:themeFillTint="66"/>
          </w:tcPr>
          <w:p w14:paraId="7D3D6085"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10</w:t>
            </w:r>
          </w:p>
        </w:tc>
        <w:tc>
          <w:tcPr>
            <w:tcW w:w="1710" w:type="dxa"/>
            <w:shd w:val="clear" w:color="auto" w:fill="E3BCEF"/>
          </w:tcPr>
          <w:p w14:paraId="36ACCEAB"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9</w:t>
            </w:r>
          </w:p>
        </w:tc>
        <w:tc>
          <w:tcPr>
            <w:tcW w:w="1713" w:type="dxa"/>
            <w:shd w:val="clear" w:color="auto" w:fill="BDD6EE" w:themeFill="accent5" w:themeFillTint="66"/>
          </w:tcPr>
          <w:p w14:paraId="1E8155CF"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104</w:t>
            </w:r>
          </w:p>
        </w:tc>
        <w:tc>
          <w:tcPr>
            <w:tcW w:w="1701" w:type="dxa"/>
            <w:shd w:val="clear" w:color="auto" w:fill="E3BCEF"/>
          </w:tcPr>
          <w:p w14:paraId="62C597F3"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75</w:t>
            </w:r>
          </w:p>
        </w:tc>
      </w:tr>
      <w:tr w:rsidR="00D230CF" w:rsidRPr="00984AD7" w14:paraId="3BAC823D" w14:textId="77777777" w:rsidTr="005158D2">
        <w:trPr>
          <w:jc w:val="center"/>
        </w:trPr>
        <w:tc>
          <w:tcPr>
            <w:tcW w:w="1615" w:type="dxa"/>
            <w:shd w:val="clear" w:color="auto" w:fill="D9D9D9" w:themeFill="background1" w:themeFillShade="D9"/>
          </w:tcPr>
          <w:p w14:paraId="662E6B38" w14:textId="77777777" w:rsidR="00D230CF" w:rsidRPr="00984AD7" w:rsidRDefault="00D230CF" w:rsidP="005158D2">
            <w:pPr>
              <w:spacing w:line="360" w:lineRule="auto"/>
              <w:jc w:val="both"/>
              <w:rPr>
                <w:rFonts w:ascii="Arial" w:hAnsi="Arial" w:cs="Arial"/>
                <w:b/>
                <w:bCs/>
                <w:iCs/>
                <w:sz w:val="18"/>
                <w:szCs w:val="18"/>
              </w:rPr>
            </w:pPr>
            <w:r w:rsidRPr="00984AD7">
              <w:rPr>
                <w:rFonts w:ascii="Arial" w:hAnsi="Arial" w:cs="Arial"/>
                <w:b/>
                <w:bCs/>
                <w:iCs/>
                <w:sz w:val="18"/>
                <w:szCs w:val="18"/>
              </w:rPr>
              <w:t>&gt;9 years</w:t>
            </w:r>
            <w:r>
              <w:rPr>
                <w:rFonts w:ascii="Arial" w:hAnsi="Arial" w:cs="Arial"/>
                <w:b/>
                <w:bCs/>
                <w:iCs/>
                <w:sz w:val="18"/>
                <w:szCs w:val="18"/>
              </w:rPr>
              <w:t xml:space="preserve"> </w:t>
            </w:r>
            <w:r w:rsidRPr="00984AD7">
              <w:rPr>
                <w:rFonts w:ascii="Arial" w:hAnsi="Arial" w:cs="Arial"/>
                <w:b/>
                <w:bCs/>
                <w:iCs/>
                <w:sz w:val="18"/>
                <w:szCs w:val="18"/>
              </w:rPr>
              <w:t>old</w:t>
            </w:r>
          </w:p>
        </w:tc>
        <w:tc>
          <w:tcPr>
            <w:tcW w:w="1620" w:type="dxa"/>
            <w:shd w:val="clear" w:color="auto" w:fill="BDD6EE" w:themeFill="accent5" w:themeFillTint="66"/>
          </w:tcPr>
          <w:p w14:paraId="1DD42F51"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3</w:t>
            </w:r>
          </w:p>
        </w:tc>
        <w:tc>
          <w:tcPr>
            <w:tcW w:w="1710" w:type="dxa"/>
            <w:shd w:val="clear" w:color="auto" w:fill="E3BCEF"/>
          </w:tcPr>
          <w:p w14:paraId="70280672"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4</w:t>
            </w:r>
          </w:p>
        </w:tc>
        <w:tc>
          <w:tcPr>
            <w:tcW w:w="1713" w:type="dxa"/>
            <w:shd w:val="clear" w:color="auto" w:fill="BDD6EE" w:themeFill="accent5" w:themeFillTint="66"/>
          </w:tcPr>
          <w:p w14:paraId="4A8C4351"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104</w:t>
            </w:r>
          </w:p>
        </w:tc>
        <w:tc>
          <w:tcPr>
            <w:tcW w:w="1701" w:type="dxa"/>
            <w:shd w:val="clear" w:color="auto" w:fill="E3BCEF"/>
          </w:tcPr>
          <w:p w14:paraId="01FF56AB"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112</w:t>
            </w:r>
          </w:p>
        </w:tc>
      </w:tr>
      <w:tr w:rsidR="00D230CF" w:rsidRPr="00984AD7" w14:paraId="29BAF6CE" w14:textId="77777777" w:rsidTr="005158D2">
        <w:trPr>
          <w:jc w:val="center"/>
        </w:trPr>
        <w:tc>
          <w:tcPr>
            <w:tcW w:w="1615" w:type="dxa"/>
            <w:shd w:val="clear" w:color="auto" w:fill="D9D9D9" w:themeFill="background1" w:themeFillShade="D9"/>
          </w:tcPr>
          <w:p w14:paraId="640D26C4" w14:textId="77777777" w:rsidR="00D230CF" w:rsidRPr="00984AD7" w:rsidRDefault="00D230CF" w:rsidP="005158D2">
            <w:pPr>
              <w:spacing w:line="360" w:lineRule="auto"/>
              <w:jc w:val="both"/>
              <w:rPr>
                <w:rFonts w:ascii="Arial" w:hAnsi="Arial" w:cs="Arial"/>
                <w:b/>
                <w:bCs/>
                <w:iCs/>
                <w:sz w:val="18"/>
                <w:szCs w:val="18"/>
              </w:rPr>
            </w:pPr>
            <w:r w:rsidRPr="00984AD7">
              <w:rPr>
                <w:rFonts w:ascii="Arial" w:hAnsi="Arial" w:cs="Arial"/>
                <w:b/>
                <w:bCs/>
                <w:iCs/>
                <w:sz w:val="18"/>
                <w:szCs w:val="18"/>
              </w:rPr>
              <w:t>TOTAL</w:t>
            </w:r>
          </w:p>
        </w:tc>
        <w:tc>
          <w:tcPr>
            <w:tcW w:w="1620" w:type="dxa"/>
            <w:shd w:val="clear" w:color="auto" w:fill="BDD6EE" w:themeFill="accent5" w:themeFillTint="66"/>
          </w:tcPr>
          <w:p w14:paraId="67951E6B"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13</w:t>
            </w:r>
          </w:p>
        </w:tc>
        <w:tc>
          <w:tcPr>
            <w:tcW w:w="1710" w:type="dxa"/>
            <w:shd w:val="clear" w:color="auto" w:fill="E3BCEF"/>
          </w:tcPr>
          <w:p w14:paraId="5EBCDA51"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13</w:t>
            </w:r>
          </w:p>
        </w:tc>
        <w:tc>
          <w:tcPr>
            <w:tcW w:w="1713" w:type="dxa"/>
            <w:shd w:val="clear" w:color="auto" w:fill="BDD6EE" w:themeFill="accent5" w:themeFillTint="66"/>
          </w:tcPr>
          <w:p w14:paraId="0E104167"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208</w:t>
            </w:r>
          </w:p>
        </w:tc>
        <w:tc>
          <w:tcPr>
            <w:tcW w:w="1701" w:type="dxa"/>
            <w:shd w:val="clear" w:color="auto" w:fill="E3BCEF"/>
          </w:tcPr>
          <w:p w14:paraId="20A9B615" w14:textId="77777777" w:rsidR="00D230CF" w:rsidRPr="00984AD7" w:rsidRDefault="00D230CF" w:rsidP="005158D2">
            <w:pPr>
              <w:spacing w:line="360" w:lineRule="auto"/>
              <w:jc w:val="both"/>
              <w:rPr>
                <w:rFonts w:ascii="Arial" w:hAnsi="Arial" w:cs="Arial"/>
                <w:iCs/>
                <w:sz w:val="18"/>
                <w:szCs w:val="18"/>
              </w:rPr>
            </w:pPr>
            <w:r w:rsidRPr="00984AD7">
              <w:rPr>
                <w:rFonts w:ascii="Arial" w:hAnsi="Arial" w:cs="Arial"/>
                <w:iCs/>
                <w:sz w:val="18"/>
                <w:szCs w:val="18"/>
              </w:rPr>
              <w:t>187</w:t>
            </w:r>
          </w:p>
        </w:tc>
      </w:tr>
    </w:tbl>
    <w:p w14:paraId="049B1900" w14:textId="77777777" w:rsidR="00D230CF" w:rsidRPr="00984AD7" w:rsidRDefault="00D230CF" w:rsidP="00D230CF">
      <w:pPr>
        <w:jc w:val="both"/>
        <w:rPr>
          <w:rFonts w:ascii="Arial" w:hAnsi="Arial" w:cs="Arial"/>
          <w:sz w:val="20"/>
          <w:szCs w:val="20"/>
        </w:rPr>
      </w:pPr>
      <w:r w:rsidRPr="00984AD7">
        <w:rPr>
          <w:rFonts w:ascii="Arial" w:hAnsi="Arial" w:cs="Arial"/>
          <w:sz w:val="20"/>
          <w:szCs w:val="20"/>
        </w:rPr>
        <w:t xml:space="preserve">Table 2. </w:t>
      </w:r>
      <w:r>
        <w:rPr>
          <w:rFonts w:ascii="Arial" w:hAnsi="Arial" w:cs="Arial"/>
          <w:sz w:val="20"/>
          <w:szCs w:val="20"/>
        </w:rPr>
        <w:t>Sex d</w:t>
      </w:r>
      <w:r w:rsidRPr="00984AD7">
        <w:rPr>
          <w:rFonts w:ascii="Arial" w:hAnsi="Arial" w:cs="Arial"/>
          <w:sz w:val="20"/>
          <w:szCs w:val="20"/>
        </w:rPr>
        <w:t>istribution of the study group and control group according to age subgroup.</w:t>
      </w:r>
    </w:p>
    <w:p w14:paraId="4D1AD883" w14:textId="77777777" w:rsidR="00D230CF" w:rsidRPr="00984AD7" w:rsidRDefault="00D230CF" w:rsidP="00D230CF">
      <w:pPr>
        <w:jc w:val="both"/>
        <w:rPr>
          <w:rFonts w:ascii="Arial" w:hAnsi="Arial" w:cs="Arial"/>
        </w:rPr>
      </w:pPr>
    </w:p>
    <w:p w14:paraId="19F0E652" w14:textId="77777777" w:rsidR="00D230CF" w:rsidRPr="00512830" w:rsidRDefault="00D230CF" w:rsidP="00D230CF">
      <w:pPr>
        <w:jc w:val="both"/>
        <w:rPr>
          <w:rFonts w:ascii="Arial" w:hAnsi="Arial" w:cs="Arial"/>
        </w:rPr>
      </w:pPr>
      <w:r>
        <w:rPr>
          <w:rFonts w:ascii="Arial" w:hAnsi="Arial" w:cs="Arial"/>
        </w:rPr>
        <w:t xml:space="preserve">Delayed </w:t>
      </w:r>
      <w:r w:rsidRPr="00984AD7">
        <w:rPr>
          <w:rFonts w:ascii="Arial" w:hAnsi="Arial" w:cs="Arial"/>
        </w:rPr>
        <w:t xml:space="preserve">exfoliation of primary molars and tooth development were </w:t>
      </w:r>
      <w:r>
        <w:rPr>
          <w:rFonts w:ascii="Arial" w:hAnsi="Arial" w:cs="Arial"/>
        </w:rPr>
        <w:t xml:space="preserve">observed </w:t>
      </w:r>
      <w:r w:rsidRPr="00984AD7">
        <w:rPr>
          <w:rFonts w:ascii="Arial" w:hAnsi="Arial" w:cs="Arial"/>
        </w:rPr>
        <w:t>in boys compared to girls in both the study group and the control group (p=0.05). In addition, a linear correlation with age and eruptive processes was also observed</w:t>
      </w:r>
      <w:r>
        <w:rPr>
          <w:rFonts w:ascii="Arial" w:hAnsi="Arial" w:cs="Arial"/>
        </w:rPr>
        <w:t>;</w:t>
      </w:r>
      <w:r w:rsidRPr="00984AD7">
        <w:rPr>
          <w:rFonts w:ascii="Arial" w:hAnsi="Arial" w:cs="Arial"/>
        </w:rPr>
        <w:t xml:space="preserve"> the older the subject was, the greater the dental development of the premolars and the greater the root resorption of the </w:t>
      </w:r>
      <w:r w:rsidRPr="00512830">
        <w:rPr>
          <w:rFonts w:ascii="Arial" w:hAnsi="Arial" w:cs="Arial"/>
        </w:rPr>
        <w:t>primary molars in both groups</w:t>
      </w:r>
      <w:r w:rsidRPr="005158D2">
        <w:rPr>
          <w:rFonts w:ascii="Arial" w:hAnsi="Arial" w:cs="Arial"/>
        </w:rPr>
        <w:t xml:space="preserve"> (Table 3)</w:t>
      </w:r>
      <w:r w:rsidRPr="00512830">
        <w:rPr>
          <w:rFonts w:ascii="Arial" w:hAnsi="Arial" w:cs="Arial"/>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1761"/>
        <w:gridCol w:w="1772"/>
        <w:gridCol w:w="265"/>
        <w:gridCol w:w="820"/>
        <w:gridCol w:w="801"/>
        <w:gridCol w:w="780"/>
      </w:tblGrid>
      <w:tr w:rsidR="00D230CF" w:rsidRPr="00512830" w14:paraId="7AAB815F" w14:textId="77777777" w:rsidTr="005158D2">
        <w:trPr>
          <w:trHeight w:val="319"/>
          <w:jc w:val="center"/>
        </w:trPr>
        <w:tc>
          <w:tcPr>
            <w:tcW w:w="7595" w:type="dxa"/>
            <w:gridSpan w:val="7"/>
            <w:tcBorders>
              <w:bottom w:val="single" w:sz="4" w:space="0" w:color="auto"/>
            </w:tcBorders>
            <w:shd w:val="clear" w:color="auto" w:fill="FFFFFF" w:themeFill="background1"/>
          </w:tcPr>
          <w:p w14:paraId="49C08B44" w14:textId="77777777" w:rsidR="00D230CF" w:rsidRPr="00512830" w:rsidRDefault="00D230CF" w:rsidP="005158D2">
            <w:pPr>
              <w:spacing w:before="40" w:after="40"/>
              <w:jc w:val="both"/>
              <w:rPr>
                <w:rFonts w:eastAsia="Calibri" w:cstheme="minorHAnsi"/>
                <w:color w:val="000000"/>
                <w:sz w:val="18"/>
                <w:szCs w:val="18"/>
              </w:rPr>
            </w:pPr>
          </w:p>
        </w:tc>
      </w:tr>
      <w:tr w:rsidR="00D230CF" w:rsidRPr="00512830" w14:paraId="34ADFD19" w14:textId="77777777" w:rsidTr="005158D2">
        <w:trPr>
          <w:trHeight w:val="292"/>
          <w:jc w:val="center"/>
        </w:trPr>
        <w:tc>
          <w:tcPr>
            <w:tcW w:w="1396" w:type="dxa"/>
            <w:vMerge w:val="restart"/>
            <w:shd w:val="clear" w:color="auto" w:fill="D9D9D9" w:themeFill="background1" w:themeFillShade="D9"/>
            <w:vAlign w:val="bottom"/>
          </w:tcPr>
          <w:p w14:paraId="208F1944" w14:textId="77777777" w:rsidR="00D230CF" w:rsidRPr="005158D2" w:rsidRDefault="00D230CF" w:rsidP="005158D2">
            <w:pPr>
              <w:spacing w:before="40" w:after="40"/>
              <w:jc w:val="both"/>
              <w:rPr>
                <w:b/>
                <w:bCs/>
                <w:i/>
                <w:iCs/>
                <w:sz w:val="16"/>
                <w:szCs w:val="16"/>
              </w:rPr>
            </w:pPr>
            <w:r w:rsidRPr="005158D2">
              <w:rPr>
                <w:b/>
                <w:bCs/>
                <w:i/>
                <w:iCs/>
                <w:sz w:val="16"/>
                <w:szCs w:val="16"/>
              </w:rPr>
              <w:lastRenderedPageBreak/>
              <w:t>Number of subjects</w:t>
            </w:r>
          </w:p>
        </w:tc>
        <w:tc>
          <w:tcPr>
            <w:tcW w:w="3533" w:type="dxa"/>
            <w:gridSpan w:val="2"/>
            <w:tcBorders>
              <w:top w:val="single" w:sz="4" w:space="0" w:color="auto"/>
              <w:bottom w:val="single" w:sz="4" w:space="0" w:color="auto"/>
            </w:tcBorders>
            <w:shd w:val="clear" w:color="auto" w:fill="D9D9D9" w:themeFill="background1" w:themeFillShade="D9"/>
            <w:vAlign w:val="center"/>
          </w:tcPr>
          <w:p w14:paraId="2CC91401" w14:textId="77777777" w:rsidR="00D230CF" w:rsidRPr="005158D2" w:rsidRDefault="00D230CF" w:rsidP="005158D2">
            <w:pPr>
              <w:spacing w:before="40" w:after="40"/>
              <w:jc w:val="both"/>
              <w:rPr>
                <w:sz w:val="16"/>
                <w:szCs w:val="16"/>
              </w:rPr>
            </w:pPr>
            <w:r w:rsidRPr="005158D2">
              <w:rPr>
                <w:sz w:val="16"/>
                <w:szCs w:val="16"/>
              </w:rPr>
              <w:t>Median/Mean (S.D.)</w:t>
            </w:r>
          </w:p>
        </w:tc>
        <w:tc>
          <w:tcPr>
            <w:tcW w:w="265" w:type="dxa"/>
            <w:vMerge w:val="restart"/>
            <w:shd w:val="clear" w:color="auto" w:fill="D9D9D9" w:themeFill="background1" w:themeFillShade="D9"/>
          </w:tcPr>
          <w:p w14:paraId="39113D16" w14:textId="77777777" w:rsidR="00D230CF" w:rsidRPr="005158D2" w:rsidRDefault="00D230CF" w:rsidP="005158D2">
            <w:pPr>
              <w:spacing w:before="40" w:after="40"/>
              <w:jc w:val="both"/>
              <w:rPr>
                <w:sz w:val="16"/>
                <w:szCs w:val="16"/>
              </w:rPr>
            </w:pPr>
          </w:p>
        </w:tc>
        <w:tc>
          <w:tcPr>
            <w:tcW w:w="1621" w:type="dxa"/>
            <w:gridSpan w:val="2"/>
            <w:tcBorders>
              <w:top w:val="single" w:sz="4" w:space="0" w:color="auto"/>
              <w:bottom w:val="single" w:sz="4" w:space="0" w:color="auto"/>
            </w:tcBorders>
            <w:shd w:val="clear" w:color="auto" w:fill="D9D9D9" w:themeFill="background1" w:themeFillShade="D9"/>
            <w:vAlign w:val="bottom"/>
          </w:tcPr>
          <w:p w14:paraId="65613CD9" w14:textId="77777777" w:rsidR="00D230CF" w:rsidRPr="005158D2" w:rsidRDefault="00D230CF" w:rsidP="005158D2">
            <w:pPr>
              <w:spacing w:before="40" w:after="40"/>
              <w:ind w:left="-113" w:right="-113"/>
              <w:jc w:val="both"/>
              <w:rPr>
                <w:i/>
                <w:sz w:val="16"/>
                <w:szCs w:val="16"/>
              </w:rPr>
            </w:pPr>
            <w:r w:rsidRPr="005158D2">
              <w:rPr>
                <w:i/>
                <w:sz w:val="16"/>
                <w:szCs w:val="16"/>
              </w:rPr>
              <w:t>Mann‒Whitney Test</w:t>
            </w:r>
          </w:p>
        </w:tc>
        <w:tc>
          <w:tcPr>
            <w:tcW w:w="777" w:type="dxa"/>
            <w:vMerge w:val="restart"/>
            <w:tcBorders>
              <w:top w:val="single" w:sz="4" w:space="0" w:color="auto"/>
            </w:tcBorders>
            <w:shd w:val="clear" w:color="auto" w:fill="D9D9D9" w:themeFill="background1" w:themeFillShade="D9"/>
            <w:vAlign w:val="center"/>
          </w:tcPr>
          <w:p w14:paraId="5E683216" w14:textId="77777777" w:rsidR="00D230CF" w:rsidRPr="005158D2" w:rsidRDefault="00D230CF" w:rsidP="005158D2">
            <w:pPr>
              <w:spacing w:before="40" w:after="40"/>
              <w:ind w:left="-57" w:right="-57"/>
              <w:jc w:val="both"/>
              <w:rPr>
                <w:b/>
                <w:sz w:val="14"/>
                <w:szCs w:val="16"/>
              </w:rPr>
            </w:pPr>
            <w:r w:rsidRPr="005158D2">
              <w:rPr>
                <w:b/>
                <w:sz w:val="14"/>
                <w:szCs w:val="16"/>
              </w:rPr>
              <w:t>Effect size: R2</w:t>
            </w:r>
          </w:p>
          <w:p w14:paraId="5E566D5A" w14:textId="77777777" w:rsidR="00D230CF" w:rsidRPr="005158D2" w:rsidRDefault="00D230CF" w:rsidP="005158D2">
            <w:pPr>
              <w:spacing w:before="40" w:after="40"/>
              <w:ind w:left="-57" w:right="-57"/>
              <w:jc w:val="both"/>
              <w:rPr>
                <w:b/>
                <w:sz w:val="16"/>
                <w:szCs w:val="16"/>
              </w:rPr>
            </w:pPr>
          </w:p>
        </w:tc>
      </w:tr>
      <w:tr w:rsidR="00D230CF" w:rsidRPr="00512830" w14:paraId="357A8647" w14:textId="77777777" w:rsidTr="005158D2">
        <w:trPr>
          <w:trHeight w:val="559"/>
          <w:jc w:val="center"/>
        </w:trPr>
        <w:tc>
          <w:tcPr>
            <w:tcW w:w="1396" w:type="dxa"/>
            <w:vMerge/>
            <w:tcBorders>
              <w:bottom w:val="single" w:sz="4" w:space="0" w:color="auto"/>
            </w:tcBorders>
            <w:shd w:val="clear" w:color="auto" w:fill="D9D9D9" w:themeFill="background1" w:themeFillShade="D9"/>
            <w:vAlign w:val="center"/>
          </w:tcPr>
          <w:p w14:paraId="11D37509" w14:textId="77777777" w:rsidR="00D230CF" w:rsidRPr="005158D2" w:rsidRDefault="00D230CF" w:rsidP="005158D2">
            <w:pPr>
              <w:spacing w:before="40" w:after="40"/>
              <w:jc w:val="both"/>
              <w:rPr>
                <w:sz w:val="16"/>
                <w:szCs w:val="16"/>
              </w:rPr>
            </w:pPr>
          </w:p>
        </w:tc>
        <w:tc>
          <w:tcPr>
            <w:tcW w:w="1761" w:type="dxa"/>
            <w:tcBorders>
              <w:top w:val="single" w:sz="4" w:space="0" w:color="auto"/>
              <w:bottom w:val="single" w:sz="4" w:space="0" w:color="auto"/>
            </w:tcBorders>
            <w:shd w:val="clear" w:color="auto" w:fill="D9D9D9" w:themeFill="background1" w:themeFillShade="D9"/>
            <w:vAlign w:val="center"/>
          </w:tcPr>
          <w:p w14:paraId="783DA2A6" w14:textId="77777777" w:rsidR="00D230CF" w:rsidRPr="005158D2" w:rsidRDefault="00D230CF" w:rsidP="005158D2">
            <w:pPr>
              <w:spacing w:before="40" w:after="40"/>
              <w:jc w:val="both"/>
              <w:rPr>
                <w:i/>
                <w:sz w:val="16"/>
                <w:szCs w:val="16"/>
              </w:rPr>
            </w:pPr>
            <w:r w:rsidRPr="005158D2">
              <w:rPr>
                <w:b/>
                <w:i/>
                <w:sz w:val="16"/>
                <w:szCs w:val="16"/>
              </w:rPr>
              <w:t>Study group</w:t>
            </w:r>
            <w:r w:rsidRPr="005158D2">
              <w:rPr>
                <w:i/>
                <w:sz w:val="16"/>
                <w:szCs w:val="16"/>
              </w:rPr>
              <w:t xml:space="preserve"> </w:t>
            </w:r>
          </w:p>
          <w:p w14:paraId="6F95A5F9" w14:textId="77777777" w:rsidR="00D230CF" w:rsidRPr="005158D2" w:rsidRDefault="00D230CF" w:rsidP="005158D2">
            <w:pPr>
              <w:spacing w:before="40" w:after="40"/>
              <w:jc w:val="both"/>
              <w:rPr>
                <w:sz w:val="16"/>
                <w:szCs w:val="16"/>
              </w:rPr>
            </w:pPr>
            <w:r w:rsidRPr="005158D2">
              <w:rPr>
                <w:sz w:val="16"/>
                <w:szCs w:val="16"/>
              </w:rPr>
              <w:t>13</w:t>
            </w:r>
          </w:p>
        </w:tc>
        <w:tc>
          <w:tcPr>
            <w:tcW w:w="1772" w:type="dxa"/>
            <w:tcBorders>
              <w:top w:val="single" w:sz="4" w:space="0" w:color="auto"/>
              <w:bottom w:val="single" w:sz="4" w:space="0" w:color="auto"/>
            </w:tcBorders>
            <w:shd w:val="clear" w:color="auto" w:fill="D9D9D9" w:themeFill="background1" w:themeFillShade="D9"/>
            <w:vAlign w:val="center"/>
          </w:tcPr>
          <w:p w14:paraId="5B0D4268" w14:textId="77777777" w:rsidR="00D230CF" w:rsidRPr="005158D2" w:rsidRDefault="00D230CF" w:rsidP="005158D2">
            <w:pPr>
              <w:spacing w:before="40" w:after="40"/>
              <w:jc w:val="both"/>
              <w:rPr>
                <w:sz w:val="16"/>
                <w:szCs w:val="16"/>
              </w:rPr>
            </w:pPr>
            <w:r w:rsidRPr="005158D2">
              <w:rPr>
                <w:b/>
                <w:i/>
                <w:sz w:val="16"/>
                <w:szCs w:val="16"/>
              </w:rPr>
              <w:t>Control group</w:t>
            </w:r>
          </w:p>
          <w:p w14:paraId="26B980DA" w14:textId="77777777" w:rsidR="00D230CF" w:rsidRPr="005158D2" w:rsidRDefault="00D230CF" w:rsidP="005158D2">
            <w:pPr>
              <w:spacing w:before="40" w:after="40"/>
              <w:jc w:val="both"/>
              <w:rPr>
                <w:sz w:val="16"/>
                <w:szCs w:val="16"/>
              </w:rPr>
            </w:pPr>
            <w:r w:rsidRPr="005158D2">
              <w:rPr>
                <w:sz w:val="16"/>
                <w:szCs w:val="16"/>
              </w:rPr>
              <w:t>208</w:t>
            </w:r>
          </w:p>
        </w:tc>
        <w:tc>
          <w:tcPr>
            <w:tcW w:w="265" w:type="dxa"/>
            <w:vMerge/>
            <w:tcBorders>
              <w:bottom w:val="single" w:sz="4" w:space="0" w:color="auto"/>
            </w:tcBorders>
            <w:shd w:val="clear" w:color="auto" w:fill="D9D9D9" w:themeFill="background1" w:themeFillShade="D9"/>
          </w:tcPr>
          <w:p w14:paraId="3590E258" w14:textId="77777777" w:rsidR="00D230CF" w:rsidRPr="005158D2" w:rsidRDefault="00D230CF" w:rsidP="005158D2">
            <w:pPr>
              <w:spacing w:before="40" w:after="40"/>
              <w:jc w:val="both"/>
              <w:rPr>
                <w:sz w:val="16"/>
                <w:szCs w:val="16"/>
              </w:rPr>
            </w:pPr>
          </w:p>
        </w:tc>
        <w:tc>
          <w:tcPr>
            <w:tcW w:w="820" w:type="dxa"/>
            <w:tcBorders>
              <w:top w:val="single" w:sz="4" w:space="0" w:color="auto"/>
              <w:bottom w:val="single" w:sz="4" w:space="0" w:color="auto"/>
            </w:tcBorders>
            <w:shd w:val="clear" w:color="auto" w:fill="D9D9D9" w:themeFill="background1" w:themeFillShade="D9"/>
            <w:vAlign w:val="center"/>
          </w:tcPr>
          <w:p w14:paraId="124817D3" w14:textId="77777777" w:rsidR="00D230CF" w:rsidRPr="005158D2" w:rsidRDefault="00D230CF" w:rsidP="005158D2">
            <w:pPr>
              <w:spacing w:before="40" w:after="40"/>
              <w:jc w:val="both"/>
              <w:rPr>
                <w:b/>
                <w:i/>
                <w:sz w:val="16"/>
                <w:szCs w:val="16"/>
              </w:rPr>
            </w:pPr>
            <w:r w:rsidRPr="005158D2">
              <w:rPr>
                <w:b/>
                <w:i/>
                <w:sz w:val="16"/>
                <w:szCs w:val="16"/>
              </w:rPr>
              <w:t>/Values/</w:t>
            </w:r>
          </w:p>
        </w:tc>
        <w:tc>
          <w:tcPr>
            <w:tcW w:w="800" w:type="dxa"/>
            <w:tcBorders>
              <w:top w:val="single" w:sz="4" w:space="0" w:color="auto"/>
              <w:bottom w:val="single" w:sz="4" w:space="0" w:color="auto"/>
            </w:tcBorders>
            <w:shd w:val="clear" w:color="auto" w:fill="D9D9D9" w:themeFill="background1" w:themeFillShade="D9"/>
            <w:vAlign w:val="center"/>
          </w:tcPr>
          <w:p w14:paraId="72C6A28F" w14:textId="77777777" w:rsidR="00D230CF" w:rsidRPr="005158D2" w:rsidRDefault="00D230CF" w:rsidP="005158D2">
            <w:pPr>
              <w:spacing w:before="40" w:after="40"/>
              <w:ind w:left="-57" w:right="-57"/>
              <w:jc w:val="both"/>
              <w:rPr>
                <w:b/>
                <w:i/>
                <w:sz w:val="16"/>
                <w:szCs w:val="16"/>
              </w:rPr>
            </w:pPr>
            <w:r w:rsidRPr="005158D2">
              <w:rPr>
                <w:b/>
                <w:i/>
                <w:sz w:val="16"/>
                <w:szCs w:val="16"/>
              </w:rPr>
              <w:t>P values</w:t>
            </w:r>
          </w:p>
        </w:tc>
        <w:tc>
          <w:tcPr>
            <w:tcW w:w="777" w:type="dxa"/>
            <w:vMerge/>
            <w:tcBorders>
              <w:bottom w:val="single" w:sz="4" w:space="0" w:color="auto"/>
            </w:tcBorders>
            <w:shd w:val="clear" w:color="auto" w:fill="D9D9D9" w:themeFill="background1" w:themeFillShade="D9"/>
          </w:tcPr>
          <w:p w14:paraId="49574EE5" w14:textId="77777777" w:rsidR="00D230CF" w:rsidRPr="005158D2" w:rsidRDefault="00D230CF" w:rsidP="005158D2">
            <w:pPr>
              <w:spacing w:before="40" w:after="40"/>
              <w:jc w:val="both"/>
              <w:rPr>
                <w:sz w:val="16"/>
                <w:szCs w:val="16"/>
              </w:rPr>
            </w:pPr>
          </w:p>
        </w:tc>
      </w:tr>
      <w:tr w:rsidR="00D230CF" w:rsidRPr="00512830" w14:paraId="6A238073" w14:textId="77777777" w:rsidTr="005158D2">
        <w:trPr>
          <w:trHeight w:val="332"/>
          <w:jc w:val="center"/>
        </w:trPr>
        <w:tc>
          <w:tcPr>
            <w:tcW w:w="1396" w:type="dxa"/>
            <w:shd w:val="clear" w:color="auto" w:fill="D9D9D9" w:themeFill="background1" w:themeFillShade="D9"/>
            <w:vAlign w:val="center"/>
          </w:tcPr>
          <w:p w14:paraId="387E1887" w14:textId="77777777" w:rsidR="00D230CF" w:rsidRPr="005158D2" w:rsidRDefault="00D230CF" w:rsidP="005158D2">
            <w:pPr>
              <w:spacing w:before="40" w:after="40"/>
              <w:jc w:val="both"/>
              <w:rPr>
                <w:b/>
                <w:i/>
                <w:sz w:val="16"/>
                <w:szCs w:val="16"/>
              </w:rPr>
            </w:pPr>
            <w:r w:rsidRPr="005158D2">
              <w:rPr>
                <w:b/>
                <w:i/>
                <w:sz w:val="16"/>
                <w:szCs w:val="16"/>
              </w:rPr>
              <w:t>DD TOTAL</w:t>
            </w:r>
          </w:p>
        </w:tc>
        <w:tc>
          <w:tcPr>
            <w:tcW w:w="1761" w:type="dxa"/>
            <w:tcBorders>
              <w:top w:val="single" w:sz="4" w:space="0" w:color="auto"/>
            </w:tcBorders>
            <w:vAlign w:val="center"/>
          </w:tcPr>
          <w:p w14:paraId="587FB880" w14:textId="77777777" w:rsidR="00D230CF" w:rsidRPr="005158D2" w:rsidRDefault="00D230CF" w:rsidP="005158D2">
            <w:pPr>
              <w:spacing w:before="80" w:after="40"/>
              <w:ind w:left="-57" w:right="28"/>
              <w:jc w:val="both"/>
              <w:rPr>
                <w:sz w:val="16"/>
                <w:szCs w:val="16"/>
              </w:rPr>
            </w:pPr>
            <w:r w:rsidRPr="005158D2">
              <w:rPr>
                <w:sz w:val="16"/>
                <w:szCs w:val="16"/>
              </w:rPr>
              <w:t>8.00/8.69 (2.81)</w:t>
            </w:r>
          </w:p>
        </w:tc>
        <w:tc>
          <w:tcPr>
            <w:tcW w:w="1772" w:type="dxa"/>
            <w:tcBorders>
              <w:top w:val="single" w:sz="4" w:space="0" w:color="auto"/>
            </w:tcBorders>
            <w:vAlign w:val="center"/>
          </w:tcPr>
          <w:p w14:paraId="36D5EEF3" w14:textId="77777777" w:rsidR="00D230CF" w:rsidRPr="005158D2" w:rsidRDefault="00D230CF" w:rsidP="005158D2">
            <w:pPr>
              <w:spacing w:before="80" w:after="40"/>
              <w:ind w:left="-57" w:right="28"/>
              <w:jc w:val="both"/>
              <w:rPr>
                <w:sz w:val="16"/>
                <w:szCs w:val="16"/>
              </w:rPr>
            </w:pPr>
            <w:r w:rsidRPr="005158D2">
              <w:rPr>
                <w:sz w:val="16"/>
                <w:szCs w:val="16"/>
              </w:rPr>
              <w:t>10.00/10.82 (2.44)</w:t>
            </w:r>
          </w:p>
        </w:tc>
        <w:tc>
          <w:tcPr>
            <w:tcW w:w="265" w:type="dxa"/>
            <w:tcBorders>
              <w:top w:val="single" w:sz="4" w:space="0" w:color="auto"/>
            </w:tcBorders>
            <w:vAlign w:val="center"/>
          </w:tcPr>
          <w:p w14:paraId="483CC20F" w14:textId="77777777" w:rsidR="00D230CF" w:rsidRPr="005158D2" w:rsidRDefault="00D230CF" w:rsidP="005158D2">
            <w:pPr>
              <w:spacing w:before="80" w:after="40"/>
              <w:ind w:left="-57" w:right="57"/>
              <w:jc w:val="both"/>
              <w:rPr>
                <w:sz w:val="16"/>
                <w:szCs w:val="16"/>
              </w:rPr>
            </w:pPr>
          </w:p>
        </w:tc>
        <w:tc>
          <w:tcPr>
            <w:tcW w:w="820" w:type="dxa"/>
            <w:tcBorders>
              <w:top w:val="single" w:sz="4" w:space="0" w:color="auto"/>
            </w:tcBorders>
            <w:vAlign w:val="center"/>
          </w:tcPr>
          <w:p w14:paraId="5DED94DC" w14:textId="77777777" w:rsidR="00D230CF" w:rsidRPr="005158D2" w:rsidRDefault="00D230CF" w:rsidP="005158D2">
            <w:pPr>
              <w:spacing w:before="80" w:after="40"/>
              <w:ind w:left="-57" w:right="-57"/>
              <w:jc w:val="both"/>
              <w:rPr>
                <w:sz w:val="16"/>
                <w:szCs w:val="16"/>
              </w:rPr>
            </w:pPr>
            <w:r w:rsidRPr="005158D2">
              <w:rPr>
                <w:sz w:val="16"/>
                <w:szCs w:val="16"/>
              </w:rPr>
              <w:t>2.98**</w:t>
            </w:r>
          </w:p>
        </w:tc>
        <w:tc>
          <w:tcPr>
            <w:tcW w:w="800" w:type="dxa"/>
            <w:tcBorders>
              <w:top w:val="single" w:sz="4" w:space="0" w:color="auto"/>
            </w:tcBorders>
            <w:vAlign w:val="center"/>
          </w:tcPr>
          <w:p w14:paraId="7E74ACD6" w14:textId="77777777" w:rsidR="00D230CF" w:rsidRPr="005158D2" w:rsidRDefault="00D230CF" w:rsidP="005158D2">
            <w:pPr>
              <w:spacing w:before="80" w:after="40"/>
              <w:ind w:left="-57" w:right="85"/>
              <w:jc w:val="both"/>
              <w:rPr>
                <w:sz w:val="16"/>
                <w:szCs w:val="16"/>
              </w:rPr>
            </w:pPr>
            <w:r w:rsidRPr="005158D2">
              <w:rPr>
                <w:sz w:val="16"/>
                <w:szCs w:val="16"/>
              </w:rPr>
              <w:t>.003</w:t>
            </w:r>
          </w:p>
        </w:tc>
        <w:tc>
          <w:tcPr>
            <w:tcW w:w="777" w:type="dxa"/>
            <w:tcBorders>
              <w:top w:val="single" w:sz="4" w:space="0" w:color="auto"/>
              <w:left w:val="nil"/>
            </w:tcBorders>
            <w:vAlign w:val="center"/>
          </w:tcPr>
          <w:p w14:paraId="5D1783AE" w14:textId="77777777" w:rsidR="00D230CF" w:rsidRPr="005158D2" w:rsidRDefault="00D230CF" w:rsidP="005158D2">
            <w:pPr>
              <w:spacing w:before="80" w:after="40"/>
              <w:ind w:left="-57" w:right="57"/>
              <w:jc w:val="both"/>
              <w:rPr>
                <w:sz w:val="16"/>
                <w:szCs w:val="16"/>
              </w:rPr>
            </w:pPr>
            <w:r w:rsidRPr="005158D2">
              <w:rPr>
                <w:sz w:val="16"/>
                <w:szCs w:val="16"/>
              </w:rPr>
              <w:t>.040</w:t>
            </w:r>
          </w:p>
        </w:tc>
      </w:tr>
      <w:tr w:rsidR="00D230CF" w:rsidRPr="00512830" w14:paraId="62391CC8" w14:textId="77777777" w:rsidTr="005158D2">
        <w:trPr>
          <w:trHeight w:val="292"/>
          <w:jc w:val="center"/>
        </w:trPr>
        <w:tc>
          <w:tcPr>
            <w:tcW w:w="1396" w:type="dxa"/>
            <w:shd w:val="clear" w:color="auto" w:fill="D9D9D9" w:themeFill="background1" w:themeFillShade="D9"/>
            <w:vAlign w:val="center"/>
          </w:tcPr>
          <w:p w14:paraId="6F03BE99" w14:textId="77777777" w:rsidR="00D230CF" w:rsidRPr="005158D2" w:rsidRDefault="00D230CF" w:rsidP="005158D2">
            <w:pPr>
              <w:spacing w:before="40" w:after="40"/>
              <w:jc w:val="both"/>
              <w:rPr>
                <w:b/>
                <w:i/>
                <w:sz w:val="16"/>
                <w:szCs w:val="16"/>
              </w:rPr>
            </w:pPr>
            <w:r w:rsidRPr="005158D2">
              <w:rPr>
                <w:b/>
                <w:i/>
                <w:sz w:val="16"/>
                <w:szCs w:val="16"/>
              </w:rPr>
              <w:t>DD 3.4</w:t>
            </w:r>
          </w:p>
        </w:tc>
        <w:tc>
          <w:tcPr>
            <w:tcW w:w="1761" w:type="dxa"/>
            <w:vAlign w:val="center"/>
          </w:tcPr>
          <w:p w14:paraId="7DB3F953" w14:textId="77777777" w:rsidR="00D230CF" w:rsidRPr="005158D2" w:rsidRDefault="00D230CF" w:rsidP="005158D2">
            <w:pPr>
              <w:spacing w:before="40" w:after="40"/>
              <w:ind w:left="-57" w:right="28"/>
              <w:jc w:val="both"/>
              <w:rPr>
                <w:sz w:val="16"/>
                <w:szCs w:val="16"/>
              </w:rPr>
            </w:pPr>
            <w:r w:rsidRPr="005158D2">
              <w:rPr>
                <w:sz w:val="16"/>
                <w:szCs w:val="16"/>
              </w:rPr>
              <w:t>4.00/4.62 (1.32)</w:t>
            </w:r>
          </w:p>
        </w:tc>
        <w:tc>
          <w:tcPr>
            <w:tcW w:w="1772" w:type="dxa"/>
            <w:vAlign w:val="center"/>
          </w:tcPr>
          <w:p w14:paraId="7C70EE31" w14:textId="77777777" w:rsidR="00D230CF" w:rsidRPr="005158D2" w:rsidRDefault="00D230CF" w:rsidP="005158D2">
            <w:pPr>
              <w:spacing w:before="40" w:after="40"/>
              <w:ind w:left="-57" w:right="28"/>
              <w:jc w:val="both"/>
              <w:rPr>
                <w:sz w:val="16"/>
                <w:szCs w:val="16"/>
              </w:rPr>
            </w:pPr>
            <w:r w:rsidRPr="005158D2">
              <w:rPr>
                <w:sz w:val="16"/>
                <w:szCs w:val="16"/>
              </w:rPr>
              <w:t>5.00/5.64 (1.21)</w:t>
            </w:r>
          </w:p>
        </w:tc>
        <w:tc>
          <w:tcPr>
            <w:tcW w:w="265" w:type="dxa"/>
            <w:vAlign w:val="center"/>
          </w:tcPr>
          <w:p w14:paraId="136ED68C" w14:textId="77777777" w:rsidR="00D230CF" w:rsidRPr="005158D2" w:rsidRDefault="00D230CF" w:rsidP="005158D2">
            <w:pPr>
              <w:spacing w:before="40" w:after="40"/>
              <w:ind w:left="-57" w:right="57"/>
              <w:jc w:val="both"/>
              <w:rPr>
                <w:sz w:val="16"/>
                <w:szCs w:val="16"/>
              </w:rPr>
            </w:pPr>
          </w:p>
        </w:tc>
        <w:tc>
          <w:tcPr>
            <w:tcW w:w="820" w:type="dxa"/>
            <w:vAlign w:val="center"/>
          </w:tcPr>
          <w:p w14:paraId="1E297F5F" w14:textId="77777777" w:rsidR="00D230CF" w:rsidRPr="005158D2" w:rsidRDefault="00D230CF" w:rsidP="005158D2">
            <w:pPr>
              <w:spacing w:before="40" w:after="40"/>
              <w:ind w:left="-57" w:right="-57"/>
              <w:jc w:val="both"/>
              <w:rPr>
                <w:sz w:val="16"/>
                <w:szCs w:val="16"/>
              </w:rPr>
            </w:pPr>
            <w:r w:rsidRPr="005158D2">
              <w:rPr>
                <w:sz w:val="16"/>
                <w:szCs w:val="16"/>
              </w:rPr>
              <w:t>2.91**</w:t>
            </w:r>
          </w:p>
        </w:tc>
        <w:tc>
          <w:tcPr>
            <w:tcW w:w="800" w:type="dxa"/>
            <w:vAlign w:val="center"/>
          </w:tcPr>
          <w:p w14:paraId="39081011" w14:textId="77777777" w:rsidR="00D230CF" w:rsidRPr="005158D2" w:rsidRDefault="00D230CF" w:rsidP="005158D2">
            <w:pPr>
              <w:spacing w:before="40" w:after="40"/>
              <w:ind w:left="-57" w:right="85"/>
              <w:jc w:val="both"/>
              <w:rPr>
                <w:sz w:val="16"/>
                <w:szCs w:val="16"/>
              </w:rPr>
            </w:pPr>
            <w:r w:rsidRPr="005158D2">
              <w:rPr>
                <w:sz w:val="16"/>
                <w:szCs w:val="16"/>
              </w:rPr>
              <w:t>.004</w:t>
            </w:r>
          </w:p>
        </w:tc>
        <w:tc>
          <w:tcPr>
            <w:tcW w:w="777" w:type="dxa"/>
            <w:tcBorders>
              <w:left w:val="nil"/>
            </w:tcBorders>
            <w:vAlign w:val="center"/>
          </w:tcPr>
          <w:p w14:paraId="055D2AA1" w14:textId="77777777" w:rsidR="00D230CF" w:rsidRPr="005158D2" w:rsidRDefault="00D230CF" w:rsidP="005158D2">
            <w:pPr>
              <w:spacing w:before="40" w:after="40"/>
              <w:ind w:left="-57" w:right="57"/>
              <w:jc w:val="both"/>
              <w:rPr>
                <w:sz w:val="16"/>
                <w:szCs w:val="16"/>
              </w:rPr>
            </w:pPr>
            <w:r w:rsidRPr="005158D2">
              <w:rPr>
                <w:sz w:val="16"/>
                <w:szCs w:val="16"/>
              </w:rPr>
              <w:t>.038</w:t>
            </w:r>
          </w:p>
        </w:tc>
      </w:tr>
      <w:tr w:rsidR="00D230CF" w:rsidRPr="00512830" w14:paraId="07E2DA9F" w14:textId="77777777" w:rsidTr="005158D2">
        <w:trPr>
          <w:trHeight w:val="292"/>
          <w:jc w:val="center"/>
        </w:trPr>
        <w:tc>
          <w:tcPr>
            <w:tcW w:w="1396" w:type="dxa"/>
            <w:tcBorders>
              <w:bottom w:val="single" w:sz="4" w:space="0" w:color="auto"/>
            </w:tcBorders>
            <w:shd w:val="clear" w:color="auto" w:fill="D9D9D9" w:themeFill="background1" w:themeFillShade="D9"/>
            <w:vAlign w:val="center"/>
          </w:tcPr>
          <w:p w14:paraId="44120AA2" w14:textId="77777777" w:rsidR="00D230CF" w:rsidRPr="005158D2" w:rsidRDefault="00D230CF" w:rsidP="005158D2">
            <w:pPr>
              <w:spacing w:before="40" w:after="40"/>
              <w:jc w:val="both"/>
              <w:rPr>
                <w:b/>
                <w:i/>
                <w:sz w:val="16"/>
                <w:szCs w:val="16"/>
              </w:rPr>
            </w:pPr>
            <w:r w:rsidRPr="005158D2">
              <w:rPr>
                <w:b/>
                <w:i/>
                <w:sz w:val="16"/>
                <w:szCs w:val="16"/>
              </w:rPr>
              <w:t>DD 3.5</w:t>
            </w:r>
          </w:p>
        </w:tc>
        <w:tc>
          <w:tcPr>
            <w:tcW w:w="1761" w:type="dxa"/>
            <w:tcBorders>
              <w:bottom w:val="single" w:sz="4" w:space="0" w:color="auto"/>
            </w:tcBorders>
            <w:vAlign w:val="center"/>
          </w:tcPr>
          <w:p w14:paraId="032ECADD" w14:textId="77777777" w:rsidR="00D230CF" w:rsidRPr="005158D2" w:rsidRDefault="00D230CF" w:rsidP="005158D2">
            <w:pPr>
              <w:spacing w:before="40" w:after="40"/>
              <w:ind w:left="-57" w:right="28"/>
              <w:jc w:val="both"/>
              <w:rPr>
                <w:sz w:val="16"/>
                <w:szCs w:val="16"/>
              </w:rPr>
            </w:pPr>
            <w:r w:rsidRPr="005158D2">
              <w:rPr>
                <w:sz w:val="16"/>
                <w:szCs w:val="16"/>
              </w:rPr>
              <w:t>4.00/4.08 (1.55)</w:t>
            </w:r>
          </w:p>
        </w:tc>
        <w:tc>
          <w:tcPr>
            <w:tcW w:w="1772" w:type="dxa"/>
            <w:tcBorders>
              <w:bottom w:val="single" w:sz="4" w:space="0" w:color="auto"/>
            </w:tcBorders>
            <w:vAlign w:val="center"/>
          </w:tcPr>
          <w:p w14:paraId="352923E1" w14:textId="77777777" w:rsidR="00D230CF" w:rsidRPr="005158D2" w:rsidRDefault="00D230CF" w:rsidP="005158D2">
            <w:pPr>
              <w:spacing w:before="40" w:after="40"/>
              <w:ind w:left="-57" w:right="28"/>
              <w:jc w:val="both"/>
              <w:rPr>
                <w:sz w:val="16"/>
                <w:szCs w:val="16"/>
              </w:rPr>
            </w:pPr>
            <w:r w:rsidRPr="005158D2">
              <w:rPr>
                <w:sz w:val="16"/>
                <w:szCs w:val="16"/>
              </w:rPr>
              <w:t>5.00/5.18 (1.30)</w:t>
            </w:r>
          </w:p>
        </w:tc>
        <w:tc>
          <w:tcPr>
            <w:tcW w:w="265" w:type="dxa"/>
            <w:tcBorders>
              <w:bottom w:val="single" w:sz="4" w:space="0" w:color="auto"/>
            </w:tcBorders>
            <w:vAlign w:val="center"/>
          </w:tcPr>
          <w:p w14:paraId="06522CEF" w14:textId="77777777" w:rsidR="00D230CF" w:rsidRPr="005158D2" w:rsidRDefault="00D230CF" w:rsidP="005158D2">
            <w:pPr>
              <w:spacing w:before="40" w:after="40"/>
              <w:ind w:left="-57" w:right="57"/>
              <w:jc w:val="both"/>
              <w:rPr>
                <w:sz w:val="16"/>
                <w:szCs w:val="16"/>
              </w:rPr>
            </w:pPr>
          </w:p>
        </w:tc>
        <w:tc>
          <w:tcPr>
            <w:tcW w:w="820" w:type="dxa"/>
            <w:tcBorders>
              <w:bottom w:val="single" w:sz="4" w:space="0" w:color="auto"/>
            </w:tcBorders>
            <w:vAlign w:val="center"/>
          </w:tcPr>
          <w:p w14:paraId="19928E2A" w14:textId="77777777" w:rsidR="00D230CF" w:rsidRPr="005158D2" w:rsidRDefault="00D230CF" w:rsidP="005158D2">
            <w:pPr>
              <w:spacing w:before="40" w:after="40"/>
              <w:ind w:left="-57" w:right="-57"/>
              <w:jc w:val="both"/>
              <w:rPr>
                <w:sz w:val="16"/>
                <w:szCs w:val="16"/>
              </w:rPr>
            </w:pPr>
            <w:r w:rsidRPr="005158D2">
              <w:rPr>
                <w:sz w:val="16"/>
                <w:szCs w:val="16"/>
              </w:rPr>
              <w:t>2.86**</w:t>
            </w:r>
          </w:p>
        </w:tc>
        <w:tc>
          <w:tcPr>
            <w:tcW w:w="800" w:type="dxa"/>
            <w:tcBorders>
              <w:bottom w:val="single" w:sz="4" w:space="0" w:color="auto"/>
            </w:tcBorders>
            <w:vAlign w:val="center"/>
          </w:tcPr>
          <w:p w14:paraId="2664A3B9" w14:textId="77777777" w:rsidR="00D230CF" w:rsidRPr="005158D2" w:rsidRDefault="00D230CF" w:rsidP="005158D2">
            <w:pPr>
              <w:spacing w:before="40" w:after="40"/>
              <w:ind w:left="-57" w:right="85"/>
              <w:jc w:val="both"/>
              <w:rPr>
                <w:sz w:val="16"/>
                <w:szCs w:val="16"/>
              </w:rPr>
            </w:pPr>
            <w:r w:rsidRPr="005158D2">
              <w:rPr>
                <w:sz w:val="16"/>
                <w:szCs w:val="16"/>
              </w:rPr>
              <w:t>.004</w:t>
            </w:r>
          </w:p>
        </w:tc>
        <w:tc>
          <w:tcPr>
            <w:tcW w:w="777" w:type="dxa"/>
            <w:tcBorders>
              <w:left w:val="nil"/>
              <w:bottom w:val="single" w:sz="4" w:space="0" w:color="auto"/>
            </w:tcBorders>
            <w:vAlign w:val="center"/>
          </w:tcPr>
          <w:p w14:paraId="7DE9A81A" w14:textId="77777777" w:rsidR="00D230CF" w:rsidRPr="005158D2" w:rsidRDefault="00D230CF" w:rsidP="005158D2">
            <w:pPr>
              <w:spacing w:before="40" w:after="40"/>
              <w:ind w:left="-57" w:right="57"/>
              <w:jc w:val="both"/>
              <w:rPr>
                <w:sz w:val="16"/>
                <w:szCs w:val="16"/>
              </w:rPr>
            </w:pPr>
            <w:r w:rsidRPr="005158D2">
              <w:rPr>
                <w:sz w:val="16"/>
                <w:szCs w:val="16"/>
              </w:rPr>
              <w:t>.038</w:t>
            </w:r>
          </w:p>
        </w:tc>
      </w:tr>
      <w:tr w:rsidR="00D230CF" w:rsidRPr="00512830" w14:paraId="33DFF619" w14:textId="77777777" w:rsidTr="005158D2">
        <w:trPr>
          <w:trHeight w:val="292"/>
          <w:jc w:val="center"/>
        </w:trPr>
        <w:tc>
          <w:tcPr>
            <w:tcW w:w="1396" w:type="dxa"/>
            <w:tcBorders>
              <w:top w:val="single" w:sz="4" w:space="0" w:color="auto"/>
            </w:tcBorders>
            <w:shd w:val="clear" w:color="auto" w:fill="D9D9D9" w:themeFill="background1" w:themeFillShade="D9"/>
            <w:vAlign w:val="center"/>
          </w:tcPr>
          <w:p w14:paraId="24E9ABE7" w14:textId="77777777" w:rsidR="00D230CF" w:rsidRPr="005158D2" w:rsidRDefault="00D230CF" w:rsidP="005158D2">
            <w:pPr>
              <w:spacing w:before="40" w:after="40"/>
              <w:jc w:val="both"/>
              <w:rPr>
                <w:b/>
                <w:i/>
                <w:sz w:val="16"/>
                <w:szCs w:val="16"/>
              </w:rPr>
            </w:pPr>
            <w:r w:rsidRPr="005158D2">
              <w:rPr>
                <w:b/>
                <w:i/>
                <w:sz w:val="16"/>
                <w:szCs w:val="16"/>
              </w:rPr>
              <w:t>RR TOTAL</w:t>
            </w:r>
          </w:p>
        </w:tc>
        <w:tc>
          <w:tcPr>
            <w:tcW w:w="1761" w:type="dxa"/>
            <w:tcBorders>
              <w:top w:val="single" w:sz="4" w:space="0" w:color="auto"/>
            </w:tcBorders>
            <w:vAlign w:val="center"/>
          </w:tcPr>
          <w:p w14:paraId="337481DA" w14:textId="77777777" w:rsidR="00D230CF" w:rsidRPr="005158D2" w:rsidRDefault="00D230CF" w:rsidP="005158D2">
            <w:pPr>
              <w:spacing w:before="40" w:after="40"/>
              <w:ind w:left="-57" w:right="28"/>
              <w:jc w:val="both"/>
              <w:rPr>
                <w:sz w:val="16"/>
                <w:szCs w:val="16"/>
              </w:rPr>
            </w:pPr>
            <w:r w:rsidRPr="005158D2">
              <w:rPr>
                <w:sz w:val="16"/>
                <w:szCs w:val="16"/>
              </w:rPr>
              <w:t>6.00/6.85 (3.08)</w:t>
            </w:r>
          </w:p>
        </w:tc>
        <w:tc>
          <w:tcPr>
            <w:tcW w:w="1772" w:type="dxa"/>
            <w:tcBorders>
              <w:top w:val="single" w:sz="4" w:space="0" w:color="auto"/>
            </w:tcBorders>
            <w:vAlign w:val="center"/>
          </w:tcPr>
          <w:p w14:paraId="17A6663C" w14:textId="77777777" w:rsidR="00D230CF" w:rsidRPr="005158D2" w:rsidRDefault="00D230CF" w:rsidP="005158D2">
            <w:pPr>
              <w:spacing w:before="40" w:after="40"/>
              <w:ind w:left="-57" w:right="28"/>
              <w:jc w:val="both"/>
              <w:rPr>
                <w:sz w:val="16"/>
                <w:szCs w:val="16"/>
              </w:rPr>
            </w:pPr>
            <w:r w:rsidRPr="005158D2">
              <w:rPr>
                <w:sz w:val="16"/>
                <w:szCs w:val="16"/>
              </w:rPr>
              <w:t>12.00/10.50 (4.73)</w:t>
            </w:r>
          </w:p>
        </w:tc>
        <w:tc>
          <w:tcPr>
            <w:tcW w:w="265" w:type="dxa"/>
            <w:tcBorders>
              <w:top w:val="single" w:sz="4" w:space="0" w:color="auto"/>
            </w:tcBorders>
            <w:vAlign w:val="center"/>
          </w:tcPr>
          <w:p w14:paraId="65ACBDB2" w14:textId="77777777" w:rsidR="00D230CF" w:rsidRPr="005158D2" w:rsidRDefault="00D230CF" w:rsidP="005158D2">
            <w:pPr>
              <w:spacing w:before="40" w:after="40"/>
              <w:ind w:left="-57" w:right="57"/>
              <w:jc w:val="both"/>
              <w:rPr>
                <w:sz w:val="16"/>
                <w:szCs w:val="16"/>
              </w:rPr>
            </w:pPr>
          </w:p>
        </w:tc>
        <w:tc>
          <w:tcPr>
            <w:tcW w:w="820" w:type="dxa"/>
            <w:tcBorders>
              <w:top w:val="single" w:sz="4" w:space="0" w:color="auto"/>
            </w:tcBorders>
            <w:vAlign w:val="center"/>
          </w:tcPr>
          <w:p w14:paraId="2EF654D2" w14:textId="77777777" w:rsidR="00D230CF" w:rsidRPr="005158D2" w:rsidRDefault="00D230CF" w:rsidP="005158D2">
            <w:pPr>
              <w:spacing w:before="40" w:after="40"/>
              <w:ind w:left="-57" w:right="-57"/>
              <w:jc w:val="both"/>
              <w:rPr>
                <w:sz w:val="16"/>
                <w:szCs w:val="16"/>
              </w:rPr>
            </w:pPr>
            <w:r w:rsidRPr="005158D2">
              <w:rPr>
                <w:sz w:val="16"/>
                <w:szCs w:val="16"/>
              </w:rPr>
              <w:t>2.32 *</w:t>
            </w:r>
          </w:p>
        </w:tc>
        <w:tc>
          <w:tcPr>
            <w:tcW w:w="800" w:type="dxa"/>
            <w:tcBorders>
              <w:top w:val="single" w:sz="4" w:space="0" w:color="auto"/>
            </w:tcBorders>
            <w:vAlign w:val="center"/>
          </w:tcPr>
          <w:p w14:paraId="3B20B922" w14:textId="77777777" w:rsidR="00D230CF" w:rsidRPr="005158D2" w:rsidRDefault="00D230CF" w:rsidP="005158D2">
            <w:pPr>
              <w:spacing w:before="40" w:after="40"/>
              <w:ind w:left="-57" w:right="85"/>
              <w:jc w:val="both"/>
              <w:rPr>
                <w:sz w:val="16"/>
                <w:szCs w:val="16"/>
              </w:rPr>
            </w:pPr>
            <w:r w:rsidRPr="005158D2">
              <w:rPr>
                <w:sz w:val="16"/>
                <w:szCs w:val="16"/>
              </w:rPr>
              <w:t>.020</w:t>
            </w:r>
          </w:p>
        </w:tc>
        <w:tc>
          <w:tcPr>
            <w:tcW w:w="777" w:type="dxa"/>
            <w:tcBorders>
              <w:top w:val="single" w:sz="4" w:space="0" w:color="auto"/>
              <w:left w:val="nil"/>
            </w:tcBorders>
            <w:vAlign w:val="center"/>
          </w:tcPr>
          <w:p w14:paraId="716B13B5" w14:textId="77777777" w:rsidR="00D230CF" w:rsidRPr="005158D2" w:rsidRDefault="00D230CF" w:rsidP="005158D2">
            <w:pPr>
              <w:spacing w:before="40" w:after="40"/>
              <w:ind w:left="-57" w:right="57"/>
              <w:jc w:val="both"/>
              <w:rPr>
                <w:sz w:val="16"/>
                <w:szCs w:val="16"/>
              </w:rPr>
            </w:pPr>
            <w:r w:rsidRPr="005158D2">
              <w:rPr>
                <w:sz w:val="16"/>
                <w:szCs w:val="16"/>
              </w:rPr>
              <w:t>.033</w:t>
            </w:r>
          </w:p>
        </w:tc>
      </w:tr>
      <w:tr w:rsidR="00D230CF" w:rsidRPr="00512830" w14:paraId="56743DEA" w14:textId="77777777" w:rsidTr="005158D2">
        <w:trPr>
          <w:trHeight w:val="306"/>
          <w:jc w:val="center"/>
        </w:trPr>
        <w:tc>
          <w:tcPr>
            <w:tcW w:w="1396" w:type="dxa"/>
            <w:shd w:val="clear" w:color="auto" w:fill="D9D9D9" w:themeFill="background1" w:themeFillShade="D9"/>
            <w:vAlign w:val="center"/>
          </w:tcPr>
          <w:p w14:paraId="31F0F3ED" w14:textId="77777777" w:rsidR="00D230CF" w:rsidRPr="005158D2" w:rsidRDefault="00D230CF" w:rsidP="005158D2">
            <w:pPr>
              <w:spacing w:before="40" w:after="40"/>
              <w:jc w:val="both"/>
              <w:rPr>
                <w:b/>
                <w:i/>
                <w:sz w:val="16"/>
                <w:szCs w:val="16"/>
              </w:rPr>
            </w:pPr>
            <w:r w:rsidRPr="005158D2">
              <w:rPr>
                <w:b/>
                <w:i/>
                <w:sz w:val="16"/>
                <w:szCs w:val="16"/>
              </w:rPr>
              <w:t>RR 7.4</w:t>
            </w:r>
          </w:p>
        </w:tc>
        <w:tc>
          <w:tcPr>
            <w:tcW w:w="1761" w:type="dxa"/>
            <w:vAlign w:val="center"/>
          </w:tcPr>
          <w:p w14:paraId="03CA9295" w14:textId="77777777" w:rsidR="00D230CF" w:rsidRPr="005158D2" w:rsidRDefault="00D230CF" w:rsidP="005158D2">
            <w:pPr>
              <w:spacing w:before="40" w:after="40"/>
              <w:ind w:left="-57" w:right="28"/>
              <w:jc w:val="both"/>
              <w:rPr>
                <w:sz w:val="16"/>
                <w:szCs w:val="16"/>
              </w:rPr>
            </w:pPr>
            <w:r w:rsidRPr="005158D2">
              <w:rPr>
                <w:sz w:val="16"/>
                <w:szCs w:val="16"/>
              </w:rPr>
              <w:t>4.00/3.77 (1.64)</w:t>
            </w:r>
          </w:p>
        </w:tc>
        <w:tc>
          <w:tcPr>
            <w:tcW w:w="1772" w:type="dxa"/>
            <w:vAlign w:val="center"/>
          </w:tcPr>
          <w:p w14:paraId="0D661C8C" w14:textId="77777777" w:rsidR="00D230CF" w:rsidRPr="005158D2" w:rsidRDefault="00D230CF" w:rsidP="005158D2">
            <w:pPr>
              <w:spacing w:before="40" w:after="40"/>
              <w:ind w:left="-57" w:right="28"/>
              <w:jc w:val="both"/>
              <w:rPr>
                <w:sz w:val="16"/>
                <w:szCs w:val="16"/>
              </w:rPr>
            </w:pPr>
            <w:r w:rsidRPr="005158D2">
              <w:rPr>
                <w:sz w:val="16"/>
                <w:szCs w:val="16"/>
              </w:rPr>
              <w:t>6.00/5.67 (2.43)</w:t>
            </w:r>
          </w:p>
        </w:tc>
        <w:tc>
          <w:tcPr>
            <w:tcW w:w="265" w:type="dxa"/>
            <w:vAlign w:val="center"/>
          </w:tcPr>
          <w:p w14:paraId="2161E61A" w14:textId="77777777" w:rsidR="00D230CF" w:rsidRPr="005158D2" w:rsidRDefault="00D230CF" w:rsidP="005158D2">
            <w:pPr>
              <w:spacing w:before="40" w:after="40"/>
              <w:ind w:left="-57" w:right="57"/>
              <w:jc w:val="both"/>
              <w:rPr>
                <w:sz w:val="16"/>
                <w:szCs w:val="16"/>
              </w:rPr>
            </w:pPr>
          </w:p>
        </w:tc>
        <w:tc>
          <w:tcPr>
            <w:tcW w:w="820" w:type="dxa"/>
            <w:vAlign w:val="center"/>
          </w:tcPr>
          <w:p w14:paraId="43C5329C" w14:textId="77777777" w:rsidR="00D230CF" w:rsidRPr="005158D2" w:rsidRDefault="00D230CF" w:rsidP="005158D2">
            <w:pPr>
              <w:spacing w:before="40" w:after="40"/>
              <w:ind w:left="-57" w:right="-57"/>
              <w:jc w:val="both"/>
              <w:rPr>
                <w:sz w:val="16"/>
                <w:szCs w:val="16"/>
              </w:rPr>
            </w:pPr>
            <w:r w:rsidRPr="005158D2">
              <w:rPr>
                <w:sz w:val="16"/>
                <w:szCs w:val="16"/>
              </w:rPr>
              <w:t>2.67**</w:t>
            </w:r>
          </w:p>
        </w:tc>
        <w:tc>
          <w:tcPr>
            <w:tcW w:w="800" w:type="dxa"/>
            <w:vAlign w:val="center"/>
          </w:tcPr>
          <w:p w14:paraId="7F33693A" w14:textId="77777777" w:rsidR="00D230CF" w:rsidRPr="005158D2" w:rsidRDefault="00D230CF" w:rsidP="005158D2">
            <w:pPr>
              <w:spacing w:before="40" w:after="40"/>
              <w:ind w:left="-57" w:right="85"/>
              <w:jc w:val="both"/>
              <w:rPr>
                <w:sz w:val="16"/>
                <w:szCs w:val="16"/>
              </w:rPr>
            </w:pPr>
            <w:r w:rsidRPr="005158D2">
              <w:rPr>
                <w:sz w:val="16"/>
                <w:szCs w:val="16"/>
              </w:rPr>
              <w:t>.008</w:t>
            </w:r>
          </w:p>
        </w:tc>
        <w:tc>
          <w:tcPr>
            <w:tcW w:w="777" w:type="dxa"/>
            <w:tcBorders>
              <w:left w:val="nil"/>
            </w:tcBorders>
            <w:vAlign w:val="center"/>
          </w:tcPr>
          <w:p w14:paraId="7258DF1D" w14:textId="77777777" w:rsidR="00D230CF" w:rsidRPr="005158D2" w:rsidRDefault="00D230CF" w:rsidP="005158D2">
            <w:pPr>
              <w:spacing w:before="40" w:after="40"/>
              <w:ind w:left="-57" w:right="57"/>
              <w:jc w:val="both"/>
              <w:rPr>
                <w:sz w:val="16"/>
                <w:szCs w:val="16"/>
              </w:rPr>
            </w:pPr>
            <w:r w:rsidRPr="005158D2">
              <w:rPr>
                <w:sz w:val="16"/>
                <w:szCs w:val="16"/>
              </w:rPr>
              <w:t>.034</w:t>
            </w:r>
          </w:p>
        </w:tc>
      </w:tr>
      <w:tr w:rsidR="00D230CF" w:rsidRPr="00512830" w14:paraId="2CF757AD" w14:textId="77777777" w:rsidTr="005158D2">
        <w:trPr>
          <w:trHeight w:val="332"/>
          <w:jc w:val="center"/>
        </w:trPr>
        <w:tc>
          <w:tcPr>
            <w:tcW w:w="1396" w:type="dxa"/>
            <w:tcBorders>
              <w:bottom w:val="single" w:sz="4" w:space="0" w:color="auto"/>
            </w:tcBorders>
            <w:shd w:val="clear" w:color="auto" w:fill="D9D9D9" w:themeFill="background1" w:themeFillShade="D9"/>
            <w:vAlign w:val="center"/>
          </w:tcPr>
          <w:p w14:paraId="447826E1" w14:textId="77777777" w:rsidR="00D230CF" w:rsidRPr="005158D2" w:rsidRDefault="00D230CF" w:rsidP="005158D2">
            <w:pPr>
              <w:spacing w:before="40" w:after="40"/>
              <w:jc w:val="both"/>
              <w:rPr>
                <w:b/>
                <w:i/>
                <w:sz w:val="16"/>
                <w:szCs w:val="16"/>
              </w:rPr>
            </w:pPr>
            <w:r w:rsidRPr="005158D2">
              <w:rPr>
                <w:b/>
                <w:i/>
                <w:sz w:val="16"/>
                <w:szCs w:val="16"/>
              </w:rPr>
              <w:t>RR 7.5</w:t>
            </w:r>
          </w:p>
        </w:tc>
        <w:tc>
          <w:tcPr>
            <w:tcW w:w="1761" w:type="dxa"/>
            <w:vAlign w:val="center"/>
          </w:tcPr>
          <w:p w14:paraId="50785CA8" w14:textId="77777777" w:rsidR="00D230CF" w:rsidRPr="005158D2" w:rsidRDefault="00D230CF" w:rsidP="005158D2">
            <w:pPr>
              <w:spacing w:before="40" w:after="80"/>
              <w:ind w:left="-57" w:right="28"/>
              <w:jc w:val="both"/>
              <w:rPr>
                <w:sz w:val="16"/>
                <w:szCs w:val="16"/>
              </w:rPr>
            </w:pPr>
            <w:r w:rsidRPr="005158D2">
              <w:rPr>
                <w:sz w:val="16"/>
                <w:szCs w:val="16"/>
              </w:rPr>
              <w:t>2.00/3.08 (1.71)</w:t>
            </w:r>
          </w:p>
        </w:tc>
        <w:tc>
          <w:tcPr>
            <w:tcW w:w="1772" w:type="dxa"/>
            <w:vAlign w:val="center"/>
          </w:tcPr>
          <w:p w14:paraId="3487677B" w14:textId="77777777" w:rsidR="00D230CF" w:rsidRPr="005158D2" w:rsidRDefault="00D230CF" w:rsidP="005158D2">
            <w:pPr>
              <w:spacing w:before="40" w:after="80"/>
              <w:ind w:left="-57" w:right="28"/>
              <w:jc w:val="both"/>
              <w:rPr>
                <w:sz w:val="16"/>
                <w:szCs w:val="16"/>
              </w:rPr>
            </w:pPr>
            <w:r w:rsidRPr="005158D2">
              <w:rPr>
                <w:sz w:val="16"/>
                <w:szCs w:val="16"/>
              </w:rPr>
              <w:t>4.00/4.82 (2.43)</w:t>
            </w:r>
          </w:p>
        </w:tc>
        <w:tc>
          <w:tcPr>
            <w:tcW w:w="265" w:type="dxa"/>
            <w:vAlign w:val="center"/>
          </w:tcPr>
          <w:p w14:paraId="4999BA57" w14:textId="77777777" w:rsidR="00D230CF" w:rsidRPr="005158D2" w:rsidRDefault="00D230CF" w:rsidP="005158D2">
            <w:pPr>
              <w:spacing w:before="40" w:after="80"/>
              <w:ind w:left="-57" w:right="57"/>
              <w:jc w:val="both"/>
              <w:rPr>
                <w:sz w:val="16"/>
                <w:szCs w:val="16"/>
              </w:rPr>
            </w:pPr>
          </w:p>
        </w:tc>
        <w:tc>
          <w:tcPr>
            <w:tcW w:w="820" w:type="dxa"/>
            <w:vAlign w:val="center"/>
          </w:tcPr>
          <w:p w14:paraId="298E8196" w14:textId="77777777" w:rsidR="00D230CF" w:rsidRPr="005158D2" w:rsidRDefault="00D230CF" w:rsidP="005158D2">
            <w:pPr>
              <w:spacing w:before="40" w:after="80"/>
              <w:ind w:left="-57" w:right="-57"/>
              <w:jc w:val="both"/>
              <w:rPr>
                <w:sz w:val="16"/>
                <w:szCs w:val="16"/>
              </w:rPr>
            </w:pPr>
            <w:r w:rsidRPr="005158D2">
              <w:rPr>
                <w:sz w:val="16"/>
                <w:szCs w:val="16"/>
              </w:rPr>
              <w:t>2.37 *</w:t>
            </w:r>
          </w:p>
        </w:tc>
        <w:tc>
          <w:tcPr>
            <w:tcW w:w="800" w:type="dxa"/>
            <w:vAlign w:val="center"/>
          </w:tcPr>
          <w:p w14:paraId="5B0E1322" w14:textId="77777777" w:rsidR="00D230CF" w:rsidRPr="005158D2" w:rsidRDefault="00D230CF" w:rsidP="005158D2">
            <w:pPr>
              <w:spacing w:before="40" w:after="80"/>
              <w:ind w:left="-57" w:right="85"/>
              <w:jc w:val="both"/>
              <w:rPr>
                <w:sz w:val="16"/>
                <w:szCs w:val="16"/>
              </w:rPr>
            </w:pPr>
            <w:r w:rsidRPr="005158D2">
              <w:rPr>
                <w:sz w:val="16"/>
                <w:szCs w:val="16"/>
              </w:rPr>
              <w:t>.018</w:t>
            </w:r>
          </w:p>
        </w:tc>
        <w:tc>
          <w:tcPr>
            <w:tcW w:w="777" w:type="dxa"/>
            <w:tcBorders>
              <w:left w:val="nil"/>
            </w:tcBorders>
            <w:vAlign w:val="center"/>
          </w:tcPr>
          <w:p w14:paraId="4600EFAB" w14:textId="77777777" w:rsidR="00D230CF" w:rsidRPr="005158D2" w:rsidRDefault="00D230CF" w:rsidP="005158D2">
            <w:pPr>
              <w:spacing w:before="40" w:after="80"/>
              <w:ind w:left="-57" w:right="57"/>
              <w:jc w:val="both"/>
              <w:rPr>
                <w:sz w:val="16"/>
                <w:szCs w:val="16"/>
              </w:rPr>
            </w:pPr>
            <w:r w:rsidRPr="005158D2">
              <w:rPr>
                <w:sz w:val="16"/>
                <w:szCs w:val="16"/>
              </w:rPr>
              <w:t>.029</w:t>
            </w:r>
          </w:p>
        </w:tc>
      </w:tr>
      <w:tr w:rsidR="00D230CF" w:rsidRPr="00512830" w14:paraId="0AB0BE64" w14:textId="77777777" w:rsidTr="005158D2">
        <w:trPr>
          <w:trHeight w:val="319"/>
          <w:jc w:val="center"/>
        </w:trPr>
        <w:tc>
          <w:tcPr>
            <w:tcW w:w="7595" w:type="dxa"/>
            <w:gridSpan w:val="7"/>
            <w:tcBorders>
              <w:top w:val="single" w:sz="4" w:space="0" w:color="auto"/>
              <w:left w:val="nil"/>
              <w:bottom w:val="single" w:sz="4" w:space="0" w:color="auto"/>
            </w:tcBorders>
            <w:shd w:val="clear" w:color="auto" w:fill="FFFFFF" w:themeFill="background1"/>
            <w:vAlign w:val="center"/>
          </w:tcPr>
          <w:p w14:paraId="27EB588C" w14:textId="77777777" w:rsidR="00D230CF" w:rsidRPr="005158D2" w:rsidRDefault="00D230CF" w:rsidP="005158D2">
            <w:pPr>
              <w:spacing w:before="60" w:after="60"/>
              <w:ind w:right="57"/>
              <w:jc w:val="both"/>
              <w:rPr>
                <w:sz w:val="14"/>
                <w:szCs w:val="16"/>
              </w:rPr>
            </w:pPr>
            <w:r w:rsidRPr="005158D2">
              <w:rPr>
                <w:sz w:val="15"/>
                <w:szCs w:val="15"/>
              </w:rPr>
              <w:t>SD standard deviation; *</w:t>
            </w:r>
            <w:r w:rsidRPr="005158D2">
              <w:rPr>
                <w:sz w:val="14"/>
                <w:szCs w:val="16"/>
              </w:rPr>
              <w:t>= statistical significance;</w:t>
            </w:r>
            <w:r w:rsidRPr="005158D2">
              <w:rPr>
                <w:sz w:val="15"/>
                <w:szCs w:val="15"/>
              </w:rPr>
              <w:t xml:space="preserve"> **</w:t>
            </w:r>
            <w:r w:rsidRPr="005158D2">
              <w:rPr>
                <w:sz w:val="14"/>
                <w:szCs w:val="16"/>
              </w:rPr>
              <w:t>= high statistical significance; DD dental development; RR root resorption.</w:t>
            </w:r>
          </w:p>
        </w:tc>
      </w:tr>
    </w:tbl>
    <w:p w14:paraId="3984B967" w14:textId="77777777" w:rsidR="00D230CF" w:rsidRPr="005158D2" w:rsidRDefault="00D230CF" w:rsidP="00D230CF">
      <w:pPr>
        <w:spacing w:before="40" w:after="40"/>
        <w:jc w:val="both"/>
        <w:rPr>
          <w:rFonts w:cstheme="minorHAnsi"/>
          <w:b/>
          <w:color w:val="000000"/>
          <w:sz w:val="18"/>
          <w:szCs w:val="16"/>
        </w:rPr>
      </w:pPr>
    </w:p>
    <w:p w14:paraId="33C96B4D" w14:textId="265D0060" w:rsidR="00D230CF" w:rsidRPr="00984AD7" w:rsidRDefault="00D230CF" w:rsidP="00D230CF">
      <w:pPr>
        <w:spacing w:before="40" w:after="40"/>
        <w:jc w:val="both"/>
        <w:rPr>
          <w:rFonts w:eastAsia="Calibri" w:cstheme="minorHAnsi"/>
          <w:color w:val="000000"/>
          <w:sz w:val="18"/>
          <w:szCs w:val="18"/>
        </w:rPr>
      </w:pPr>
      <w:r w:rsidRPr="005158D2">
        <w:rPr>
          <w:rFonts w:cstheme="minorHAnsi"/>
          <w:b/>
          <w:color w:val="000000"/>
          <w:sz w:val="18"/>
          <w:szCs w:val="16"/>
        </w:rPr>
        <w:t>Table 3</w:t>
      </w:r>
      <w:r w:rsidRPr="005158D2">
        <w:rPr>
          <w:rFonts w:cstheme="minorHAnsi"/>
          <w:color w:val="000000"/>
          <w:sz w:val="18"/>
          <w:szCs w:val="16"/>
        </w:rPr>
        <w:t xml:space="preserve">: Dental development and root resorption in boys, aged between 6.01 and 11.98 years, and the corresponding </w:t>
      </w:r>
      <w:r w:rsidRPr="005158D2">
        <w:rPr>
          <w:rFonts w:cstheme="minorHAnsi"/>
          <w:i/>
          <w:iCs/>
          <w:color w:val="000000"/>
          <w:sz w:val="18"/>
          <w:szCs w:val="16"/>
        </w:rPr>
        <w:t>p</w:t>
      </w:r>
      <w:r w:rsidRPr="005158D2">
        <w:rPr>
          <w:rFonts w:cstheme="minorHAnsi"/>
          <w:color w:val="000000"/>
          <w:sz w:val="18"/>
          <w:szCs w:val="16"/>
        </w:rPr>
        <w:t xml:space="preserve"> values.</w:t>
      </w:r>
    </w:p>
    <w:p w14:paraId="51263C5E" w14:textId="77777777" w:rsidR="00D230CF" w:rsidRPr="00984AD7" w:rsidRDefault="00D230CF" w:rsidP="00D230CF">
      <w:pPr>
        <w:jc w:val="both"/>
        <w:rPr>
          <w:rFonts w:ascii="Arial" w:hAnsi="Arial" w:cs="Arial"/>
        </w:rPr>
      </w:pPr>
    </w:p>
    <w:p w14:paraId="42E6C25B" w14:textId="77777777" w:rsidR="00D230CF" w:rsidRPr="00984AD7" w:rsidRDefault="00D230CF" w:rsidP="00D230CF">
      <w:pPr>
        <w:jc w:val="both"/>
        <w:rPr>
          <w:rFonts w:ascii="Arial" w:hAnsi="Arial" w:cs="Arial"/>
          <w:u w:val="single"/>
        </w:rPr>
      </w:pPr>
      <w:r w:rsidRPr="00984AD7">
        <w:rPr>
          <w:rFonts w:ascii="Arial" w:hAnsi="Arial" w:cs="Arial"/>
          <w:u w:val="single"/>
        </w:rPr>
        <w:t>Dental development of premolars in boys</w:t>
      </w:r>
    </w:p>
    <w:p w14:paraId="29BAFF97" w14:textId="77777777" w:rsidR="00D230CF" w:rsidRPr="00984AD7" w:rsidRDefault="00D230CF" w:rsidP="00D230CF">
      <w:pPr>
        <w:jc w:val="both"/>
        <w:rPr>
          <w:rFonts w:ascii="Arial" w:hAnsi="Arial" w:cs="Arial"/>
        </w:rPr>
      </w:pPr>
    </w:p>
    <w:p w14:paraId="05EC183B" w14:textId="77777777" w:rsidR="00D230CF" w:rsidRPr="00984AD7" w:rsidRDefault="00D230CF" w:rsidP="00D230CF">
      <w:pPr>
        <w:jc w:val="both"/>
        <w:rPr>
          <w:rFonts w:ascii="Arial" w:hAnsi="Arial" w:cs="Arial"/>
        </w:rPr>
      </w:pPr>
      <w:r w:rsidRPr="00984AD7">
        <w:rPr>
          <w:rFonts w:ascii="Arial" w:hAnsi="Arial" w:cs="Arial"/>
        </w:rPr>
        <w:t xml:space="preserve">A </w:t>
      </w:r>
      <w:r>
        <w:rPr>
          <w:rFonts w:ascii="Arial" w:hAnsi="Arial" w:cs="Arial"/>
        </w:rPr>
        <w:t xml:space="preserve">significant </w:t>
      </w:r>
      <w:r w:rsidRPr="00984AD7">
        <w:rPr>
          <w:rFonts w:ascii="Arial" w:hAnsi="Arial" w:cs="Arial"/>
        </w:rPr>
        <w:t xml:space="preserve">delay in dental development was detected in boys with OI (p=0.003). Fig. 1 shows </w:t>
      </w:r>
      <w:r>
        <w:rPr>
          <w:rFonts w:ascii="Arial" w:hAnsi="Arial" w:cs="Arial"/>
        </w:rPr>
        <w:t xml:space="preserve">representative </w:t>
      </w:r>
      <w:r w:rsidRPr="00984AD7">
        <w:rPr>
          <w:rFonts w:ascii="Arial" w:hAnsi="Arial" w:cs="Arial"/>
        </w:rPr>
        <w:t xml:space="preserve">panoramic radiographs of two boys of the same age but </w:t>
      </w:r>
      <w:r>
        <w:rPr>
          <w:rFonts w:ascii="Arial" w:hAnsi="Arial" w:cs="Arial"/>
        </w:rPr>
        <w:t xml:space="preserve">exhibiting </w:t>
      </w:r>
      <w:r w:rsidRPr="00984AD7">
        <w:rPr>
          <w:rFonts w:ascii="Arial" w:hAnsi="Arial" w:cs="Arial"/>
        </w:rPr>
        <w:t xml:space="preserve">different eruptive processes. This difference </w:t>
      </w:r>
      <w:r>
        <w:rPr>
          <w:rFonts w:ascii="Arial" w:hAnsi="Arial" w:cs="Arial"/>
        </w:rPr>
        <w:t>remained</w:t>
      </w:r>
      <w:r w:rsidRPr="00984AD7">
        <w:rPr>
          <w:rFonts w:ascii="Arial" w:hAnsi="Arial" w:cs="Arial"/>
        </w:rPr>
        <w:t xml:space="preserve"> in the group </w:t>
      </w:r>
      <w:r>
        <w:rPr>
          <w:rFonts w:ascii="Arial" w:hAnsi="Arial" w:cs="Arial"/>
        </w:rPr>
        <w:t xml:space="preserve">of boys </w:t>
      </w:r>
      <w:r w:rsidRPr="00984AD7">
        <w:rPr>
          <w:rFonts w:ascii="Arial" w:hAnsi="Arial" w:cs="Arial"/>
        </w:rPr>
        <w:t xml:space="preserve">under 9 years of age (p=0.007). However, in boys over 9 years old, this difference was not maintained (p&gt;0.05), </w:t>
      </w:r>
      <w:r>
        <w:rPr>
          <w:rFonts w:ascii="Arial" w:hAnsi="Arial" w:cs="Arial"/>
        </w:rPr>
        <w:t xml:space="preserve">which </w:t>
      </w:r>
      <w:r w:rsidRPr="00984AD7">
        <w:rPr>
          <w:rFonts w:ascii="Arial" w:hAnsi="Arial" w:cs="Arial"/>
        </w:rPr>
        <w:t>could be influenced by the small sample size of this group. Therefore, we can conclude that the dental development of premolars in children with OI is decreased compared to that in the control group but is similar in boys over 9 years of age.</w:t>
      </w:r>
    </w:p>
    <w:p w14:paraId="4D6A30C7" w14:textId="77777777" w:rsidR="00D230CF" w:rsidRPr="00984AD7" w:rsidRDefault="00D230CF" w:rsidP="00D230CF">
      <w:pPr>
        <w:jc w:val="both"/>
        <w:rPr>
          <w:rFonts w:ascii="Arial" w:hAnsi="Arial" w:cs="Arial"/>
        </w:rPr>
      </w:pPr>
    </w:p>
    <w:p w14:paraId="7DDE159C" w14:textId="58E41F7E" w:rsidR="00D230CF" w:rsidRDefault="00D230CF" w:rsidP="00D230CF">
      <w:pPr>
        <w:jc w:val="both"/>
        <w:rPr>
          <w:rFonts w:ascii="Arial" w:hAnsi="Arial" w:cs="Arial"/>
        </w:rPr>
      </w:pPr>
      <w:r w:rsidRPr="00984AD7">
        <w:rPr>
          <w:rFonts w:ascii="Arial" w:hAnsi="Arial" w:cs="Arial"/>
        </w:rPr>
        <w:t xml:space="preserve">During the dental development of the premolars of boys with OI, crown formation was completed down to the cementoenamel junction (stage D), and the premolars of the control boys </w:t>
      </w:r>
      <w:r>
        <w:rPr>
          <w:rFonts w:ascii="Arial" w:hAnsi="Arial" w:cs="Arial"/>
        </w:rPr>
        <w:t xml:space="preserve">reached the </w:t>
      </w:r>
      <w:r w:rsidRPr="00984AD7">
        <w:rPr>
          <w:rFonts w:ascii="Arial" w:hAnsi="Arial" w:cs="Arial"/>
        </w:rPr>
        <w:t>beginning of root formation (stage E).</w:t>
      </w:r>
    </w:p>
    <w:p w14:paraId="4BF00146" w14:textId="77777777" w:rsidR="00D230CF" w:rsidRDefault="00D230CF" w:rsidP="00D230CF">
      <w:pPr>
        <w:jc w:val="both"/>
        <w:rPr>
          <w:rFonts w:ascii="Arial" w:hAnsi="Arial" w:cs="Arial"/>
        </w:rPr>
      </w:pPr>
    </w:p>
    <w:p w14:paraId="516DC128" w14:textId="77777777" w:rsidR="00D230CF" w:rsidRDefault="00D230CF" w:rsidP="00D230CF">
      <w:pPr>
        <w:jc w:val="both"/>
        <w:rPr>
          <w:rFonts w:ascii="Arial" w:hAnsi="Arial" w:cs="Arial"/>
        </w:rPr>
      </w:pPr>
    </w:p>
    <w:p w14:paraId="7A97F67E" w14:textId="77777777" w:rsidR="00D230CF" w:rsidRDefault="00D230CF" w:rsidP="00D230CF">
      <w:pPr>
        <w:jc w:val="both"/>
        <w:rPr>
          <w:rFonts w:ascii="Arial" w:hAnsi="Arial" w:cs="Arial"/>
        </w:rPr>
      </w:pPr>
      <w:r>
        <w:rPr>
          <w:rFonts w:ascii="Arial" w:hAnsi="Arial" w:cs="Arial"/>
          <w:noProof/>
        </w:rPr>
        <w:drawing>
          <wp:inline distT="0" distB="0" distL="0" distR="0" wp14:anchorId="2F425751" wp14:editId="1F1C805E">
            <wp:extent cx="3442335" cy="1606423"/>
            <wp:effectExtent l="0" t="0" r="0" b="0"/>
            <wp:docPr id="4" name="Imagen 4" descr="Imagen en blanco y negr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en blanco y negro de una persona&#10;&#10;Descripción generada automáticamente con confianza baja"/>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88477" cy="1627956"/>
                    </a:xfrm>
                    <a:prstGeom prst="rect">
                      <a:avLst/>
                    </a:prstGeom>
                  </pic:spPr>
                </pic:pic>
              </a:graphicData>
            </a:graphic>
          </wp:inline>
        </w:drawing>
      </w:r>
      <w:r>
        <w:rPr>
          <w:rFonts w:ascii="Arial" w:hAnsi="Arial" w:cs="Arial"/>
        </w:rPr>
        <w:t xml:space="preserve"> Fig. 1 A.</w:t>
      </w:r>
    </w:p>
    <w:p w14:paraId="32D82D3F" w14:textId="77777777" w:rsidR="00D230CF" w:rsidRDefault="00D230CF" w:rsidP="00D230CF">
      <w:pPr>
        <w:jc w:val="both"/>
        <w:rPr>
          <w:rFonts w:ascii="Arial" w:hAnsi="Arial" w:cs="Arial"/>
        </w:rPr>
      </w:pPr>
      <w:r>
        <w:rPr>
          <w:rFonts w:ascii="Arial" w:hAnsi="Arial" w:cs="Arial"/>
          <w:noProof/>
        </w:rPr>
        <w:drawing>
          <wp:inline distT="0" distB="0" distL="0" distR="0" wp14:anchorId="23755AA3" wp14:editId="6822D370">
            <wp:extent cx="3442856" cy="1604459"/>
            <wp:effectExtent l="0" t="0" r="0" b="0"/>
            <wp:docPr id="3" name="Imagen 3" descr="Imagen que contiene reptil, viendo, libro,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reptil, viendo, libro, sostener&#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92189" cy="1627449"/>
                    </a:xfrm>
                    <a:prstGeom prst="rect">
                      <a:avLst/>
                    </a:prstGeom>
                  </pic:spPr>
                </pic:pic>
              </a:graphicData>
            </a:graphic>
          </wp:inline>
        </w:drawing>
      </w:r>
      <w:r>
        <w:rPr>
          <w:rFonts w:ascii="Arial" w:hAnsi="Arial" w:cs="Arial"/>
        </w:rPr>
        <w:t xml:space="preserve"> Fig. 1 B. </w:t>
      </w:r>
    </w:p>
    <w:p w14:paraId="2A4C8BE6" w14:textId="77777777" w:rsidR="00D230CF" w:rsidRPr="00984AD7" w:rsidRDefault="00D230CF" w:rsidP="00D230CF">
      <w:pPr>
        <w:jc w:val="both"/>
        <w:rPr>
          <w:rFonts w:ascii="Arial" w:hAnsi="Arial" w:cs="Arial"/>
          <w:sz w:val="20"/>
          <w:szCs w:val="20"/>
        </w:rPr>
      </w:pPr>
      <w:r w:rsidRPr="00984AD7">
        <w:rPr>
          <w:rFonts w:ascii="Arial" w:hAnsi="Arial" w:cs="Arial"/>
          <w:sz w:val="20"/>
          <w:szCs w:val="20"/>
        </w:rPr>
        <w:t xml:space="preserve">Figure 1. Two </w:t>
      </w:r>
      <w:r>
        <w:rPr>
          <w:rFonts w:ascii="Arial" w:hAnsi="Arial" w:cs="Arial"/>
          <w:sz w:val="20"/>
          <w:szCs w:val="20"/>
        </w:rPr>
        <w:t xml:space="preserve">radiographs </w:t>
      </w:r>
      <w:r w:rsidRPr="00984AD7">
        <w:rPr>
          <w:rFonts w:ascii="Arial" w:hAnsi="Arial" w:cs="Arial"/>
          <w:sz w:val="20"/>
          <w:szCs w:val="20"/>
        </w:rPr>
        <w:t>of 6</w:t>
      </w:r>
      <w:r>
        <w:rPr>
          <w:rFonts w:ascii="Arial" w:hAnsi="Arial" w:cs="Arial"/>
          <w:sz w:val="20"/>
          <w:szCs w:val="20"/>
        </w:rPr>
        <w:t>.</w:t>
      </w:r>
      <w:r w:rsidRPr="00984AD7">
        <w:rPr>
          <w:rFonts w:ascii="Arial" w:hAnsi="Arial" w:cs="Arial"/>
          <w:sz w:val="20"/>
          <w:szCs w:val="20"/>
        </w:rPr>
        <w:t>54-year-old boys.</w:t>
      </w:r>
    </w:p>
    <w:p w14:paraId="559FD15E" w14:textId="77777777" w:rsidR="00D230CF" w:rsidRPr="00984AD7" w:rsidRDefault="00D230CF" w:rsidP="00D230CF">
      <w:pPr>
        <w:jc w:val="both"/>
        <w:rPr>
          <w:rFonts w:ascii="Arial" w:hAnsi="Arial" w:cs="Arial"/>
          <w:sz w:val="20"/>
          <w:szCs w:val="20"/>
        </w:rPr>
      </w:pPr>
      <w:r>
        <w:rPr>
          <w:rFonts w:ascii="Arial" w:hAnsi="Arial" w:cs="Arial"/>
          <w:sz w:val="20"/>
          <w:szCs w:val="20"/>
        </w:rPr>
        <w:lastRenderedPageBreak/>
        <w:t>A</w:t>
      </w:r>
      <w:r w:rsidRPr="00984AD7">
        <w:rPr>
          <w:rFonts w:ascii="Arial" w:hAnsi="Arial" w:cs="Arial"/>
          <w:sz w:val="20"/>
          <w:szCs w:val="20"/>
        </w:rPr>
        <w:t xml:space="preserve">. Patient in the study group with mixed dentition. Demirjian dental score </w:t>
      </w:r>
      <w:r>
        <w:rPr>
          <w:rFonts w:ascii="Arial" w:hAnsi="Arial" w:cs="Arial"/>
          <w:sz w:val="20"/>
          <w:szCs w:val="20"/>
        </w:rPr>
        <w:t xml:space="preserve">for </w:t>
      </w:r>
      <w:r w:rsidRPr="00984AD7">
        <w:rPr>
          <w:rFonts w:ascii="Arial" w:hAnsi="Arial" w:cs="Arial"/>
          <w:sz w:val="20"/>
          <w:szCs w:val="20"/>
        </w:rPr>
        <w:t>3.4 and 3.5 =7; RR score= 7</w:t>
      </w:r>
      <w:r>
        <w:rPr>
          <w:rFonts w:ascii="Arial" w:hAnsi="Arial" w:cs="Arial"/>
          <w:sz w:val="20"/>
          <w:szCs w:val="20"/>
        </w:rPr>
        <w:t>.</w:t>
      </w:r>
    </w:p>
    <w:p w14:paraId="6F2FE2AE" w14:textId="77777777" w:rsidR="00D230CF" w:rsidRPr="00984AD7" w:rsidRDefault="00D230CF" w:rsidP="00D230CF">
      <w:pPr>
        <w:jc w:val="both"/>
        <w:rPr>
          <w:rFonts w:ascii="Arial" w:hAnsi="Arial" w:cs="Arial"/>
          <w:sz w:val="20"/>
          <w:szCs w:val="20"/>
        </w:rPr>
      </w:pPr>
      <w:r>
        <w:rPr>
          <w:rFonts w:ascii="Arial" w:hAnsi="Arial" w:cs="Arial"/>
          <w:sz w:val="20"/>
          <w:szCs w:val="20"/>
        </w:rPr>
        <w:t>B</w:t>
      </w:r>
      <w:r w:rsidRPr="00984AD7">
        <w:rPr>
          <w:rFonts w:ascii="Arial" w:hAnsi="Arial" w:cs="Arial"/>
          <w:sz w:val="20"/>
          <w:szCs w:val="20"/>
        </w:rPr>
        <w:t xml:space="preserve">. Control group patient with </w:t>
      </w:r>
      <w:r>
        <w:rPr>
          <w:rFonts w:ascii="Arial" w:hAnsi="Arial" w:cs="Arial"/>
          <w:sz w:val="20"/>
          <w:szCs w:val="20"/>
        </w:rPr>
        <w:t xml:space="preserve">mixed </w:t>
      </w:r>
      <w:r w:rsidRPr="00984AD7">
        <w:rPr>
          <w:rFonts w:ascii="Arial" w:hAnsi="Arial" w:cs="Arial"/>
          <w:sz w:val="20"/>
          <w:szCs w:val="20"/>
        </w:rPr>
        <w:t xml:space="preserve">dentition. Demirjian dental score </w:t>
      </w:r>
      <w:r>
        <w:rPr>
          <w:rFonts w:ascii="Arial" w:hAnsi="Arial" w:cs="Arial"/>
          <w:sz w:val="20"/>
          <w:szCs w:val="20"/>
        </w:rPr>
        <w:t xml:space="preserve">for </w:t>
      </w:r>
      <w:r w:rsidRPr="00984AD7">
        <w:rPr>
          <w:rFonts w:ascii="Arial" w:hAnsi="Arial" w:cs="Arial"/>
          <w:sz w:val="20"/>
          <w:szCs w:val="20"/>
        </w:rPr>
        <w:t>3.4 and 3.5 =10; RR score= 8</w:t>
      </w:r>
      <w:r>
        <w:rPr>
          <w:rFonts w:ascii="Arial" w:hAnsi="Arial" w:cs="Arial"/>
          <w:sz w:val="20"/>
          <w:szCs w:val="20"/>
        </w:rPr>
        <w:t>.</w:t>
      </w:r>
    </w:p>
    <w:p w14:paraId="1B181DC1" w14:textId="77777777" w:rsidR="00D230CF" w:rsidRPr="00984AD7" w:rsidRDefault="00D230CF" w:rsidP="00D230CF">
      <w:pPr>
        <w:jc w:val="both"/>
        <w:rPr>
          <w:rFonts w:ascii="Arial" w:hAnsi="Arial" w:cs="Arial"/>
        </w:rPr>
      </w:pPr>
    </w:p>
    <w:p w14:paraId="073A485D" w14:textId="77777777" w:rsidR="00D230CF" w:rsidRPr="00984AD7" w:rsidRDefault="00D230CF" w:rsidP="00D230CF">
      <w:pPr>
        <w:jc w:val="both"/>
        <w:rPr>
          <w:rFonts w:ascii="Arial" w:hAnsi="Arial" w:cs="Arial"/>
        </w:rPr>
      </w:pPr>
    </w:p>
    <w:p w14:paraId="61F6C3B1" w14:textId="77777777" w:rsidR="00D230CF" w:rsidRPr="00984AD7" w:rsidRDefault="00D230CF" w:rsidP="00D230CF">
      <w:pPr>
        <w:jc w:val="both"/>
        <w:rPr>
          <w:rFonts w:ascii="Arial" w:hAnsi="Arial" w:cs="Arial"/>
          <w:u w:val="single"/>
        </w:rPr>
      </w:pPr>
    </w:p>
    <w:p w14:paraId="52BE4813" w14:textId="77777777" w:rsidR="00D230CF" w:rsidRPr="00984AD7" w:rsidRDefault="00D230CF" w:rsidP="00D230CF">
      <w:pPr>
        <w:jc w:val="both"/>
        <w:rPr>
          <w:rFonts w:ascii="Arial" w:hAnsi="Arial" w:cs="Arial"/>
          <w:u w:val="single"/>
        </w:rPr>
      </w:pPr>
      <w:r w:rsidRPr="00984AD7">
        <w:rPr>
          <w:rFonts w:ascii="Arial" w:hAnsi="Arial" w:cs="Arial"/>
          <w:u w:val="single"/>
        </w:rPr>
        <w:t>Dental development of premolars in girls</w:t>
      </w:r>
    </w:p>
    <w:p w14:paraId="68DFD485" w14:textId="77777777" w:rsidR="00D230CF" w:rsidRPr="00984AD7" w:rsidRDefault="00D230CF" w:rsidP="00D230CF">
      <w:pPr>
        <w:jc w:val="both"/>
        <w:rPr>
          <w:rFonts w:ascii="Arial" w:hAnsi="Arial" w:cs="Arial"/>
        </w:rPr>
      </w:pPr>
    </w:p>
    <w:p w14:paraId="6DE8E76D" w14:textId="021F0234" w:rsidR="00D230CF" w:rsidRPr="00984AD7" w:rsidRDefault="00D230CF" w:rsidP="00D230CF">
      <w:pPr>
        <w:jc w:val="both"/>
        <w:rPr>
          <w:rFonts w:ascii="Arial" w:hAnsi="Arial" w:cs="Arial"/>
        </w:rPr>
      </w:pPr>
      <w:r>
        <w:rPr>
          <w:rFonts w:ascii="Arial" w:hAnsi="Arial" w:cs="Arial"/>
        </w:rPr>
        <w:t xml:space="preserve">Significantly delayed </w:t>
      </w:r>
      <w:r w:rsidRPr="00984AD7">
        <w:rPr>
          <w:rFonts w:ascii="Arial" w:hAnsi="Arial" w:cs="Arial"/>
        </w:rPr>
        <w:t>dental development was also described in the girls in the study group (p= 0.001)</w:t>
      </w:r>
      <w:r>
        <w:rPr>
          <w:rFonts w:ascii="Arial" w:hAnsi="Arial" w:cs="Arial"/>
        </w:rPr>
        <w:t>.</w:t>
      </w:r>
      <w:r w:rsidRPr="00984AD7">
        <w:rPr>
          <w:rFonts w:ascii="Arial" w:hAnsi="Arial" w:cs="Arial"/>
        </w:rPr>
        <w:t xml:space="preserve"> </w:t>
      </w:r>
      <w:r>
        <w:rPr>
          <w:rFonts w:ascii="Arial" w:hAnsi="Arial" w:cs="Arial"/>
        </w:rPr>
        <w:t>H</w:t>
      </w:r>
      <w:r w:rsidRPr="00984AD7">
        <w:rPr>
          <w:rFonts w:ascii="Arial" w:hAnsi="Arial" w:cs="Arial"/>
        </w:rPr>
        <w:t xml:space="preserve">owever, when we compared </w:t>
      </w:r>
      <w:r>
        <w:rPr>
          <w:rFonts w:ascii="Arial" w:hAnsi="Arial" w:cs="Arial"/>
        </w:rPr>
        <w:t xml:space="preserve">the girls by </w:t>
      </w:r>
      <w:r w:rsidRPr="00984AD7">
        <w:rPr>
          <w:rFonts w:ascii="Arial" w:hAnsi="Arial" w:cs="Arial"/>
        </w:rPr>
        <w:t xml:space="preserve">age group, in girls under 9 years of age, the values obtained were similar (p=&gt;0.05), </w:t>
      </w:r>
      <w:r>
        <w:rPr>
          <w:rFonts w:ascii="Arial" w:hAnsi="Arial" w:cs="Arial"/>
        </w:rPr>
        <w:t>and</w:t>
      </w:r>
      <w:r w:rsidRPr="00984AD7">
        <w:rPr>
          <w:rFonts w:ascii="Arial" w:hAnsi="Arial" w:cs="Arial"/>
        </w:rPr>
        <w:t xml:space="preserve"> we cannot </w:t>
      </w:r>
      <w:r>
        <w:rPr>
          <w:rFonts w:ascii="Arial" w:hAnsi="Arial" w:cs="Arial"/>
        </w:rPr>
        <w:t xml:space="preserve">conclude </w:t>
      </w:r>
      <w:r w:rsidRPr="00984AD7">
        <w:rPr>
          <w:rFonts w:ascii="Arial" w:hAnsi="Arial" w:cs="Arial"/>
        </w:rPr>
        <w:t>that the dental development of the girls in the study group under 9 years of age was less than that of the control group</w:t>
      </w:r>
      <w:r>
        <w:rPr>
          <w:rFonts w:ascii="Arial" w:hAnsi="Arial" w:cs="Arial"/>
        </w:rPr>
        <w:t>.</w:t>
      </w:r>
      <w:r w:rsidRPr="00984AD7">
        <w:rPr>
          <w:rFonts w:ascii="Arial" w:hAnsi="Arial" w:cs="Arial"/>
        </w:rPr>
        <w:t xml:space="preserve"> </w:t>
      </w:r>
      <w:r>
        <w:rPr>
          <w:rFonts w:ascii="Arial" w:hAnsi="Arial" w:cs="Arial"/>
        </w:rPr>
        <w:t>I</w:t>
      </w:r>
      <w:r w:rsidRPr="00984AD7">
        <w:rPr>
          <w:rFonts w:ascii="Arial" w:hAnsi="Arial" w:cs="Arial"/>
        </w:rPr>
        <w:t>n the study group, delay</w:t>
      </w:r>
      <w:r>
        <w:rPr>
          <w:rFonts w:ascii="Arial" w:hAnsi="Arial" w:cs="Arial"/>
        </w:rPr>
        <w:t>ed</w:t>
      </w:r>
      <w:r w:rsidRPr="00984AD7">
        <w:rPr>
          <w:rFonts w:ascii="Arial" w:hAnsi="Arial" w:cs="Arial"/>
        </w:rPr>
        <w:t xml:space="preserve"> dental development of the premolars </w:t>
      </w:r>
      <w:r>
        <w:rPr>
          <w:rFonts w:ascii="Arial" w:hAnsi="Arial" w:cs="Arial"/>
        </w:rPr>
        <w:t xml:space="preserve">was significant </w:t>
      </w:r>
      <w:r w:rsidRPr="00984AD7">
        <w:rPr>
          <w:rFonts w:ascii="Arial" w:hAnsi="Arial" w:cs="Arial"/>
        </w:rPr>
        <w:t>in girls over 9 years of age (p= 0.027) (Fig.</w:t>
      </w:r>
      <w:r>
        <w:rPr>
          <w:rFonts w:ascii="Arial" w:hAnsi="Arial" w:cs="Arial"/>
        </w:rPr>
        <w:t xml:space="preserve"> </w:t>
      </w:r>
      <w:r w:rsidRPr="00984AD7">
        <w:rPr>
          <w:rFonts w:ascii="Arial" w:hAnsi="Arial" w:cs="Arial"/>
        </w:rPr>
        <w:t>2)</w:t>
      </w:r>
      <w:r w:rsidRPr="005158D2">
        <w:rPr>
          <w:rFonts w:ascii="Arial" w:hAnsi="Arial" w:cs="Arial"/>
        </w:rPr>
        <w:t xml:space="preserve"> (Table 4)</w:t>
      </w:r>
      <w:r w:rsidRPr="00512830">
        <w:rPr>
          <w:rFonts w:ascii="Arial" w:hAnsi="Arial" w:cs="Arial"/>
        </w:rPr>
        <w:t>.</w:t>
      </w:r>
    </w:p>
    <w:p w14:paraId="1B033D22" w14:textId="4298FC97" w:rsidR="00D230CF" w:rsidRPr="00984AD7" w:rsidRDefault="00D230CF" w:rsidP="00D230CF">
      <w:pPr>
        <w:jc w:val="both"/>
        <w:rPr>
          <w:rFonts w:ascii="Arial" w:hAnsi="Arial" w:cs="Arial"/>
        </w:rPr>
      </w:pPr>
      <w:r w:rsidRPr="00984AD7">
        <w:rPr>
          <w:rFonts w:ascii="Arial" w:hAnsi="Arial" w:cs="Arial"/>
        </w:rPr>
        <w:t xml:space="preserve">During the dental development of the premolars of the girls with OI </w:t>
      </w:r>
      <w:r>
        <w:rPr>
          <w:rFonts w:ascii="Arial" w:hAnsi="Arial" w:cs="Arial"/>
        </w:rPr>
        <w:t xml:space="preserve">had reached the beginning of </w:t>
      </w:r>
      <w:r w:rsidRPr="00984AD7">
        <w:rPr>
          <w:rFonts w:ascii="Arial" w:hAnsi="Arial" w:cs="Arial"/>
        </w:rPr>
        <w:t>root formation (stage E), and the root length of the premolars of the control girls was greater than the crown height (stage F).</w:t>
      </w:r>
    </w:p>
    <w:p w14:paraId="664CF0A1" w14:textId="77777777" w:rsidR="00D230CF" w:rsidRPr="00984AD7" w:rsidRDefault="00D230CF" w:rsidP="00D230CF">
      <w:pPr>
        <w:jc w:val="both"/>
        <w:rPr>
          <w:rFonts w:ascii="Arial" w:hAnsi="Arial" w:cs="Arial"/>
        </w:rPr>
      </w:pPr>
    </w:p>
    <w:p w14:paraId="30B841EE" w14:textId="77777777" w:rsidR="00D230CF" w:rsidRDefault="00D230CF" w:rsidP="00D230CF">
      <w:pPr>
        <w:jc w:val="both"/>
        <w:rPr>
          <w:rFonts w:ascii="Arial" w:hAnsi="Arial" w:cs="Arial"/>
        </w:rPr>
      </w:pPr>
    </w:p>
    <w:p w14:paraId="27C62174" w14:textId="77777777" w:rsidR="00D230CF" w:rsidRDefault="00D230CF" w:rsidP="00D230CF">
      <w:pPr>
        <w:jc w:val="both"/>
        <w:rPr>
          <w:rFonts w:ascii="Arial" w:hAnsi="Arial" w:cs="Arial"/>
        </w:rPr>
      </w:pPr>
      <w:r>
        <w:rPr>
          <w:rFonts w:ascii="Arial" w:hAnsi="Arial" w:cs="Arial"/>
          <w:noProof/>
        </w:rPr>
        <w:drawing>
          <wp:inline distT="0" distB="0" distL="0" distR="0" wp14:anchorId="1B1660AF" wp14:editId="4487C9C1">
            <wp:extent cx="3309257" cy="1542199"/>
            <wp:effectExtent l="0" t="0" r="5715" b="0"/>
            <wp:docPr id="7" name="Imagen 7" descr="Imagen que contiene radiografía, niña, c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radiografía, niña, cama, tabl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1294" cy="1552469"/>
                    </a:xfrm>
                    <a:prstGeom prst="rect">
                      <a:avLst/>
                    </a:prstGeom>
                  </pic:spPr>
                </pic:pic>
              </a:graphicData>
            </a:graphic>
          </wp:inline>
        </w:drawing>
      </w:r>
      <w:r>
        <w:rPr>
          <w:rFonts w:ascii="Arial" w:hAnsi="Arial" w:cs="Arial"/>
        </w:rPr>
        <w:t xml:space="preserve"> Fig. 2 A. </w:t>
      </w:r>
    </w:p>
    <w:p w14:paraId="76FE1862" w14:textId="77777777" w:rsidR="00D230CF" w:rsidRDefault="00D230CF" w:rsidP="00D230CF">
      <w:pPr>
        <w:jc w:val="both"/>
        <w:rPr>
          <w:rFonts w:ascii="Arial" w:hAnsi="Arial" w:cs="Arial"/>
        </w:rPr>
      </w:pPr>
      <w:r>
        <w:rPr>
          <w:rFonts w:ascii="Arial" w:hAnsi="Arial" w:cs="Arial"/>
          <w:noProof/>
        </w:rPr>
        <w:drawing>
          <wp:inline distT="0" distB="0" distL="0" distR="0" wp14:anchorId="2853C316" wp14:editId="306FF1E5">
            <wp:extent cx="3308985" cy="1541011"/>
            <wp:effectExtent l="0" t="0" r="0" b="0"/>
            <wp:docPr id="8" name="Imagen 8" descr="Imagen que contiene interior, ventana, foto, vie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interior, ventana, foto, viend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0255" cy="1546260"/>
                    </a:xfrm>
                    <a:prstGeom prst="rect">
                      <a:avLst/>
                    </a:prstGeom>
                  </pic:spPr>
                </pic:pic>
              </a:graphicData>
            </a:graphic>
          </wp:inline>
        </w:drawing>
      </w:r>
      <w:r>
        <w:rPr>
          <w:rFonts w:ascii="Arial" w:hAnsi="Arial" w:cs="Arial"/>
        </w:rPr>
        <w:t xml:space="preserve"> Fig. 2 B. </w:t>
      </w:r>
    </w:p>
    <w:p w14:paraId="0CFA5F1E" w14:textId="77777777" w:rsidR="00D230CF" w:rsidRDefault="00D230CF" w:rsidP="00D230CF">
      <w:pPr>
        <w:jc w:val="both"/>
        <w:rPr>
          <w:rFonts w:ascii="Arial" w:hAnsi="Arial" w:cs="Arial"/>
        </w:rPr>
      </w:pPr>
    </w:p>
    <w:p w14:paraId="7C1FAA95" w14:textId="77777777" w:rsidR="00D230CF" w:rsidRPr="00984AD7" w:rsidRDefault="00D230CF" w:rsidP="00D230CF">
      <w:pPr>
        <w:jc w:val="both"/>
        <w:rPr>
          <w:rFonts w:ascii="Arial" w:hAnsi="Arial" w:cs="Arial"/>
          <w:sz w:val="20"/>
          <w:szCs w:val="20"/>
        </w:rPr>
      </w:pPr>
      <w:r w:rsidRPr="00984AD7">
        <w:rPr>
          <w:rFonts w:ascii="Arial" w:hAnsi="Arial" w:cs="Arial"/>
          <w:sz w:val="20"/>
          <w:szCs w:val="20"/>
        </w:rPr>
        <w:t xml:space="preserve">Figure 2. Two </w:t>
      </w:r>
      <w:r>
        <w:rPr>
          <w:rFonts w:ascii="Arial" w:hAnsi="Arial" w:cs="Arial"/>
          <w:sz w:val="20"/>
          <w:szCs w:val="20"/>
        </w:rPr>
        <w:t xml:space="preserve">radiographs of </w:t>
      </w:r>
      <w:r w:rsidRPr="00984AD7">
        <w:rPr>
          <w:rFonts w:ascii="Arial" w:hAnsi="Arial" w:cs="Arial"/>
          <w:sz w:val="20"/>
          <w:szCs w:val="20"/>
        </w:rPr>
        <w:t>6.88-year-old girls</w:t>
      </w:r>
    </w:p>
    <w:p w14:paraId="65E0082B" w14:textId="77777777" w:rsidR="00D230CF" w:rsidRPr="00984AD7" w:rsidRDefault="00D230CF" w:rsidP="00D230CF">
      <w:pPr>
        <w:jc w:val="both"/>
        <w:rPr>
          <w:rFonts w:ascii="Arial" w:hAnsi="Arial" w:cs="Arial"/>
          <w:sz w:val="20"/>
          <w:szCs w:val="20"/>
        </w:rPr>
      </w:pPr>
      <w:r w:rsidRPr="00984AD7">
        <w:rPr>
          <w:rFonts w:ascii="Arial" w:hAnsi="Arial" w:cs="Arial"/>
          <w:sz w:val="20"/>
          <w:szCs w:val="20"/>
        </w:rPr>
        <w:t xml:space="preserve">a. Patient in the study group diagnosed with mesiodens. Demirjian dental score </w:t>
      </w:r>
      <w:r>
        <w:rPr>
          <w:rFonts w:ascii="Arial" w:hAnsi="Arial" w:cs="Arial"/>
          <w:sz w:val="20"/>
          <w:szCs w:val="20"/>
        </w:rPr>
        <w:t xml:space="preserve">for </w:t>
      </w:r>
      <w:r w:rsidRPr="00984AD7">
        <w:rPr>
          <w:rFonts w:ascii="Arial" w:hAnsi="Arial" w:cs="Arial"/>
          <w:sz w:val="20"/>
          <w:szCs w:val="20"/>
        </w:rPr>
        <w:t>3.4 and 3.5 =9; RR score=4</w:t>
      </w:r>
      <w:r>
        <w:rPr>
          <w:rFonts w:ascii="Arial" w:hAnsi="Arial" w:cs="Arial"/>
          <w:sz w:val="20"/>
          <w:szCs w:val="20"/>
        </w:rPr>
        <w:t>.</w:t>
      </w:r>
    </w:p>
    <w:p w14:paraId="5EA64524" w14:textId="77777777" w:rsidR="00D230CF" w:rsidRDefault="00D230CF" w:rsidP="00D230CF">
      <w:pPr>
        <w:jc w:val="both"/>
        <w:rPr>
          <w:rFonts w:ascii="Arial" w:hAnsi="Arial" w:cs="Arial"/>
          <w:sz w:val="20"/>
          <w:szCs w:val="20"/>
        </w:rPr>
      </w:pPr>
      <w:r w:rsidRPr="00984AD7">
        <w:rPr>
          <w:rFonts w:ascii="Arial" w:hAnsi="Arial" w:cs="Arial"/>
          <w:sz w:val="20"/>
          <w:szCs w:val="20"/>
        </w:rPr>
        <w:t xml:space="preserve">b. </w:t>
      </w:r>
      <w:r w:rsidRPr="001E3502">
        <w:rPr>
          <w:rFonts w:ascii="Arial" w:hAnsi="Arial" w:cs="Arial"/>
          <w:sz w:val="20"/>
          <w:szCs w:val="20"/>
        </w:rPr>
        <w:t>Control group patient. Demirjian dental score for 3.4 and 3.5 =10; RR score=4.</w:t>
      </w:r>
    </w:p>
    <w:p w14:paraId="2BB76905" w14:textId="77777777" w:rsidR="00D230CF" w:rsidRPr="00984AD7" w:rsidRDefault="00D230CF" w:rsidP="00D230CF">
      <w:pPr>
        <w:jc w:val="both"/>
        <w:rPr>
          <w:rFonts w:ascii="Arial" w:hAnsi="Arial" w:cs="Arial"/>
        </w:rPr>
      </w:pPr>
    </w:p>
    <w:p w14:paraId="3644B0B8" w14:textId="77777777" w:rsidR="00D230CF" w:rsidRPr="00512830" w:rsidRDefault="00D230CF" w:rsidP="00D230CF">
      <w:pPr>
        <w:jc w:val="both"/>
        <w:rPr>
          <w:rFonts w:ascii="Arial" w:hAnsi="Arial" w:cs="Arial"/>
          <w:u w:val="singl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1839"/>
        <w:gridCol w:w="1850"/>
        <w:gridCol w:w="278"/>
        <w:gridCol w:w="857"/>
        <w:gridCol w:w="836"/>
        <w:gridCol w:w="812"/>
      </w:tblGrid>
      <w:tr w:rsidR="00D230CF" w:rsidRPr="00512830" w14:paraId="3706057E" w14:textId="77777777" w:rsidTr="005158D2">
        <w:trPr>
          <w:trHeight w:val="286"/>
          <w:jc w:val="center"/>
        </w:trPr>
        <w:tc>
          <w:tcPr>
            <w:tcW w:w="1458" w:type="dxa"/>
            <w:vMerge w:val="restart"/>
            <w:shd w:val="clear" w:color="auto" w:fill="D9D9D9" w:themeFill="background1" w:themeFillShade="D9"/>
            <w:vAlign w:val="bottom"/>
          </w:tcPr>
          <w:p w14:paraId="043C5CC3" w14:textId="77777777" w:rsidR="00D230CF" w:rsidRPr="005158D2" w:rsidRDefault="00D230CF" w:rsidP="005158D2">
            <w:pPr>
              <w:spacing w:before="40" w:after="40"/>
              <w:jc w:val="both"/>
              <w:rPr>
                <w:sz w:val="16"/>
                <w:szCs w:val="16"/>
              </w:rPr>
            </w:pPr>
            <w:r w:rsidRPr="005158D2">
              <w:rPr>
                <w:b/>
                <w:bCs/>
                <w:i/>
                <w:iCs/>
                <w:sz w:val="16"/>
                <w:szCs w:val="16"/>
              </w:rPr>
              <w:t>Number of subjects</w:t>
            </w:r>
          </w:p>
        </w:tc>
        <w:tc>
          <w:tcPr>
            <w:tcW w:w="3689" w:type="dxa"/>
            <w:gridSpan w:val="2"/>
            <w:tcBorders>
              <w:top w:val="single" w:sz="4" w:space="0" w:color="auto"/>
              <w:bottom w:val="single" w:sz="4" w:space="0" w:color="auto"/>
            </w:tcBorders>
            <w:shd w:val="clear" w:color="auto" w:fill="D9D9D9" w:themeFill="background1" w:themeFillShade="D9"/>
            <w:vAlign w:val="center"/>
          </w:tcPr>
          <w:p w14:paraId="1ABF571F" w14:textId="77777777" w:rsidR="00D230CF" w:rsidRPr="005158D2" w:rsidRDefault="00D230CF" w:rsidP="005158D2">
            <w:pPr>
              <w:spacing w:before="40" w:after="40"/>
              <w:jc w:val="both"/>
              <w:rPr>
                <w:sz w:val="16"/>
                <w:szCs w:val="16"/>
              </w:rPr>
            </w:pPr>
            <w:r w:rsidRPr="005158D2">
              <w:rPr>
                <w:sz w:val="16"/>
                <w:szCs w:val="16"/>
              </w:rPr>
              <w:t>Median/Mean (S.D.)</w:t>
            </w:r>
          </w:p>
        </w:tc>
        <w:tc>
          <w:tcPr>
            <w:tcW w:w="278" w:type="dxa"/>
            <w:vMerge w:val="restart"/>
            <w:shd w:val="clear" w:color="auto" w:fill="D9D9D9" w:themeFill="background1" w:themeFillShade="D9"/>
          </w:tcPr>
          <w:p w14:paraId="397DEF2B" w14:textId="77777777" w:rsidR="00D230CF" w:rsidRPr="005158D2" w:rsidRDefault="00D230CF" w:rsidP="005158D2">
            <w:pPr>
              <w:spacing w:before="40" w:after="40"/>
              <w:jc w:val="both"/>
              <w:rPr>
                <w:sz w:val="16"/>
                <w:szCs w:val="16"/>
              </w:rPr>
            </w:pPr>
          </w:p>
        </w:tc>
        <w:tc>
          <w:tcPr>
            <w:tcW w:w="1693" w:type="dxa"/>
            <w:gridSpan w:val="2"/>
            <w:tcBorders>
              <w:top w:val="single" w:sz="4" w:space="0" w:color="auto"/>
              <w:bottom w:val="single" w:sz="4" w:space="0" w:color="auto"/>
            </w:tcBorders>
            <w:shd w:val="clear" w:color="auto" w:fill="D9D9D9" w:themeFill="background1" w:themeFillShade="D9"/>
            <w:vAlign w:val="bottom"/>
          </w:tcPr>
          <w:p w14:paraId="2F4D1339" w14:textId="77777777" w:rsidR="00D230CF" w:rsidRPr="005158D2" w:rsidRDefault="00D230CF" w:rsidP="005158D2">
            <w:pPr>
              <w:spacing w:before="40" w:after="40"/>
              <w:ind w:left="-113" w:right="-113"/>
              <w:jc w:val="both"/>
              <w:rPr>
                <w:i/>
                <w:sz w:val="16"/>
                <w:szCs w:val="16"/>
              </w:rPr>
            </w:pPr>
            <w:r w:rsidRPr="005158D2">
              <w:rPr>
                <w:i/>
                <w:sz w:val="16"/>
                <w:szCs w:val="16"/>
              </w:rPr>
              <w:t>Mann‒Whitney Test</w:t>
            </w:r>
          </w:p>
        </w:tc>
        <w:tc>
          <w:tcPr>
            <w:tcW w:w="812" w:type="dxa"/>
            <w:vMerge w:val="restart"/>
            <w:tcBorders>
              <w:top w:val="single" w:sz="4" w:space="0" w:color="auto"/>
            </w:tcBorders>
            <w:shd w:val="clear" w:color="auto" w:fill="D9D9D9" w:themeFill="background1" w:themeFillShade="D9"/>
            <w:vAlign w:val="center"/>
          </w:tcPr>
          <w:p w14:paraId="3AE739F0" w14:textId="77777777" w:rsidR="00D230CF" w:rsidRPr="005158D2" w:rsidRDefault="00D230CF" w:rsidP="005158D2">
            <w:pPr>
              <w:spacing w:before="40" w:after="40"/>
              <w:ind w:left="-57" w:right="-57"/>
              <w:jc w:val="both"/>
              <w:rPr>
                <w:b/>
                <w:sz w:val="14"/>
                <w:szCs w:val="16"/>
              </w:rPr>
            </w:pPr>
            <w:r w:rsidRPr="005158D2">
              <w:rPr>
                <w:b/>
                <w:sz w:val="14"/>
                <w:szCs w:val="16"/>
              </w:rPr>
              <w:t>Effect size: R2</w:t>
            </w:r>
          </w:p>
          <w:p w14:paraId="53A689EC" w14:textId="77777777" w:rsidR="00D230CF" w:rsidRPr="005158D2" w:rsidRDefault="00D230CF" w:rsidP="005158D2">
            <w:pPr>
              <w:spacing w:before="40" w:after="40"/>
              <w:ind w:left="-57" w:right="-57"/>
              <w:jc w:val="both"/>
              <w:rPr>
                <w:b/>
                <w:sz w:val="16"/>
                <w:szCs w:val="16"/>
              </w:rPr>
            </w:pPr>
          </w:p>
        </w:tc>
      </w:tr>
      <w:tr w:rsidR="00D230CF" w:rsidRPr="00512830" w14:paraId="5047159F" w14:textId="77777777" w:rsidTr="005158D2">
        <w:trPr>
          <w:trHeight w:val="546"/>
          <w:jc w:val="center"/>
        </w:trPr>
        <w:tc>
          <w:tcPr>
            <w:tcW w:w="1458" w:type="dxa"/>
            <w:vMerge/>
            <w:tcBorders>
              <w:bottom w:val="single" w:sz="4" w:space="0" w:color="auto"/>
            </w:tcBorders>
            <w:shd w:val="clear" w:color="auto" w:fill="D9D9D9" w:themeFill="background1" w:themeFillShade="D9"/>
            <w:vAlign w:val="center"/>
          </w:tcPr>
          <w:p w14:paraId="7D0D75AE" w14:textId="77777777" w:rsidR="00D230CF" w:rsidRPr="005158D2" w:rsidRDefault="00D230CF" w:rsidP="005158D2">
            <w:pPr>
              <w:spacing w:before="40" w:after="40"/>
              <w:jc w:val="both"/>
              <w:rPr>
                <w:sz w:val="16"/>
                <w:szCs w:val="16"/>
              </w:rPr>
            </w:pPr>
          </w:p>
        </w:tc>
        <w:tc>
          <w:tcPr>
            <w:tcW w:w="1839" w:type="dxa"/>
            <w:tcBorders>
              <w:top w:val="single" w:sz="4" w:space="0" w:color="auto"/>
              <w:bottom w:val="single" w:sz="4" w:space="0" w:color="auto"/>
            </w:tcBorders>
            <w:shd w:val="clear" w:color="auto" w:fill="D9D9D9" w:themeFill="background1" w:themeFillShade="D9"/>
            <w:vAlign w:val="center"/>
          </w:tcPr>
          <w:p w14:paraId="08689C49" w14:textId="77777777" w:rsidR="00D230CF" w:rsidRPr="005158D2" w:rsidRDefault="00D230CF" w:rsidP="005158D2">
            <w:pPr>
              <w:spacing w:before="40" w:after="40"/>
              <w:jc w:val="both"/>
              <w:rPr>
                <w:sz w:val="16"/>
                <w:szCs w:val="16"/>
              </w:rPr>
            </w:pPr>
            <w:r w:rsidRPr="005158D2">
              <w:rPr>
                <w:b/>
                <w:i/>
                <w:sz w:val="16"/>
                <w:szCs w:val="16"/>
              </w:rPr>
              <w:t>Study group</w:t>
            </w:r>
          </w:p>
          <w:p w14:paraId="30404A9A" w14:textId="77777777" w:rsidR="00D230CF" w:rsidRPr="005158D2" w:rsidRDefault="00D230CF" w:rsidP="005158D2">
            <w:pPr>
              <w:spacing w:before="40" w:after="40"/>
              <w:jc w:val="both"/>
              <w:rPr>
                <w:sz w:val="16"/>
                <w:szCs w:val="16"/>
              </w:rPr>
            </w:pPr>
            <w:r w:rsidRPr="005158D2">
              <w:rPr>
                <w:sz w:val="16"/>
                <w:szCs w:val="16"/>
              </w:rPr>
              <w:t>13</w:t>
            </w:r>
          </w:p>
        </w:tc>
        <w:tc>
          <w:tcPr>
            <w:tcW w:w="1850" w:type="dxa"/>
            <w:tcBorders>
              <w:top w:val="single" w:sz="4" w:space="0" w:color="auto"/>
              <w:bottom w:val="single" w:sz="4" w:space="0" w:color="auto"/>
            </w:tcBorders>
            <w:shd w:val="clear" w:color="auto" w:fill="D9D9D9" w:themeFill="background1" w:themeFillShade="D9"/>
            <w:vAlign w:val="center"/>
          </w:tcPr>
          <w:p w14:paraId="2D7AC49F" w14:textId="77777777" w:rsidR="00D230CF" w:rsidRPr="005158D2" w:rsidRDefault="00D230CF" w:rsidP="005158D2">
            <w:pPr>
              <w:spacing w:before="40" w:after="40"/>
              <w:jc w:val="both"/>
              <w:rPr>
                <w:sz w:val="16"/>
                <w:szCs w:val="16"/>
              </w:rPr>
            </w:pPr>
            <w:r w:rsidRPr="005158D2">
              <w:rPr>
                <w:b/>
                <w:i/>
                <w:sz w:val="16"/>
                <w:szCs w:val="16"/>
              </w:rPr>
              <w:t>Control group</w:t>
            </w:r>
          </w:p>
          <w:p w14:paraId="59D5D6F6" w14:textId="77777777" w:rsidR="00D230CF" w:rsidRPr="005158D2" w:rsidRDefault="00D230CF" w:rsidP="005158D2">
            <w:pPr>
              <w:spacing w:before="40" w:after="40"/>
              <w:jc w:val="both"/>
              <w:rPr>
                <w:sz w:val="16"/>
                <w:szCs w:val="16"/>
              </w:rPr>
            </w:pPr>
            <w:r w:rsidRPr="005158D2">
              <w:rPr>
                <w:sz w:val="16"/>
                <w:szCs w:val="16"/>
              </w:rPr>
              <w:t>187</w:t>
            </w:r>
          </w:p>
        </w:tc>
        <w:tc>
          <w:tcPr>
            <w:tcW w:w="278" w:type="dxa"/>
            <w:vMerge/>
            <w:tcBorders>
              <w:bottom w:val="single" w:sz="4" w:space="0" w:color="auto"/>
            </w:tcBorders>
            <w:shd w:val="clear" w:color="auto" w:fill="D9D9D9" w:themeFill="background1" w:themeFillShade="D9"/>
          </w:tcPr>
          <w:p w14:paraId="7BA474FA" w14:textId="77777777" w:rsidR="00D230CF" w:rsidRPr="005158D2" w:rsidRDefault="00D230CF" w:rsidP="005158D2">
            <w:pPr>
              <w:spacing w:before="40" w:after="40"/>
              <w:jc w:val="both"/>
              <w:rPr>
                <w:sz w:val="16"/>
                <w:szCs w:val="16"/>
              </w:rPr>
            </w:pPr>
          </w:p>
        </w:tc>
        <w:tc>
          <w:tcPr>
            <w:tcW w:w="857" w:type="dxa"/>
            <w:tcBorders>
              <w:top w:val="single" w:sz="4" w:space="0" w:color="auto"/>
              <w:bottom w:val="single" w:sz="4" w:space="0" w:color="auto"/>
            </w:tcBorders>
            <w:shd w:val="clear" w:color="auto" w:fill="D9D9D9" w:themeFill="background1" w:themeFillShade="D9"/>
            <w:vAlign w:val="center"/>
          </w:tcPr>
          <w:p w14:paraId="6F28A450" w14:textId="77777777" w:rsidR="00D230CF" w:rsidRPr="005158D2" w:rsidRDefault="00D230CF" w:rsidP="005158D2">
            <w:pPr>
              <w:spacing w:before="40" w:after="40"/>
              <w:jc w:val="both"/>
              <w:rPr>
                <w:b/>
                <w:i/>
                <w:sz w:val="16"/>
                <w:szCs w:val="16"/>
              </w:rPr>
            </w:pPr>
            <w:r w:rsidRPr="005158D2">
              <w:rPr>
                <w:b/>
                <w:i/>
                <w:sz w:val="16"/>
                <w:szCs w:val="16"/>
              </w:rPr>
              <w:t>/Values/</w:t>
            </w:r>
          </w:p>
        </w:tc>
        <w:tc>
          <w:tcPr>
            <w:tcW w:w="836" w:type="dxa"/>
            <w:tcBorders>
              <w:top w:val="single" w:sz="4" w:space="0" w:color="auto"/>
              <w:bottom w:val="single" w:sz="4" w:space="0" w:color="auto"/>
            </w:tcBorders>
            <w:shd w:val="clear" w:color="auto" w:fill="D9D9D9" w:themeFill="background1" w:themeFillShade="D9"/>
            <w:vAlign w:val="center"/>
          </w:tcPr>
          <w:p w14:paraId="053476E5" w14:textId="77777777" w:rsidR="00D230CF" w:rsidRPr="005158D2" w:rsidRDefault="00D230CF" w:rsidP="005158D2">
            <w:pPr>
              <w:spacing w:before="40" w:after="40"/>
              <w:ind w:left="-57" w:right="-57"/>
              <w:jc w:val="both"/>
              <w:rPr>
                <w:b/>
                <w:i/>
                <w:sz w:val="16"/>
                <w:szCs w:val="16"/>
              </w:rPr>
            </w:pPr>
            <w:r w:rsidRPr="005158D2">
              <w:rPr>
                <w:b/>
                <w:i/>
                <w:sz w:val="16"/>
                <w:szCs w:val="16"/>
              </w:rPr>
              <w:t>P values</w:t>
            </w:r>
          </w:p>
        </w:tc>
        <w:tc>
          <w:tcPr>
            <w:tcW w:w="812" w:type="dxa"/>
            <w:vMerge/>
            <w:tcBorders>
              <w:bottom w:val="single" w:sz="4" w:space="0" w:color="auto"/>
            </w:tcBorders>
            <w:shd w:val="clear" w:color="auto" w:fill="D9D9D9" w:themeFill="background1" w:themeFillShade="D9"/>
          </w:tcPr>
          <w:p w14:paraId="48C1DCF9" w14:textId="77777777" w:rsidR="00D230CF" w:rsidRPr="005158D2" w:rsidRDefault="00D230CF" w:rsidP="005158D2">
            <w:pPr>
              <w:spacing w:before="40" w:after="40"/>
              <w:jc w:val="both"/>
              <w:rPr>
                <w:sz w:val="16"/>
                <w:szCs w:val="16"/>
              </w:rPr>
            </w:pPr>
          </w:p>
        </w:tc>
      </w:tr>
      <w:tr w:rsidR="00D230CF" w:rsidRPr="00512830" w14:paraId="7EB7D60A" w14:textId="77777777" w:rsidTr="005158D2">
        <w:trPr>
          <w:trHeight w:val="324"/>
          <w:jc w:val="center"/>
        </w:trPr>
        <w:tc>
          <w:tcPr>
            <w:tcW w:w="1458" w:type="dxa"/>
            <w:shd w:val="clear" w:color="auto" w:fill="D9D9D9" w:themeFill="background1" w:themeFillShade="D9"/>
            <w:vAlign w:val="center"/>
          </w:tcPr>
          <w:p w14:paraId="52155472" w14:textId="77777777" w:rsidR="00D230CF" w:rsidRPr="005158D2" w:rsidRDefault="00D230CF" w:rsidP="005158D2">
            <w:pPr>
              <w:spacing w:before="40" w:after="40"/>
              <w:jc w:val="both"/>
              <w:rPr>
                <w:b/>
                <w:i/>
                <w:sz w:val="16"/>
                <w:szCs w:val="16"/>
              </w:rPr>
            </w:pPr>
            <w:r w:rsidRPr="005158D2">
              <w:rPr>
                <w:b/>
                <w:i/>
                <w:sz w:val="16"/>
                <w:szCs w:val="16"/>
              </w:rPr>
              <w:t>DD TOTAL</w:t>
            </w:r>
          </w:p>
        </w:tc>
        <w:tc>
          <w:tcPr>
            <w:tcW w:w="1839" w:type="dxa"/>
            <w:tcBorders>
              <w:top w:val="single" w:sz="4" w:space="0" w:color="auto"/>
            </w:tcBorders>
            <w:vAlign w:val="center"/>
          </w:tcPr>
          <w:p w14:paraId="17557188" w14:textId="77777777" w:rsidR="00D230CF" w:rsidRPr="005158D2" w:rsidRDefault="00D230CF" w:rsidP="005158D2">
            <w:pPr>
              <w:spacing w:before="80" w:after="40"/>
              <w:ind w:left="-57" w:right="28"/>
              <w:jc w:val="both"/>
              <w:rPr>
                <w:sz w:val="16"/>
                <w:szCs w:val="16"/>
              </w:rPr>
            </w:pPr>
            <w:r w:rsidRPr="005158D2">
              <w:rPr>
                <w:sz w:val="16"/>
                <w:szCs w:val="16"/>
              </w:rPr>
              <w:t>10.00/9.62 (1.39)</w:t>
            </w:r>
          </w:p>
        </w:tc>
        <w:tc>
          <w:tcPr>
            <w:tcW w:w="1850" w:type="dxa"/>
            <w:tcBorders>
              <w:top w:val="single" w:sz="4" w:space="0" w:color="auto"/>
            </w:tcBorders>
            <w:vAlign w:val="center"/>
          </w:tcPr>
          <w:p w14:paraId="43F13942" w14:textId="77777777" w:rsidR="00D230CF" w:rsidRPr="005158D2" w:rsidRDefault="00D230CF" w:rsidP="005158D2">
            <w:pPr>
              <w:spacing w:before="80" w:after="40"/>
              <w:ind w:left="-57" w:right="28"/>
              <w:jc w:val="both"/>
              <w:rPr>
                <w:sz w:val="16"/>
                <w:szCs w:val="16"/>
              </w:rPr>
            </w:pPr>
            <w:r w:rsidRPr="005158D2">
              <w:rPr>
                <w:sz w:val="16"/>
                <w:szCs w:val="16"/>
              </w:rPr>
              <w:t>11.00/11.73 (2.29)</w:t>
            </w:r>
          </w:p>
        </w:tc>
        <w:tc>
          <w:tcPr>
            <w:tcW w:w="278" w:type="dxa"/>
            <w:tcBorders>
              <w:top w:val="single" w:sz="4" w:space="0" w:color="auto"/>
            </w:tcBorders>
            <w:vAlign w:val="center"/>
          </w:tcPr>
          <w:p w14:paraId="182E846D" w14:textId="77777777" w:rsidR="00D230CF" w:rsidRPr="005158D2" w:rsidRDefault="00D230CF" w:rsidP="005158D2">
            <w:pPr>
              <w:spacing w:before="80" w:after="40"/>
              <w:ind w:left="-57" w:right="57"/>
              <w:jc w:val="both"/>
              <w:rPr>
                <w:sz w:val="16"/>
                <w:szCs w:val="16"/>
              </w:rPr>
            </w:pPr>
          </w:p>
        </w:tc>
        <w:tc>
          <w:tcPr>
            <w:tcW w:w="857" w:type="dxa"/>
            <w:tcBorders>
              <w:top w:val="single" w:sz="4" w:space="0" w:color="auto"/>
            </w:tcBorders>
            <w:vAlign w:val="center"/>
          </w:tcPr>
          <w:p w14:paraId="4B9B0F35" w14:textId="77777777" w:rsidR="00D230CF" w:rsidRPr="005158D2" w:rsidRDefault="00D230CF" w:rsidP="005158D2">
            <w:pPr>
              <w:spacing w:before="80" w:after="40"/>
              <w:ind w:left="-57" w:right="-57"/>
              <w:jc w:val="both"/>
              <w:rPr>
                <w:sz w:val="16"/>
                <w:szCs w:val="16"/>
              </w:rPr>
            </w:pPr>
            <w:r w:rsidRPr="005158D2">
              <w:rPr>
                <w:sz w:val="16"/>
                <w:szCs w:val="16"/>
              </w:rPr>
              <w:t>3.18**</w:t>
            </w:r>
          </w:p>
        </w:tc>
        <w:tc>
          <w:tcPr>
            <w:tcW w:w="836" w:type="dxa"/>
            <w:tcBorders>
              <w:top w:val="single" w:sz="4" w:space="0" w:color="auto"/>
            </w:tcBorders>
            <w:vAlign w:val="center"/>
          </w:tcPr>
          <w:p w14:paraId="16A33448" w14:textId="77777777" w:rsidR="00D230CF" w:rsidRPr="005158D2" w:rsidRDefault="00D230CF" w:rsidP="005158D2">
            <w:pPr>
              <w:spacing w:before="80" w:after="40"/>
              <w:ind w:left="-57" w:right="85"/>
              <w:jc w:val="both"/>
              <w:rPr>
                <w:sz w:val="16"/>
                <w:szCs w:val="16"/>
              </w:rPr>
            </w:pPr>
            <w:r w:rsidRPr="005158D2">
              <w:rPr>
                <w:sz w:val="16"/>
                <w:szCs w:val="16"/>
              </w:rPr>
              <w:t>.001</w:t>
            </w:r>
          </w:p>
        </w:tc>
        <w:tc>
          <w:tcPr>
            <w:tcW w:w="812" w:type="dxa"/>
            <w:tcBorders>
              <w:top w:val="single" w:sz="4" w:space="0" w:color="auto"/>
              <w:left w:val="nil"/>
            </w:tcBorders>
            <w:vAlign w:val="center"/>
          </w:tcPr>
          <w:p w14:paraId="0E196156" w14:textId="77777777" w:rsidR="00D230CF" w:rsidRPr="005158D2" w:rsidRDefault="00D230CF" w:rsidP="005158D2">
            <w:pPr>
              <w:spacing w:before="80" w:after="40"/>
              <w:ind w:left="-57" w:right="57"/>
              <w:jc w:val="both"/>
              <w:rPr>
                <w:sz w:val="16"/>
                <w:szCs w:val="16"/>
              </w:rPr>
            </w:pPr>
            <w:r w:rsidRPr="005158D2">
              <w:rPr>
                <w:sz w:val="16"/>
                <w:szCs w:val="16"/>
              </w:rPr>
              <w:t>.051</w:t>
            </w:r>
          </w:p>
        </w:tc>
      </w:tr>
      <w:tr w:rsidR="00D230CF" w:rsidRPr="00512830" w14:paraId="5DEA4083" w14:textId="77777777" w:rsidTr="005158D2">
        <w:trPr>
          <w:trHeight w:val="286"/>
          <w:jc w:val="center"/>
        </w:trPr>
        <w:tc>
          <w:tcPr>
            <w:tcW w:w="1458" w:type="dxa"/>
            <w:shd w:val="clear" w:color="auto" w:fill="D9D9D9" w:themeFill="background1" w:themeFillShade="D9"/>
            <w:vAlign w:val="center"/>
          </w:tcPr>
          <w:p w14:paraId="6D9B2781" w14:textId="77777777" w:rsidR="00D230CF" w:rsidRPr="005158D2" w:rsidRDefault="00D230CF" w:rsidP="005158D2">
            <w:pPr>
              <w:spacing w:before="40" w:after="40"/>
              <w:jc w:val="both"/>
              <w:rPr>
                <w:b/>
                <w:i/>
                <w:sz w:val="16"/>
                <w:szCs w:val="16"/>
              </w:rPr>
            </w:pPr>
            <w:r w:rsidRPr="005158D2">
              <w:rPr>
                <w:b/>
                <w:i/>
                <w:sz w:val="16"/>
                <w:szCs w:val="16"/>
              </w:rPr>
              <w:t>DD 3.4</w:t>
            </w:r>
          </w:p>
        </w:tc>
        <w:tc>
          <w:tcPr>
            <w:tcW w:w="1839" w:type="dxa"/>
            <w:vAlign w:val="center"/>
          </w:tcPr>
          <w:p w14:paraId="74477306" w14:textId="77777777" w:rsidR="00D230CF" w:rsidRPr="005158D2" w:rsidRDefault="00D230CF" w:rsidP="005158D2">
            <w:pPr>
              <w:spacing w:before="40" w:after="40"/>
              <w:ind w:left="-57" w:right="28"/>
              <w:jc w:val="both"/>
              <w:rPr>
                <w:sz w:val="16"/>
                <w:szCs w:val="16"/>
              </w:rPr>
            </w:pPr>
            <w:r w:rsidRPr="005158D2">
              <w:rPr>
                <w:sz w:val="16"/>
                <w:szCs w:val="16"/>
              </w:rPr>
              <w:t>5.00/5.00 (0.82)</w:t>
            </w:r>
          </w:p>
        </w:tc>
        <w:tc>
          <w:tcPr>
            <w:tcW w:w="1850" w:type="dxa"/>
            <w:vAlign w:val="center"/>
          </w:tcPr>
          <w:p w14:paraId="7414B46C" w14:textId="77777777" w:rsidR="00D230CF" w:rsidRPr="005158D2" w:rsidRDefault="00D230CF" w:rsidP="005158D2">
            <w:pPr>
              <w:spacing w:before="40" w:after="40"/>
              <w:ind w:left="-57" w:right="28"/>
              <w:jc w:val="both"/>
              <w:rPr>
                <w:sz w:val="16"/>
                <w:szCs w:val="16"/>
              </w:rPr>
            </w:pPr>
            <w:r w:rsidRPr="005158D2">
              <w:rPr>
                <w:sz w:val="16"/>
                <w:szCs w:val="16"/>
              </w:rPr>
              <w:t>6.00/6.10 (1.18)</w:t>
            </w:r>
          </w:p>
        </w:tc>
        <w:tc>
          <w:tcPr>
            <w:tcW w:w="278" w:type="dxa"/>
            <w:vAlign w:val="center"/>
          </w:tcPr>
          <w:p w14:paraId="595A8E31" w14:textId="77777777" w:rsidR="00D230CF" w:rsidRPr="005158D2" w:rsidRDefault="00D230CF" w:rsidP="005158D2">
            <w:pPr>
              <w:spacing w:before="40" w:after="40"/>
              <w:ind w:left="-57" w:right="57"/>
              <w:jc w:val="both"/>
              <w:rPr>
                <w:sz w:val="16"/>
                <w:szCs w:val="16"/>
              </w:rPr>
            </w:pPr>
          </w:p>
        </w:tc>
        <w:tc>
          <w:tcPr>
            <w:tcW w:w="857" w:type="dxa"/>
            <w:vAlign w:val="center"/>
          </w:tcPr>
          <w:p w14:paraId="020DCA7E" w14:textId="77777777" w:rsidR="00D230CF" w:rsidRPr="005158D2" w:rsidRDefault="00D230CF" w:rsidP="005158D2">
            <w:pPr>
              <w:spacing w:before="40" w:after="40"/>
              <w:ind w:left="-57" w:right="-57"/>
              <w:jc w:val="both"/>
              <w:rPr>
                <w:sz w:val="16"/>
                <w:szCs w:val="16"/>
              </w:rPr>
            </w:pPr>
            <w:r w:rsidRPr="005158D2">
              <w:rPr>
                <w:sz w:val="16"/>
                <w:szCs w:val="16"/>
              </w:rPr>
              <w:t>3.15**</w:t>
            </w:r>
          </w:p>
        </w:tc>
        <w:tc>
          <w:tcPr>
            <w:tcW w:w="836" w:type="dxa"/>
            <w:vAlign w:val="center"/>
          </w:tcPr>
          <w:p w14:paraId="661DEB55" w14:textId="77777777" w:rsidR="00D230CF" w:rsidRPr="005158D2" w:rsidRDefault="00D230CF" w:rsidP="005158D2">
            <w:pPr>
              <w:spacing w:before="40" w:after="40"/>
              <w:ind w:left="-57" w:right="85"/>
              <w:jc w:val="both"/>
              <w:rPr>
                <w:sz w:val="16"/>
                <w:szCs w:val="16"/>
              </w:rPr>
            </w:pPr>
            <w:r w:rsidRPr="005158D2">
              <w:rPr>
                <w:sz w:val="16"/>
                <w:szCs w:val="16"/>
              </w:rPr>
              <w:t>.002</w:t>
            </w:r>
          </w:p>
        </w:tc>
        <w:tc>
          <w:tcPr>
            <w:tcW w:w="812" w:type="dxa"/>
            <w:tcBorders>
              <w:left w:val="nil"/>
            </w:tcBorders>
            <w:vAlign w:val="center"/>
          </w:tcPr>
          <w:p w14:paraId="24DA187D" w14:textId="77777777" w:rsidR="00D230CF" w:rsidRPr="005158D2" w:rsidRDefault="00D230CF" w:rsidP="005158D2">
            <w:pPr>
              <w:spacing w:before="40" w:after="40"/>
              <w:ind w:left="-57" w:right="57"/>
              <w:jc w:val="both"/>
              <w:rPr>
                <w:sz w:val="16"/>
                <w:szCs w:val="16"/>
              </w:rPr>
            </w:pPr>
            <w:r w:rsidRPr="005158D2">
              <w:rPr>
                <w:sz w:val="16"/>
                <w:szCs w:val="16"/>
              </w:rPr>
              <w:t>.052</w:t>
            </w:r>
          </w:p>
        </w:tc>
      </w:tr>
      <w:tr w:rsidR="00D230CF" w:rsidRPr="00512830" w14:paraId="53D24CB6" w14:textId="77777777" w:rsidTr="005158D2">
        <w:trPr>
          <w:trHeight w:val="286"/>
          <w:jc w:val="center"/>
        </w:trPr>
        <w:tc>
          <w:tcPr>
            <w:tcW w:w="1458" w:type="dxa"/>
            <w:tcBorders>
              <w:bottom w:val="single" w:sz="4" w:space="0" w:color="auto"/>
            </w:tcBorders>
            <w:shd w:val="clear" w:color="auto" w:fill="D9D9D9" w:themeFill="background1" w:themeFillShade="D9"/>
            <w:vAlign w:val="center"/>
          </w:tcPr>
          <w:p w14:paraId="7EB9B7E7" w14:textId="77777777" w:rsidR="00D230CF" w:rsidRPr="005158D2" w:rsidRDefault="00D230CF" w:rsidP="005158D2">
            <w:pPr>
              <w:spacing w:before="40" w:after="40"/>
              <w:jc w:val="both"/>
              <w:rPr>
                <w:b/>
                <w:i/>
                <w:sz w:val="16"/>
                <w:szCs w:val="16"/>
              </w:rPr>
            </w:pPr>
            <w:r w:rsidRPr="005158D2">
              <w:rPr>
                <w:b/>
                <w:i/>
                <w:sz w:val="16"/>
                <w:szCs w:val="16"/>
              </w:rPr>
              <w:lastRenderedPageBreak/>
              <w:t>DD 3.5</w:t>
            </w:r>
          </w:p>
        </w:tc>
        <w:tc>
          <w:tcPr>
            <w:tcW w:w="1839" w:type="dxa"/>
            <w:tcBorders>
              <w:bottom w:val="single" w:sz="4" w:space="0" w:color="auto"/>
            </w:tcBorders>
            <w:vAlign w:val="center"/>
          </w:tcPr>
          <w:p w14:paraId="35D122B6" w14:textId="77777777" w:rsidR="00D230CF" w:rsidRPr="005158D2" w:rsidRDefault="00D230CF" w:rsidP="005158D2">
            <w:pPr>
              <w:spacing w:before="40" w:after="40"/>
              <w:ind w:left="-57" w:right="28"/>
              <w:jc w:val="both"/>
              <w:rPr>
                <w:sz w:val="16"/>
                <w:szCs w:val="16"/>
              </w:rPr>
            </w:pPr>
            <w:r w:rsidRPr="005158D2">
              <w:rPr>
                <w:sz w:val="16"/>
                <w:szCs w:val="16"/>
              </w:rPr>
              <w:t>5.00/4.62 (0.65)</w:t>
            </w:r>
          </w:p>
        </w:tc>
        <w:tc>
          <w:tcPr>
            <w:tcW w:w="1850" w:type="dxa"/>
            <w:tcBorders>
              <w:bottom w:val="single" w:sz="4" w:space="0" w:color="auto"/>
            </w:tcBorders>
            <w:vAlign w:val="center"/>
          </w:tcPr>
          <w:p w14:paraId="332D7B75" w14:textId="77777777" w:rsidR="00D230CF" w:rsidRPr="005158D2" w:rsidRDefault="00D230CF" w:rsidP="005158D2">
            <w:pPr>
              <w:spacing w:before="40" w:after="40"/>
              <w:ind w:left="-57" w:right="28"/>
              <w:jc w:val="both"/>
              <w:rPr>
                <w:sz w:val="16"/>
                <w:szCs w:val="16"/>
              </w:rPr>
            </w:pPr>
            <w:r w:rsidRPr="005158D2">
              <w:rPr>
                <w:sz w:val="16"/>
                <w:szCs w:val="16"/>
              </w:rPr>
              <w:t>5.00/5.63 (1.18)</w:t>
            </w:r>
          </w:p>
        </w:tc>
        <w:tc>
          <w:tcPr>
            <w:tcW w:w="278" w:type="dxa"/>
            <w:tcBorders>
              <w:bottom w:val="single" w:sz="4" w:space="0" w:color="auto"/>
            </w:tcBorders>
            <w:vAlign w:val="center"/>
          </w:tcPr>
          <w:p w14:paraId="72E5FB16" w14:textId="77777777" w:rsidR="00D230CF" w:rsidRPr="005158D2" w:rsidRDefault="00D230CF" w:rsidP="005158D2">
            <w:pPr>
              <w:spacing w:before="40" w:after="40"/>
              <w:ind w:left="-57" w:right="57"/>
              <w:jc w:val="both"/>
              <w:rPr>
                <w:sz w:val="16"/>
                <w:szCs w:val="16"/>
              </w:rPr>
            </w:pPr>
          </w:p>
        </w:tc>
        <w:tc>
          <w:tcPr>
            <w:tcW w:w="857" w:type="dxa"/>
            <w:tcBorders>
              <w:bottom w:val="single" w:sz="4" w:space="0" w:color="auto"/>
            </w:tcBorders>
            <w:vAlign w:val="center"/>
          </w:tcPr>
          <w:p w14:paraId="7BDE750C" w14:textId="77777777" w:rsidR="00D230CF" w:rsidRPr="005158D2" w:rsidRDefault="00D230CF" w:rsidP="005158D2">
            <w:pPr>
              <w:spacing w:before="40" w:after="40"/>
              <w:ind w:left="-57" w:right="-57"/>
              <w:jc w:val="both"/>
              <w:rPr>
                <w:sz w:val="16"/>
                <w:szCs w:val="16"/>
              </w:rPr>
            </w:pPr>
            <w:r w:rsidRPr="005158D2">
              <w:rPr>
                <w:sz w:val="16"/>
                <w:szCs w:val="16"/>
              </w:rPr>
              <w:t>3.10**</w:t>
            </w:r>
          </w:p>
        </w:tc>
        <w:tc>
          <w:tcPr>
            <w:tcW w:w="836" w:type="dxa"/>
            <w:tcBorders>
              <w:bottom w:val="single" w:sz="4" w:space="0" w:color="auto"/>
            </w:tcBorders>
            <w:vAlign w:val="center"/>
          </w:tcPr>
          <w:p w14:paraId="203D4985" w14:textId="77777777" w:rsidR="00D230CF" w:rsidRPr="005158D2" w:rsidRDefault="00D230CF" w:rsidP="005158D2">
            <w:pPr>
              <w:spacing w:before="40" w:after="40"/>
              <w:ind w:left="-57" w:right="85"/>
              <w:jc w:val="both"/>
              <w:rPr>
                <w:sz w:val="16"/>
                <w:szCs w:val="16"/>
              </w:rPr>
            </w:pPr>
            <w:r w:rsidRPr="005158D2">
              <w:rPr>
                <w:sz w:val="16"/>
                <w:szCs w:val="16"/>
              </w:rPr>
              <w:t>.002</w:t>
            </w:r>
          </w:p>
        </w:tc>
        <w:tc>
          <w:tcPr>
            <w:tcW w:w="812" w:type="dxa"/>
            <w:tcBorders>
              <w:left w:val="nil"/>
              <w:bottom w:val="single" w:sz="4" w:space="0" w:color="auto"/>
            </w:tcBorders>
            <w:vAlign w:val="center"/>
          </w:tcPr>
          <w:p w14:paraId="6A3A260A" w14:textId="77777777" w:rsidR="00D230CF" w:rsidRPr="005158D2" w:rsidRDefault="00D230CF" w:rsidP="005158D2">
            <w:pPr>
              <w:spacing w:before="40" w:after="40"/>
              <w:ind w:left="-57" w:right="57"/>
              <w:jc w:val="both"/>
              <w:rPr>
                <w:sz w:val="16"/>
                <w:szCs w:val="16"/>
              </w:rPr>
            </w:pPr>
            <w:r w:rsidRPr="005158D2">
              <w:rPr>
                <w:sz w:val="16"/>
                <w:szCs w:val="16"/>
              </w:rPr>
              <w:t>.045</w:t>
            </w:r>
          </w:p>
        </w:tc>
      </w:tr>
      <w:tr w:rsidR="00D230CF" w:rsidRPr="00512830" w14:paraId="11353B16" w14:textId="77777777" w:rsidTr="005158D2">
        <w:trPr>
          <w:trHeight w:val="286"/>
          <w:jc w:val="center"/>
        </w:trPr>
        <w:tc>
          <w:tcPr>
            <w:tcW w:w="1458" w:type="dxa"/>
            <w:tcBorders>
              <w:top w:val="single" w:sz="4" w:space="0" w:color="auto"/>
            </w:tcBorders>
            <w:shd w:val="clear" w:color="auto" w:fill="D9D9D9" w:themeFill="background1" w:themeFillShade="D9"/>
            <w:vAlign w:val="center"/>
          </w:tcPr>
          <w:p w14:paraId="45D5BE5B" w14:textId="77777777" w:rsidR="00D230CF" w:rsidRPr="005158D2" w:rsidRDefault="00D230CF" w:rsidP="005158D2">
            <w:pPr>
              <w:spacing w:before="40" w:after="40"/>
              <w:jc w:val="both"/>
              <w:rPr>
                <w:b/>
                <w:i/>
                <w:sz w:val="16"/>
                <w:szCs w:val="16"/>
              </w:rPr>
            </w:pPr>
            <w:r w:rsidRPr="005158D2">
              <w:rPr>
                <w:b/>
                <w:i/>
                <w:sz w:val="16"/>
                <w:szCs w:val="16"/>
              </w:rPr>
              <w:t>RR TOTAL</w:t>
            </w:r>
          </w:p>
        </w:tc>
        <w:tc>
          <w:tcPr>
            <w:tcW w:w="1839" w:type="dxa"/>
            <w:tcBorders>
              <w:top w:val="single" w:sz="4" w:space="0" w:color="auto"/>
            </w:tcBorders>
            <w:vAlign w:val="center"/>
          </w:tcPr>
          <w:p w14:paraId="33F4738A" w14:textId="77777777" w:rsidR="00D230CF" w:rsidRPr="005158D2" w:rsidRDefault="00D230CF" w:rsidP="005158D2">
            <w:pPr>
              <w:spacing w:before="40" w:after="40"/>
              <w:ind w:left="-57" w:right="28"/>
              <w:jc w:val="both"/>
              <w:rPr>
                <w:sz w:val="16"/>
                <w:szCs w:val="16"/>
              </w:rPr>
            </w:pPr>
            <w:r w:rsidRPr="005158D2">
              <w:rPr>
                <w:sz w:val="16"/>
                <w:szCs w:val="16"/>
              </w:rPr>
              <w:t>6.00/7.15 (3.58)</w:t>
            </w:r>
          </w:p>
        </w:tc>
        <w:tc>
          <w:tcPr>
            <w:tcW w:w="1850" w:type="dxa"/>
            <w:tcBorders>
              <w:top w:val="single" w:sz="4" w:space="0" w:color="auto"/>
            </w:tcBorders>
            <w:vAlign w:val="center"/>
          </w:tcPr>
          <w:p w14:paraId="44013DBD" w14:textId="77777777" w:rsidR="00D230CF" w:rsidRPr="005158D2" w:rsidRDefault="00D230CF" w:rsidP="005158D2">
            <w:pPr>
              <w:spacing w:before="40" w:after="40"/>
              <w:ind w:left="-57" w:right="28"/>
              <w:jc w:val="both"/>
              <w:rPr>
                <w:sz w:val="16"/>
                <w:szCs w:val="16"/>
              </w:rPr>
            </w:pPr>
            <w:r w:rsidRPr="005158D2">
              <w:rPr>
                <w:sz w:val="16"/>
                <w:szCs w:val="16"/>
              </w:rPr>
              <w:t>14.00/12.14 (4.08)</w:t>
            </w:r>
          </w:p>
        </w:tc>
        <w:tc>
          <w:tcPr>
            <w:tcW w:w="278" w:type="dxa"/>
            <w:tcBorders>
              <w:top w:val="single" w:sz="4" w:space="0" w:color="auto"/>
            </w:tcBorders>
            <w:vAlign w:val="center"/>
          </w:tcPr>
          <w:p w14:paraId="7EAA55DF" w14:textId="77777777" w:rsidR="00D230CF" w:rsidRPr="005158D2" w:rsidRDefault="00D230CF" w:rsidP="005158D2">
            <w:pPr>
              <w:spacing w:before="40" w:after="40"/>
              <w:ind w:left="-57" w:right="57"/>
              <w:jc w:val="both"/>
              <w:rPr>
                <w:sz w:val="16"/>
                <w:szCs w:val="16"/>
              </w:rPr>
            </w:pPr>
          </w:p>
        </w:tc>
        <w:tc>
          <w:tcPr>
            <w:tcW w:w="857" w:type="dxa"/>
            <w:tcBorders>
              <w:top w:val="single" w:sz="4" w:space="0" w:color="auto"/>
            </w:tcBorders>
            <w:vAlign w:val="center"/>
          </w:tcPr>
          <w:p w14:paraId="67AD4086" w14:textId="77777777" w:rsidR="00D230CF" w:rsidRPr="005158D2" w:rsidRDefault="00D230CF" w:rsidP="005158D2">
            <w:pPr>
              <w:spacing w:before="40" w:after="40"/>
              <w:ind w:left="-57" w:right="-57"/>
              <w:jc w:val="both"/>
              <w:rPr>
                <w:sz w:val="16"/>
                <w:szCs w:val="16"/>
              </w:rPr>
            </w:pPr>
            <w:r w:rsidRPr="005158D2">
              <w:rPr>
                <w:sz w:val="16"/>
                <w:szCs w:val="16"/>
              </w:rPr>
              <w:t>4.02**</w:t>
            </w:r>
          </w:p>
        </w:tc>
        <w:tc>
          <w:tcPr>
            <w:tcW w:w="836" w:type="dxa"/>
            <w:tcBorders>
              <w:top w:val="single" w:sz="4" w:space="0" w:color="auto"/>
            </w:tcBorders>
            <w:vAlign w:val="center"/>
          </w:tcPr>
          <w:p w14:paraId="7C913FE6" w14:textId="77777777" w:rsidR="00D230CF" w:rsidRPr="005158D2" w:rsidRDefault="00D230CF" w:rsidP="005158D2">
            <w:pPr>
              <w:spacing w:before="40" w:after="40"/>
              <w:ind w:left="-57" w:right="85"/>
              <w:jc w:val="both"/>
              <w:rPr>
                <w:sz w:val="16"/>
                <w:szCs w:val="16"/>
              </w:rPr>
            </w:pPr>
            <w:r w:rsidRPr="005158D2">
              <w:rPr>
                <w:sz w:val="16"/>
                <w:szCs w:val="16"/>
              </w:rPr>
              <w:t>.000</w:t>
            </w:r>
          </w:p>
        </w:tc>
        <w:tc>
          <w:tcPr>
            <w:tcW w:w="812" w:type="dxa"/>
            <w:tcBorders>
              <w:top w:val="single" w:sz="4" w:space="0" w:color="auto"/>
              <w:left w:val="nil"/>
            </w:tcBorders>
            <w:vAlign w:val="center"/>
          </w:tcPr>
          <w:p w14:paraId="6B4D57FB" w14:textId="77777777" w:rsidR="00D230CF" w:rsidRPr="005158D2" w:rsidRDefault="00D230CF" w:rsidP="005158D2">
            <w:pPr>
              <w:spacing w:before="40" w:after="40"/>
              <w:ind w:left="-57" w:right="57"/>
              <w:jc w:val="both"/>
              <w:rPr>
                <w:sz w:val="16"/>
                <w:szCs w:val="16"/>
              </w:rPr>
            </w:pPr>
            <w:r w:rsidRPr="005158D2">
              <w:rPr>
                <w:sz w:val="16"/>
                <w:szCs w:val="16"/>
              </w:rPr>
              <w:t>.085</w:t>
            </w:r>
          </w:p>
        </w:tc>
      </w:tr>
      <w:tr w:rsidR="00D230CF" w:rsidRPr="00512830" w14:paraId="77A1C054" w14:textId="77777777" w:rsidTr="005158D2">
        <w:trPr>
          <w:trHeight w:val="299"/>
          <w:jc w:val="center"/>
        </w:trPr>
        <w:tc>
          <w:tcPr>
            <w:tcW w:w="1458" w:type="dxa"/>
            <w:shd w:val="clear" w:color="auto" w:fill="D9D9D9" w:themeFill="background1" w:themeFillShade="D9"/>
            <w:vAlign w:val="center"/>
          </w:tcPr>
          <w:p w14:paraId="42287B0E" w14:textId="77777777" w:rsidR="00D230CF" w:rsidRPr="005158D2" w:rsidRDefault="00D230CF" w:rsidP="005158D2">
            <w:pPr>
              <w:spacing w:before="40" w:after="40"/>
              <w:jc w:val="both"/>
              <w:rPr>
                <w:b/>
                <w:i/>
                <w:sz w:val="16"/>
                <w:szCs w:val="16"/>
              </w:rPr>
            </w:pPr>
            <w:r w:rsidRPr="005158D2">
              <w:rPr>
                <w:b/>
                <w:i/>
                <w:sz w:val="16"/>
                <w:szCs w:val="16"/>
              </w:rPr>
              <w:t>RR 7.4</w:t>
            </w:r>
          </w:p>
        </w:tc>
        <w:tc>
          <w:tcPr>
            <w:tcW w:w="1839" w:type="dxa"/>
            <w:vAlign w:val="center"/>
          </w:tcPr>
          <w:p w14:paraId="2605AD8A" w14:textId="77777777" w:rsidR="00D230CF" w:rsidRPr="005158D2" w:rsidRDefault="00D230CF" w:rsidP="005158D2">
            <w:pPr>
              <w:spacing w:before="40" w:after="40"/>
              <w:ind w:left="-57" w:right="28"/>
              <w:jc w:val="both"/>
              <w:rPr>
                <w:sz w:val="16"/>
                <w:szCs w:val="16"/>
              </w:rPr>
            </w:pPr>
            <w:r w:rsidRPr="005158D2">
              <w:rPr>
                <w:sz w:val="16"/>
                <w:szCs w:val="16"/>
              </w:rPr>
              <w:t>4.00/4.54 (2.60)</w:t>
            </w:r>
          </w:p>
        </w:tc>
        <w:tc>
          <w:tcPr>
            <w:tcW w:w="1850" w:type="dxa"/>
            <w:vAlign w:val="center"/>
          </w:tcPr>
          <w:p w14:paraId="42DF5EB9" w14:textId="77777777" w:rsidR="00D230CF" w:rsidRPr="005158D2" w:rsidRDefault="00D230CF" w:rsidP="005158D2">
            <w:pPr>
              <w:spacing w:before="40" w:after="40"/>
              <w:ind w:left="-57" w:right="28"/>
              <w:jc w:val="both"/>
              <w:rPr>
                <w:sz w:val="16"/>
                <w:szCs w:val="16"/>
              </w:rPr>
            </w:pPr>
            <w:r w:rsidRPr="005158D2">
              <w:rPr>
                <w:sz w:val="16"/>
                <w:szCs w:val="16"/>
              </w:rPr>
              <w:t>8.00/6.52 (1.92)</w:t>
            </w:r>
          </w:p>
        </w:tc>
        <w:tc>
          <w:tcPr>
            <w:tcW w:w="278" w:type="dxa"/>
            <w:vAlign w:val="center"/>
          </w:tcPr>
          <w:p w14:paraId="0E41C603" w14:textId="77777777" w:rsidR="00D230CF" w:rsidRPr="005158D2" w:rsidRDefault="00D230CF" w:rsidP="005158D2">
            <w:pPr>
              <w:spacing w:before="40" w:after="40"/>
              <w:ind w:left="-57" w:right="57"/>
              <w:jc w:val="both"/>
              <w:rPr>
                <w:sz w:val="16"/>
                <w:szCs w:val="16"/>
              </w:rPr>
            </w:pPr>
          </w:p>
        </w:tc>
        <w:tc>
          <w:tcPr>
            <w:tcW w:w="857" w:type="dxa"/>
            <w:vAlign w:val="center"/>
          </w:tcPr>
          <w:p w14:paraId="0C561CA9" w14:textId="77777777" w:rsidR="00D230CF" w:rsidRPr="005158D2" w:rsidRDefault="00D230CF" w:rsidP="005158D2">
            <w:pPr>
              <w:spacing w:before="40" w:after="40"/>
              <w:ind w:left="-57" w:right="-57"/>
              <w:jc w:val="both"/>
              <w:rPr>
                <w:sz w:val="16"/>
                <w:szCs w:val="16"/>
              </w:rPr>
            </w:pPr>
            <w:r w:rsidRPr="005158D2">
              <w:rPr>
                <w:sz w:val="16"/>
                <w:szCs w:val="16"/>
              </w:rPr>
              <w:t>2.87**</w:t>
            </w:r>
          </w:p>
        </w:tc>
        <w:tc>
          <w:tcPr>
            <w:tcW w:w="836" w:type="dxa"/>
            <w:vAlign w:val="center"/>
          </w:tcPr>
          <w:p w14:paraId="5E964261" w14:textId="77777777" w:rsidR="00D230CF" w:rsidRPr="005158D2" w:rsidRDefault="00D230CF" w:rsidP="005158D2">
            <w:pPr>
              <w:spacing w:before="40" w:after="40"/>
              <w:ind w:left="-57" w:right="85"/>
              <w:jc w:val="both"/>
              <w:rPr>
                <w:sz w:val="16"/>
                <w:szCs w:val="16"/>
              </w:rPr>
            </w:pPr>
            <w:r w:rsidRPr="005158D2">
              <w:rPr>
                <w:sz w:val="16"/>
                <w:szCs w:val="16"/>
              </w:rPr>
              <w:t>.004</w:t>
            </w:r>
          </w:p>
        </w:tc>
        <w:tc>
          <w:tcPr>
            <w:tcW w:w="812" w:type="dxa"/>
            <w:tcBorders>
              <w:left w:val="nil"/>
            </w:tcBorders>
            <w:vAlign w:val="center"/>
          </w:tcPr>
          <w:p w14:paraId="457D6BEA" w14:textId="77777777" w:rsidR="00D230CF" w:rsidRPr="005158D2" w:rsidRDefault="00D230CF" w:rsidP="005158D2">
            <w:pPr>
              <w:spacing w:before="40" w:after="40"/>
              <w:ind w:left="-57" w:right="57"/>
              <w:jc w:val="both"/>
              <w:rPr>
                <w:sz w:val="16"/>
                <w:szCs w:val="16"/>
              </w:rPr>
            </w:pPr>
            <w:r w:rsidRPr="005158D2">
              <w:rPr>
                <w:sz w:val="16"/>
                <w:szCs w:val="16"/>
              </w:rPr>
              <w:t>.059</w:t>
            </w:r>
          </w:p>
        </w:tc>
      </w:tr>
      <w:tr w:rsidR="00D230CF" w:rsidRPr="00512830" w14:paraId="08D5DDEF" w14:textId="77777777" w:rsidTr="005158D2">
        <w:trPr>
          <w:trHeight w:val="324"/>
          <w:jc w:val="center"/>
        </w:trPr>
        <w:tc>
          <w:tcPr>
            <w:tcW w:w="1458" w:type="dxa"/>
            <w:tcBorders>
              <w:bottom w:val="single" w:sz="4" w:space="0" w:color="auto"/>
            </w:tcBorders>
            <w:shd w:val="clear" w:color="auto" w:fill="D9D9D9" w:themeFill="background1" w:themeFillShade="D9"/>
            <w:vAlign w:val="center"/>
          </w:tcPr>
          <w:p w14:paraId="135C4BEE" w14:textId="77777777" w:rsidR="00D230CF" w:rsidRPr="005158D2" w:rsidRDefault="00D230CF" w:rsidP="005158D2">
            <w:pPr>
              <w:spacing w:before="40" w:after="40"/>
              <w:jc w:val="both"/>
              <w:rPr>
                <w:b/>
                <w:i/>
                <w:sz w:val="16"/>
                <w:szCs w:val="16"/>
              </w:rPr>
            </w:pPr>
            <w:r w:rsidRPr="005158D2">
              <w:rPr>
                <w:b/>
                <w:i/>
                <w:sz w:val="16"/>
                <w:szCs w:val="16"/>
              </w:rPr>
              <w:t>RR 7.5</w:t>
            </w:r>
          </w:p>
        </w:tc>
        <w:tc>
          <w:tcPr>
            <w:tcW w:w="1839" w:type="dxa"/>
            <w:vAlign w:val="center"/>
          </w:tcPr>
          <w:p w14:paraId="56D9B536" w14:textId="77777777" w:rsidR="00D230CF" w:rsidRPr="005158D2" w:rsidRDefault="00D230CF" w:rsidP="005158D2">
            <w:pPr>
              <w:spacing w:before="40" w:after="80"/>
              <w:ind w:left="-57" w:right="28"/>
              <w:jc w:val="both"/>
              <w:rPr>
                <w:sz w:val="16"/>
                <w:szCs w:val="16"/>
              </w:rPr>
            </w:pPr>
            <w:r w:rsidRPr="005158D2">
              <w:rPr>
                <w:sz w:val="16"/>
                <w:szCs w:val="16"/>
              </w:rPr>
              <w:t>2.00/2.62 (1.19)</w:t>
            </w:r>
          </w:p>
        </w:tc>
        <w:tc>
          <w:tcPr>
            <w:tcW w:w="1850" w:type="dxa"/>
            <w:vAlign w:val="center"/>
          </w:tcPr>
          <w:p w14:paraId="7909CAF4" w14:textId="77777777" w:rsidR="00D230CF" w:rsidRPr="005158D2" w:rsidRDefault="00D230CF" w:rsidP="005158D2">
            <w:pPr>
              <w:spacing w:before="40" w:after="80"/>
              <w:ind w:left="-57" w:right="28"/>
              <w:jc w:val="both"/>
              <w:rPr>
                <w:sz w:val="16"/>
                <w:szCs w:val="16"/>
              </w:rPr>
            </w:pPr>
            <w:r w:rsidRPr="005158D2">
              <w:rPr>
                <w:sz w:val="16"/>
                <w:szCs w:val="16"/>
              </w:rPr>
              <w:t>6.00/5.63 (2.31)</w:t>
            </w:r>
          </w:p>
        </w:tc>
        <w:tc>
          <w:tcPr>
            <w:tcW w:w="278" w:type="dxa"/>
            <w:vAlign w:val="center"/>
          </w:tcPr>
          <w:p w14:paraId="07BBF9E4" w14:textId="77777777" w:rsidR="00D230CF" w:rsidRPr="005158D2" w:rsidRDefault="00D230CF" w:rsidP="005158D2">
            <w:pPr>
              <w:spacing w:before="40" w:after="80"/>
              <w:ind w:left="-57" w:right="57"/>
              <w:jc w:val="both"/>
              <w:rPr>
                <w:sz w:val="16"/>
                <w:szCs w:val="16"/>
              </w:rPr>
            </w:pPr>
          </w:p>
        </w:tc>
        <w:tc>
          <w:tcPr>
            <w:tcW w:w="857" w:type="dxa"/>
            <w:vAlign w:val="center"/>
          </w:tcPr>
          <w:p w14:paraId="516E4E0F" w14:textId="77777777" w:rsidR="00D230CF" w:rsidRPr="005158D2" w:rsidRDefault="00D230CF" w:rsidP="005158D2">
            <w:pPr>
              <w:spacing w:before="40" w:after="80"/>
              <w:ind w:left="-57" w:right="-57"/>
              <w:jc w:val="both"/>
              <w:rPr>
                <w:sz w:val="16"/>
                <w:szCs w:val="16"/>
              </w:rPr>
            </w:pPr>
            <w:r w:rsidRPr="005158D2">
              <w:rPr>
                <w:sz w:val="16"/>
                <w:szCs w:val="16"/>
              </w:rPr>
              <w:t>4.51**</w:t>
            </w:r>
          </w:p>
        </w:tc>
        <w:tc>
          <w:tcPr>
            <w:tcW w:w="836" w:type="dxa"/>
            <w:vAlign w:val="center"/>
          </w:tcPr>
          <w:p w14:paraId="0FB57210" w14:textId="77777777" w:rsidR="00D230CF" w:rsidRPr="005158D2" w:rsidRDefault="00D230CF" w:rsidP="005158D2">
            <w:pPr>
              <w:spacing w:before="40" w:after="80"/>
              <w:ind w:left="-57" w:right="85"/>
              <w:jc w:val="both"/>
              <w:rPr>
                <w:sz w:val="16"/>
                <w:szCs w:val="16"/>
              </w:rPr>
            </w:pPr>
            <w:r w:rsidRPr="005158D2">
              <w:rPr>
                <w:sz w:val="16"/>
                <w:szCs w:val="16"/>
              </w:rPr>
              <w:t>.000</w:t>
            </w:r>
          </w:p>
        </w:tc>
        <w:tc>
          <w:tcPr>
            <w:tcW w:w="812" w:type="dxa"/>
            <w:tcBorders>
              <w:left w:val="nil"/>
            </w:tcBorders>
            <w:vAlign w:val="center"/>
          </w:tcPr>
          <w:p w14:paraId="3EE596C5" w14:textId="77777777" w:rsidR="00D230CF" w:rsidRPr="005158D2" w:rsidRDefault="00D230CF" w:rsidP="005158D2">
            <w:pPr>
              <w:spacing w:before="40" w:after="80"/>
              <w:ind w:left="-57" w:right="57"/>
              <w:jc w:val="both"/>
              <w:rPr>
                <w:sz w:val="16"/>
                <w:szCs w:val="16"/>
              </w:rPr>
            </w:pPr>
            <w:r w:rsidRPr="005158D2">
              <w:rPr>
                <w:sz w:val="16"/>
                <w:szCs w:val="16"/>
              </w:rPr>
              <w:t>.098</w:t>
            </w:r>
          </w:p>
        </w:tc>
      </w:tr>
      <w:tr w:rsidR="00D230CF" w:rsidRPr="00512830" w14:paraId="66BA10C3" w14:textId="77777777" w:rsidTr="005158D2">
        <w:trPr>
          <w:trHeight w:val="312"/>
          <w:jc w:val="center"/>
        </w:trPr>
        <w:tc>
          <w:tcPr>
            <w:tcW w:w="7930" w:type="dxa"/>
            <w:gridSpan w:val="7"/>
            <w:tcBorders>
              <w:top w:val="single" w:sz="4" w:space="0" w:color="auto"/>
              <w:left w:val="nil"/>
              <w:bottom w:val="single" w:sz="4" w:space="0" w:color="auto"/>
            </w:tcBorders>
            <w:shd w:val="clear" w:color="auto" w:fill="FFFFFF" w:themeFill="background1"/>
            <w:vAlign w:val="center"/>
          </w:tcPr>
          <w:p w14:paraId="0FAFCF8D" w14:textId="77777777" w:rsidR="00D230CF" w:rsidRPr="005158D2" w:rsidRDefault="00D230CF" w:rsidP="005158D2">
            <w:pPr>
              <w:spacing w:before="60" w:after="60"/>
              <w:ind w:right="57"/>
              <w:jc w:val="both"/>
              <w:rPr>
                <w:sz w:val="14"/>
                <w:szCs w:val="16"/>
              </w:rPr>
            </w:pPr>
            <w:r w:rsidRPr="005158D2">
              <w:rPr>
                <w:sz w:val="15"/>
                <w:szCs w:val="15"/>
              </w:rPr>
              <w:t>SD standard deviation; *</w:t>
            </w:r>
            <w:r w:rsidRPr="005158D2">
              <w:rPr>
                <w:sz w:val="14"/>
                <w:szCs w:val="16"/>
              </w:rPr>
              <w:t>= statistical significance;</w:t>
            </w:r>
            <w:r w:rsidRPr="005158D2">
              <w:rPr>
                <w:sz w:val="15"/>
                <w:szCs w:val="15"/>
              </w:rPr>
              <w:t xml:space="preserve"> **</w:t>
            </w:r>
            <w:r w:rsidRPr="005158D2">
              <w:rPr>
                <w:sz w:val="14"/>
                <w:szCs w:val="16"/>
              </w:rPr>
              <w:t>= high statistical significance; DD dental development; RR root resorption.</w:t>
            </w:r>
          </w:p>
        </w:tc>
      </w:tr>
    </w:tbl>
    <w:p w14:paraId="0B22000E" w14:textId="7AA43418" w:rsidR="00D230CF" w:rsidRPr="005158D2" w:rsidRDefault="00D230CF" w:rsidP="00D230CF">
      <w:pPr>
        <w:spacing w:before="40" w:after="40"/>
        <w:jc w:val="both"/>
        <w:rPr>
          <w:rFonts w:eastAsia="Calibri" w:cstheme="minorHAnsi"/>
          <w:color w:val="000000"/>
          <w:sz w:val="18"/>
          <w:szCs w:val="18"/>
        </w:rPr>
      </w:pPr>
      <w:r w:rsidRPr="005158D2">
        <w:rPr>
          <w:rFonts w:cstheme="minorHAnsi"/>
          <w:b/>
          <w:color w:val="000000"/>
          <w:sz w:val="18"/>
          <w:szCs w:val="16"/>
        </w:rPr>
        <w:t>Table 4</w:t>
      </w:r>
      <w:r w:rsidRPr="005158D2">
        <w:rPr>
          <w:rFonts w:cstheme="minorHAnsi"/>
          <w:color w:val="000000"/>
          <w:sz w:val="18"/>
          <w:szCs w:val="16"/>
        </w:rPr>
        <w:t xml:space="preserve">: Dental development and root resorption in girls aged between </w:t>
      </w:r>
      <w:r w:rsidRPr="005158D2">
        <w:rPr>
          <w:rFonts w:eastAsia="Calibri" w:cstheme="minorHAnsi"/>
          <w:color w:val="000000"/>
          <w:sz w:val="18"/>
          <w:szCs w:val="18"/>
        </w:rPr>
        <w:t>6.00 and 11.99</w:t>
      </w:r>
      <w:r w:rsidRPr="005158D2">
        <w:rPr>
          <w:rFonts w:cstheme="minorHAnsi"/>
          <w:color w:val="000000"/>
          <w:sz w:val="18"/>
          <w:szCs w:val="16"/>
        </w:rPr>
        <w:t xml:space="preserve"> years and the corresponding </w:t>
      </w:r>
      <w:r w:rsidRPr="005158D2">
        <w:rPr>
          <w:rFonts w:cstheme="minorHAnsi"/>
          <w:i/>
          <w:iCs/>
          <w:color w:val="000000"/>
          <w:sz w:val="18"/>
          <w:szCs w:val="16"/>
        </w:rPr>
        <w:t>p</w:t>
      </w:r>
      <w:r w:rsidRPr="005158D2">
        <w:rPr>
          <w:rFonts w:cstheme="minorHAnsi"/>
          <w:color w:val="000000"/>
          <w:sz w:val="18"/>
          <w:szCs w:val="16"/>
        </w:rPr>
        <w:t xml:space="preserve"> values</w:t>
      </w:r>
      <w:r w:rsidRPr="005158D2">
        <w:rPr>
          <w:rFonts w:eastAsia="Calibri" w:cstheme="minorHAnsi"/>
          <w:color w:val="000000"/>
          <w:sz w:val="18"/>
          <w:szCs w:val="18"/>
        </w:rPr>
        <w:t>.</w:t>
      </w:r>
    </w:p>
    <w:p w14:paraId="3268CC30" w14:textId="77777777" w:rsidR="00D230CF" w:rsidRPr="00984AD7" w:rsidRDefault="00D230CF" w:rsidP="00D230CF">
      <w:pPr>
        <w:jc w:val="both"/>
        <w:rPr>
          <w:rFonts w:ascii="Arial" w:hAnsi="Arial" w:cs="Arial"/>
          <w:u w:val="single"/>
        </w:rPr>
      </w:pPr>
    </w:p>
    <w:p w14:paraId="796E22A1" w14:textId="77777777" w:rsidR="00D230CF" w:rsidRPr="00984AD7" w:rsidRDefault="00D230CF" w:rsidP="00D230CF">
      <w:pPr>
        <w:jc w:val="both"/>
        <w:rPr>
          <w:rFonts w:ascii="Arial" w:hAnsi="Arial" w:cs="Arial"/>
        </w:rPr>
      </w:pPr>
      <w:r w:rsidRPr="00984AD7">
        <w:rPr>
          <w:rFonts w:ascii="Arial" w:hAnsi="Arial" w:cs="Arial"/>
          <w:u w:val="single"/>
        </w:rPr>
        <w:t>Root resorption of primary molars in boys</w:t>
      </w:r>
      <w:r w:rsidRPr="00984AD7">
        <w:rPr>
          <w:rFonts w:ascii="Arial" w:hAnsi="Arial" w:cs="Arial"/>
        </w:rPr>
        <w:t>:</w:t>
      </w:r>
    </w:p>
    <w:p w14:paraId="1133687C" w14:textId="77777777" w:rsidR="00D230CF" w:rsidRPr="00984AD7" w:rsidRDefault="00D230CF" w:rsidP="00D230CF">
      <w:pPr>
        <w:jc w:val="both"/>
        <w:rPr>
          <w:rFonts w:ascii="Arial" w:hAnsi="Arial" w:cs="Arial"/>
        </w:rPr>
      </w:pPr>
    </w:p>
    <w:p w14:paraId="7C3C2965" w14:textId="22752DD8" w:rsidR="00D230CF" w:rsidRPr="00984AD7" w:rsidRDefault="00D230CF" w:rsidP="00D230CF">
      <w:pPr>
        <w:jc w:val="both"/>
        <w:rPr>
          <w:rFonts w:ascii="Arial" w:hAnsi="Arial" w:cs="Arial"/>
        </w:rPr>
      </w:pPr>
      <w:r>
        <w:rPr>
          <w:rFonts w:ascii="Arial" w:hAnsi="Arial" w:cs="Arial"/>
        </w:rPr>
        <w:t>T</w:t>
      </w:r>
      <w:r w:rsidRPr="00984AD7">
        <w:rPr>
          <w:rFonts w:ascii="Arial" w:hAnsi="Arial" w:cs="Arial"/>
        </w:rPr>
        <w:t xml:space="preserve">he root </w:t>
      </w:r>
      <w:r>
        <w:rPr>
          <w:rFonts w:ascii="Arial" w:hAnsi="Arial" w:cs="Arial"/>
        </w:rPr>
        <w:t xml:space="preserve">resorption </w:t>
      </w:r>
      <w:r w:rsidRPr="00984AD7">
        <w:rPr>
          <w:rFonts w:ascii="Arial" w:hAnsi="Arial" w:cs="Arial"/>
        </w:rPr>
        <w:t xml:space="preserve">of 7.4 was 25% in </w:t>
      </w:r>
      <w:r>
        <w:rPr>
          <w:rFonts w:ascii="Arial" w:hAnsi="Arial" w:cs="Arial"/>
        </w:rPr>
        <w:t xml:space="preserve">boys in </w:t>
      </w:r>
      <w:r w:rsidRPr="00984AD7">
        <w:rPr>
          <w:rFonts w:ascii="Arial" w:hAnsi="Arial" w:cs="Arial"/>
        </w:rPr>
        <w:t xml:space="preserve">the study group </w:t>
      </w:r>
      <w:r>
        <w:rPr>
          <w:rFonts w:ascii="Arial" w:hAnsi="Arial" w:cs="Arial"/>
        </w:rPr>
        <w:t xml:space="preserve">and </w:t>
      </w:r>
      <w:r w:rsidRPr="00984AD7">
        <w:rPr>
          <w:rFonts w:ascii="Arial" w:hAnsi="Arial" w:cs="Arial"/>
        </w:rPr>
        <w:t>50% in the control group</w:t>
      </w:r>
      <w:r>
        <w:rPr>
          <w:rFonts w:ascii="Arial" w:hAnsi="Arial" w:cs="Arial"/>
        </w:rPr>
        <w:t>.</w:t>
      </w:r>
      <w:r w:rsidRPr="00984AD7">
        <w:rPr>
          <w:rFonts w:ascii="Arial" w:hAnsi="Arial" w:cs="Arial"/>
        </w:rPr>
        <w:t xml:space="preserve"> </w:t>
      </w:r>
      <w:r>
        <w:rPr>
          <w:rFonts w:ascii="Arial" w:hAnsi="Arial" w:cs="Arial"/>
        </w:rPr>
        <w:t>T</w:t>
      </w:r>
      <w:r w:rsidRPr="00984AD7">
        <w:rPr>
          <w:rFonts w:ascii="Arial" w:hAnsi="Arial" w:cs="Arial"/>
        </w:rPr>
        <w:t xml:space="preserve">he root </w:t>
      </w:r>
      <w:r>
        <w:rPr>
          <w:rFonts w:ascii="Arial" w:hAnsi="Arial" w:cs="Arial"/>
        </w:rPr>
        <w:t xml:space="preserve">resorption </w:t>
      </w:r>
      <w:r w:rsidRPr="00984AD7">
        <w:rPr>
          <w:rFonts w:ascii="Arial" w:hAnsi="Arial" w:cs="Arial"/>
        </w:rPr>
        <w:t xml:space="preserve">of 7.5 was 25% in </w:t>
      </w:r>
      <w:r>
        <w:rPr>
          <w:rFonts w:ascii="Arial" w:hAnsi="Arial" w:cs="Arial"/>
        </w:rPr>
        <w:t xml:space="preserve">boys in </w:t>
      </w:r>
      <w:r w:rsidRPr="00984AD7">
        <w:rPr>
          <w:rFonts w:ascii="Arial" w:hAnsi="Arial" w:cs="Arial"/>
        </w:rPr>
        <w:t xml:space="preserve">the study group, </w:t>
      </w:r>
      <w:r>
        <w:rPr>
          <w:rFonts w:ascii="Arial" w:hAnsi="Arial" w:cs="Arial"/>
        </w:rPr>
        <w:t xml:space="preserve">but </w:t>
      </w:r>
      <w:r w:rsidRPr="00984AD7">
        <w:rPr>
          <w:rFonts w:ascii="Arial" w:hAnsi="Arial" w:cs="Arial"/>
        </w:rPr>
        <w:t xml:space="preserve">no resorption </w:t>
      </w:r>
      <w:r>
        <w:rPr>
          <w:rFonts w:ascii="Arial" w:hAnsi="Arial" w:cs="Arial"/>
        </w:rPr>
        <w:t xml:space="preserve">had </w:t>
      </w:r>
      <w:r w:rsidRPr="00984AD7">
        <w:rPr>
          <w:rFonts w:ascii="Arial" w:hAnsi="Arial" w:cs="Arial"/>
        </w:rPr>
        <w:t>occurred</w:t>
      </w:r>
      <w:r>
        <w:rPr>
          <w:rFonts w:ascii="Arial" w:hAnsi="Arial" w:cs="Arial"/>
        </w:rPr>
        <w:t xml:space="preserve"> in the control group</w:t>
      </w:r>
      <w:r w:rsidR="007C1C6A">
        <w:rPr>
          <w:rStyle w:val="Refdecomentario"/>
          <w:rFonts w:ascii="Tahoma" w:eastAsiaTheme="minorHAnsi" w:hAnsi="Tahoma" w:cs="Tahoma"/>
          <w:lang w:val="en-US" w:eastAsia="en-US"/>
        </w:rPr>
        <w:t>.</w:t>
      </w:r>
    </w:p>
    <w:p w14:paraId="2B0D0B6B" w14:textId="77777777" w:rsidR="00D230CF" w:rsidRPr="00984AD7" w:rsidRDefault="00D230CF" w:rsidP="00D230CF">
      <w:pPr>
        <w:jc w:val="both"/>
        <w:rPr>
          <w:rFonts w:ascii="Arial" w:hAnsi="Arial" w:cs="Arial"/>
        </w:rPr>
      </w:pPr>
    </w:p>
    <w:p w14:paraId="2E7BC7F0" w14:textId="77777777" w:rsidR="00D230CF" w:rsidRPr="00984AD7" w:rsidRDefault="00D230CF" w:rsidP="00D230CF">
      <w:pPr>
        <w:jc w:val="both"/>
        <w:rPr>
          <w:rFonts w:ascii="Arial" w:hAnsi="Arial" w:cs="Arial"/>
        </w:rPr>
      </w:pPr>
      <w:r w:rsidRPr="00984AD7">
        <w:rPr>
          <w:rFonts w:ascii="Arial" w:hAnsi="Arial" w:cs="Arial"/>
        </w:rPr>
        <w:t>When analysing the exfoliation of the primary molars in both groups without stratification by age, delay</w:t>
      </w:r>
      <w:r>
        <w:rPr>
          <w:rFonts w:ascii="Arial" w:hAnsi="Arial" w:cs="Arial"/>
        </w:rPr>
        <w:t>ed</w:t>
      </w:r>
      <w:r w:rsidRPr="00984AD7">
        <w:rPr>
          <w:rFonts w:ascii="Arial" w:hAnsi="Arial" w:cs="Arial"/>
        </w:rPr>
        <w:t xml:space="preserve"> exfoliation was observed in the study group</w:t>
      </w:r>
      <w:r>
        <w:rPr>
          <w:rFonts w:ascii="Arial" w:hAnsi="Arial" w:cs="Arial"/>
        </w:rPr>
        <w:t>,</w:t>
      </w:r>
      <w:r w:rsidRPr="00984AD7">
        <w:rPr>
          <w:rFonts w:ascii="Arial" w:hAnsi="Arial" w:cs="Arial"/>
        </w:rPr>
        <w:t xml:space="preserve"> </w:t>
      </w:r>
      <w:r>
        <w:rPr>
          <w:rFonts w:ascii="Arial" w:hAnsi="Arial" w:cs="Arial"/>
        </w:rPr>
        <w:t xml:space="preserve">and the </w:t>
      </w:r>
      <w:r w:rsidRPr="00984AD7">
        <w:rPr>
          <w:rFonts w:ascii="Arial" w:hAnsi="Arial" w:cs="Arial"/>
        </w:rPr>
        <w:t xml:space="preserve">difference </w:t>
      </w:r>
      <w:r>
        <w:rPr>
          <w:rFonts w:ascii="Arial" w:hAnsi="Arial" w:cs="Arial"/>
        </w:rPr>
        <w:t>was</w:t>
      </w:r>
      <w:r w:rsidRPr="00984AD7">
        <w:rPr>
          <w:rFonts w:ascii="Arial" w:hAnsi="Arial" w:cs="Arial"/>
        </w:rPr>
        <w:t xml:space="preserve"> statistically significant (p= 0.020). However, </w:t>
      </w:r>
      <w:r>
        <w:rPr>
          <w:rFonts w:ascii="Arial" w:hAnsi="Arial" w:cs="Arial"/>
        </w:rPr>
        <w:t xml:space="preserve">when comparing the exfoliation of primary molars according to </w:t>
      </w:r>
      <w:r w:rsidRPr="00984AD7">
        <w:rPr>
          <w:rFonts w:ascii="Arial" w:hAnsi="Arial" w:cs="Arial"/>
        </w:rPr>
        <w:t>age, the results obtained were similar in both groups (p &gt; 0.05) (Fig. 1)</w:t>
      </w:r>
      <w:r>
        <w:rPr>
          <w:rFonts w:ascii="Arial" w:hAnsi="Arial" w:cs="Arial"/>
        </w:rPr>
        <w:t>.</w:t>
      </w:r>
      <w:r w:rsidRPr="00984AD7">
        <w:rPr>
          <w:rFonts w:ascii="Arial" w:hAnsi="Arial" w:cs="Arial"/>
        </w:rPr>
        <w:t xml:space="preserve"> This </w:t>
      </w:r>
      <w:r>
        <w:rPr>
          <w:rFonts w:ascii="Arial" w:hAnsi="Arial" w:cs="Arial"/>
        </w:rPr>
        <w:t xml:space="preserve">result </w:t>
      </w:r>
      <w:r w:rsidRPr="00984AD7">
        <w:rPr>
          <w:rFonts w:ascii="Arial" w:hAnsi="Arial" w:cs="Arial"/>
        </w:rPr>
        <w:t xml:space="preserve">could </w:t>
      </w:r>
      <w:r>
        <w:rPr>
          <w:rFonts w:ascii="Arial" w:hAnsi="Arial" w:cs="Arial"/>
        </w:rPr>
        <w:t xml:space="preserve">have been </w:t>
      </w:r>
      <w:r w:rsidRPr="00984AD7">
        <w:rPr>
          <w:rFonts w:ascii="Arial" w:hAnsi="Arial" w:cs="Arial"/>
        </w:rPr>
        <w:t>influenced by the small sample size of the study group.</w:t>
      </w:r>
    </w:p>
    <w:p w14:paraId="5DB20147" w14:textId="77777777" w:rsidR="00D230CF" w:rsidRPr="00984AD7" w:rsidRDefault="00D230CF" w:rsidP="00D230CF">
      <w:pPr>
        <w:jc w:val="both"/>
        <w:rPr>
          <w:rFonts w:ascii="Arial" w:hAnsi="Arial" w:cs="Arial"/>
        </w:rPr>
      </w:pPr>
    </w:p>
    <w:p w14:paraId="10E7D863" w14:textId="77777777" w:rsidR="00D230CF" w:rsidRPr="00984AD7" w:rsidRDefault="00D230CF" w:rsidP="00D230CF">
      <w:pPr>
        <w:jc w:val="both"/>
        <w:rPr>
          <w:rFonts w:ascii="Arial" w:hAnsi="Arial" w:cs="Arial"/>
        </w:rPr>
      </w:pPr>
    </w:p>
    <w:p w14:paraId="29650E68" w14:textId="77777777" w:rsidR="00D230CF" w:rsidRPr="00984AD7" w:rsidRDefault="00D230CF" w:rsidP="00D230CF">
      <w:pPr>
        <w:jc w:val="both"/>
        <w:rPr>
          <w:rFonts w:ascii="Arial" w:hAnsi="Arial" w:cs="Arial"/>
          <w:u w:val="single"/>
        </w:rPr>
      </w:pPr>
      <w:r w:rsidRPr="00984AD7">
        <w:rPr>
          <w:rFonts w:ascii="Arial" w:hAnsi="Arial" w:cs="Arial"/>
          <w:u w:val="single"/>
        </w:rPr>
        <w:t>Root resorption of primary molars in girls:</w:t>
      </w:r>
    </w:p>
    <w:p w14:paraId="24E6675A" w14:textId="77777777" w:rsidR="00D230CF" w:rsidRPr="00984AD7" w:rsidRDefault="00D230CF" w:rsidP="00D230CF">
      <w:pPr>
        <w:jc w:val="both"/>
        <w:rPr>
          <w:rFonts w:ascii="Arial" w:hAnsi="Arial" w:cs="Arial"/>
        </w:rPr>
      </w:pPr>
    </w:p>
    <w:p w14:paraId="3617AAAF" w14:textId="046C749D" w:rsidR="00D230CF" w:rsidRPr="00984AD7" w:rsidRDefault="00D230CF" w:rsidP="00D230CF">
      <w:pPr>
        <w:jc w:val="both"/>
        <w:rPr>
          <w:rFonts w:ascii="Arial" w:hAnsi="Arial" w:cs="Arial"/>
        </w:rPr>
      </w:pPr>
      <w:r>
        <w:rPr>
          <w:rFonts w:ascii="Arial" w:hAnsi="Arial" w:cs="Arial"/>
        </w:rPr>
        <w:t xml:space="preserve">In the girls in the control group, </w:t>
      </w:r>
      <w:r w:rsidRPr="00984AD7">
        <w:rPr>
          <w:rFonts w:ascii="Arial" w:hAnsi="Arial" w:cs="Arial"/>
        </w:rPr>
        <w:t>7.4 was exfoliated</w:t>
      </w:r>
      <w:r>
        <w:rPr>
          <w:rFonts w:ascii="Arial" w:hAnsi="Arial" w:cs="Arial"/>
        </w:rPr>
        <w:t>,</w:t>
      </w:r>
      <w:r w:rsidRPr="00984AD7">
        <w:rPr>
          <w:rFonts w:ascii="Arial" w:hAnsi="Arial" w:cs="Arial"/>
        </w:rPr>
        <w:t xml:space="preserve"> and the root </w:t>
      </w:r>
      <w:r>
        <w:rPr>
          <w:rFonts w:ascii="Arial" w:hAnsi="Arial" w:cs="Arial"/>
        </w:rPr>
        <w:t xml:space="preserve">resorption </w:t>
      </w:r>
      <w:r w:rsidRPr="00984AD7">
        <w:rPr>
          <w:rFonts w:ascii="Arial" w:hAnsi="Arial" w:cs="Arial"/>
        </w:rPr>
        <w:t>of 7.5 was 50%</w:t>
      </w:r>
      <w:r>
        <w:rPr>
          <w:rFonts w:ascii="Arial" w:hAnsi="Arial" w:cs="Arial"/>
        </w:rPr>
        <w:t>.</w:t>
      </w:r>
      <w:r w:rsidRPr="00984AD7">
        <w:rPr>
          <w:rFonts w:ascii="Arial" w:hAnsi="Arial" w:cs="Arial"/>
        </w:rPr>
        <w:t xml:space="preserve"> </w:t>
      </w:r>
      <w:r>
        <w:rPr>
          <w:rFonts w:ascii="Arial" w:hAnsi="Arial" w:cs="Arial"/>
        </w:rPr>
        <w:t>T</w:t>
      </w:r>
      <w:r w:rsidRPr="00984AD7">
        <w:rPr>
          <w:rFonts w:ascii="Arial" w:hAnsi="Arial" w:cs="Arial"/>
        </w:rPr>
        <w:t xml:space="preserve">he root </w:t>
      </w:r>
      <w:r>
        <w:rPr>
          <w:rFonts w:ascii="Arial" w:hAnsi="Arial" w:cs="Arial"/>
        </w:rPr>
        <w:t xml:space="preserve">resorption </w:t>
      </w:r>
      <w:r w:rsidRPr="00984AD7">
        <w:rPr>
          <w:rFonts w:ascii="Arial" w:hAnsi="Arial" w:cs="Arial"/>
        </w:rPr>
        <w:t>of 7</w:t>
      </w:r>
      <w:r>
        <w:rPr>
          <w:rFonts w:ascii="Arial" w:hAnsi="Arial" w:cs="Arial"/>
        </w:rPr>
        <w:t>.</w:t>
      </w:r>
      <w:r w:rsidRPr="00984AD7">
        <w:rPr>
          <w:rFonts w:ascii="Arial" w:hAnsi="Arial" w:cs="Arial"/>
        </w:rPr>
        <w:t xml:space="preserve">4 and 7.5 was </w:t>
      </w:r>
      <w:r>
        <w:rPr>
          <w:rFonts w:ascii="Arial" w:hAnsi="Arial" w:cs="Arial"/>
        </w:rPr>
        <w:t xml:space="preserve">beginning </w:t>
      </w:r>
      <w:r w:rsidRPr="00984AD7">
        <w:rPr>
          <w:rFonts w:ascii="Arial" w:hAnsi="Arial" w:cs="Arial"/>
        </w:rPr>
        <w:t>in children with OI medicated with BPs.</w:t>
      </w:r>
    </w:p>
    <w:p w14:paraId="44FBBDE3" w14:textId="77777777" w:rsidR="00D230CF" w:rsidRPr="00984AD7" w:rsidRDefault="00D230CF" w:rsidP="00D230CF">
      <w:pPr>
        <w:jc w:val="both"/>
        <w:rPr>
          <w:rFonts w:ascii="Arial" w:hAnsi="Arial" w:cs="Arial"/>
        </w:rPr>
      </w:pPr>
    </w:p>
    <w:p w14:paraId="08B07DCB" w14:textId="77777777" w:rsidR="00D230CF" w:rsidRPr="00984AD7" w:rsidRDefault="00D230CF" w:rsidP="00D230CF">
      <w:pPr>
        <w:jc w:val="both"/>
        <w:rPr>
          <w:rFonts w:ascii="Arial" w:hAnsi="Arial" w:cs="Arial"/>
        </w:rPr>
      </w:pPr>
      <w:r>
        <w:rPr>
          <w:rFonts w:ascii="Arial" w:hAnsi="Arial" w:cs="Arial"/>
        </w:rPr>
        <w:t xml:space="preserve">Delayed </w:t>
      </w:r>
      <w:r w:rsidRPr="00984AD7">
        <w:rPr>
          <w:rFonts w:ascii="Arial" w:hAnsi="Arial" w:cs="Arial"/>
        </w:rPr>
        <w:t xml:space="preserve">exfoliation of primary molars was described in girls with OI, and the difference </w:t>
      </w:r>
      <w:r>
        <w:rPr>
          <w:rFonts w:ascii="Arial" w:hAnsi="Arial" w:cs="Arial"/>
        </w:rPr>
        <w:t>was</w:t>
      </w:r>
      <w:r w:rsidRPr="00984AD7">
        <w:rPr>
          <w:rFonts w:ascii="Arial" w:hAnsi="Arial" w:cs="Arial"/>
        </w:rPr>
        <w:t xml:space="preserve"> significant (p= 0.000). However, </w:t>
      </w:r>
      <w:r>
        <w:rPr>
          <w:rFonts w:ascii="Arial" w:hAnsi="Arial" w:cs="Arial"/>
        </w:rPr>
        <w:t xml:space="preserve">when comparing exfoliation </w:t>
      </w:r>
      <w:r w:rsidRPr="00984AD7">
        <w:rPr>
          <w:rFonts w:ascii="Arial" w:hAnsi="Arial" w:cs="Arial"/>
        </w:rPr>
        <w:t>according to age group, the difference</w:t>
      </w:r>
      <w:r>
        <w:rPr>
          <w:rFonts w:ascii="Arial" w:hAnsi="Arial" w:cs="Arial"/>
        </w:rPr>
        <w:t>s</w:t>
      </w:r>
      <w:r w:rsidRPr="00984AD7">
        <w:rPr>
          <w:rFonts w:ascii="Arial" w:hAnsi="Arial" w:cs="Arial"/>
        </w:rPr>
        <w:t xml:space="preserve"> </w:t>
      </w:r>
      <w:r>
        <w:rPr>
          <w:rFonts w:ascii="Arial" w:hAnsi="Arial" w:cs="Arial"/>
        </w:rPr>
        <w:t xml:space="preserve">were </w:t>
      </w:r>
      <w:r w:rsidRPr="00984AD7">
        <w:rPr>
          <w:rFonts w:ascii="Arial" w:hAnsi="Arial" w:cs="Arial"/>
        </w:rPr>
        <w:t xml:space="preserve">not </w:t>
      </w:r>
      <w:r>
        <w:rPr>
          <w:rFonts w:ascii="Arial" w:hAnsi="Arial" w:cs="Arial"/>
        </w:rPr>
        <w:t>similar</w:t>
      </w:r>
      <w:r w:rsidRPr="00984AD7">
        <w:rPr>
          <w:rFonts w:ascii="Arial" w:hAnsi="Arial" w:cs="Arial"/>
        </w:rPr>
        <w:t xml:space="preserve">; in girls under 9 years of age, there was a clear statistically significant difference (p= 0.005). </w:t>
      </w:r>
      <w:r>
        <w:rPr>
          <w:rFonts w:ascii="Arial" w:hAnsi="Arial" w:cs="Arial"/>
        </w:rPr>
        <w:t xml:space="preserve">Analysis of the </w:t>
      </w:r>
      <w:r w:rsidRPr="00984AD7">
        <w:rPr>
          <w:rFonts w:ascii="Arial" w:hAnsi="Arial" w:cs="Arial"/>
        </w:rPr>
        <w:t xml:space="preserve">root resorption </w:t>
      </w:r>
      <w:r>
        <w:rPr>
          <w:rFonts w:ascii="Arial" w:hAnsi="Arial" w:cs="Arial"/>
        </w:rPr>
        <w:t xml:space="preserve">of </w:t>
      </w:r>
      <w:r w:rsidRPr="00984AD7">
        <w:rPr>
          <w:rFonts w:ascii="Arial" w:hAnsi="Arial" w:cs="Arial"/>
        </w:rPr>
        <w:t xml:space="preserve">primary molars 7.4 and 7.5 in girls over 9 years of age </w:t>
      </w:r>
      <w:r>
        <w:rPr>
          <w:rFonts w:ascii="Arial" w:hAnsi="Arial" w:cs="Arial"/>
        </w:rPr>
        <w:t xml:space="preserve">showed that </w:t>
      </w:r>
      <w:r w:rsidRPr="00984AD7">
        <w:rPr>
          <w:rFonts w:ascii="Arial" w:hAnsi="Arial" w:cs="Arial"/>
        </w:rPr>
        <w:t xml:space="preserve">the resorption of 7.5 was altered, </w:t>
      </w:r>
      <w:r>
        <w:rPr>
          <w:rFonts w:ascii="Arial" w:hAnsi="Arial" w:cs="Arial"/>
        </w:rPr>
        <w:t>as</w:t>
      </w:r>
      <w:r w:rsidRPr="00984AD7">
        <w:rPr>
          <w:rFonts w:ascii="Arial" w:hAnsi="Arial" w:cs="Arial"/>
        </w:rPr>
        <w:t xml:space="preserve"> reflected in the total RR (p= 0.000). However, for the exfoliation of 7.4, the results were similar (p &gt; 0.05) (Fig. 2)</w:t>
      </w:r>
      <w:r>
        <w:rPr>
          <w:rFonts w:ascii="Arial" w:hAnsi="Arial" w:cs="Arial"/>
        </w:rPr>
        <w:t>.</w:t>
      </w:r>
    </w:p>
    <w:p w14:paraId="75D67D6E" w14:textId="77777777" w:rsidR="00D230CF" w:rsidRPr="00984AD7" w:rsidRDefault="00D230CF" w:rsidP="00D230CF">
      <w:pPr>
        <w:jc w:val="both"/>
        <w:rPr>
          <w:rFonts w:ascii="Arial" w:hAnsi="Arial" w:cs="Arial"/>
          <w:b/>
        </w:rPr>
      </w:pPr>
    </w:p>
    <w:p w14:paraId="4096D701" w14:textId="77777777" w:rsidR="00D230CF" w:rsidRPr="00984AD7" w:rsidRDefault="00D230CF" w:rsidP="00D230CF">
      <w:pPr>
        <w:jc w:val="both"/>
        <w:rPr>
          <w:rFonts w:ascii="Arial" w:hAnsi="Arial" w:cs="Arial"/>
          <w:b/>
        </w:rPr>
      </w:pPr>
      <w:r w:rsidRPr="00984AD7">
        <w:rPr>
          <w:rFonts w:ascii="Arial" w:hAnsi="Arial" w:cs="Arial"/>
          <w:b/>
        </w:rPr>
        <w:t>Discussion:</w:t>
      </w:r>
    </w:p>
    <w:p w14:paraId="75C30685" w14:textId="77777777" w:rsidR="00D230CF" w:rsidRPr="00984AD7" w:rsidRDefault="00D230CF" w:rsidP="00D230CF">
      <w:pPr>
        <w:jc w:val="both"/>
        <w:rPr>
          <w:rFonts w:ascii="Arial" w:hAnsi="Arial" w:cs="Arial"/>
        </w:rPr>
      </w:pPr>
    </w:p>
    <w:p w14:paraId="55DE0F41" w14:textId="4FC266E7" w:rsidR="00D230CF" w:rsidRPr="00984AD7" w:rsidRDefault="00D230CF" w:rsidP="00D230CF">
      <w:pPr>
        <w:jc w:val="both"/>
        <w:rPr>
          <w:rFonts w:ascii="Arial" w:hAnsi="Arial" w:cs="Arial"/>
        </w:rPr>
      </w:pPr>
      <w:r w:rsidRPr="00984AD7">
        <w:rPr>
          <w:rFonts w:ascii="Arial" w:hAnsi="Arial" w:cs="Arial"/>
        </w:rPr>
        <w:t xml:space="preserve">Panoramic radiography is the </w:t>
      </w:r>
      <w:r>
        <w:rPr>
          <w:rFonts w:ascii="Arial" w:hAnsi="Arial" w:cs="Arial"/>
        </w:rPr>
        <w:t xml:space="preserve">main </w:t>
      </w:r>
      <w:r w:rsidRPr="00984AD7">
        <w:rPr>
          <w:rFonts w:ascii="Arial" w:hAnsi="Arial" w:cs="Arial"/>
        </w:rPr>
        <w:t>recommended screening method in dentistry</w:t>
      </w:r>
      <w:r>
        <w:rPr>
          <w:rFonts w:ascii="Arial" w:hAnsi="Arial" w:cs="Arial"/>
        </w:rPr>
        <w:t>;</w:t>
      </w:r>
      <w:r w:rsidRPr="00984AD7">
        <w:rPr>
          <w:rFonts w:ascii="Arial" w:hAnsi="Arial" w:cs="Arial"/>
        </w:rPr>
        <w:t xml:space="preserve"> </w:t>
      </w:r>
      <w:r>
        <w:rPr>
          <w:rFonts w:ascii="Arial" w:hAnsi="Arial" w:cs="Arial"/>
        </w:rPr>
        <w:t xml:space="preserve">it </w:t>
      </w:r>
      <w:r w:rsidRPr="00984AD7">
        <w:rPr>
          <w:rFonts w:ascii="Arial" w:hAnsi="Arial" w:cs="Arial"/>
        </w:rPr>
        <w:t>is widely used in paediatric dentistry and is important for establishing a correct diagnosis.</w:t>
      </w:r>
      <w:r w:rsidRPr="00984AD7">
        <w:rPr>
          <w:rFonts w:ascii="Arial" w:hAnsi="Arial" w:cs="Arial"/>
        </w:rPr>
        <w:fldChar w:fldCharType="begin"/>
      </w:r>
      <w:r>
        <w:rPr>
          <w:rFonts w:ascii="Arial" w:hAnsi="Arial" w:cs="Arial"/>
        </w:rPr>
        <w:instrText xml:space="preserve"> ADDIN ZOTERO_ITEM CSL_CITATION {"citationID":"IqhJZbSH","properties":{"formattedCitation":"[24]","plainCitation":"[24]","noteIndex":0},"citationItems":[{"id":573,"uris":["http://zotero.org/users/5260186/items/4KWA6Q6T"],"itemData":{"id":573,"type":"article-journal","abstract":"Objectives: A panoramic radiograph (PAN) is the most frequently diagnostic imaging technique carried out in dentistry and oral surgery. The correct performance of image acquisition is crucial to obtain adequate image quality. The aim of the present study is to (i) review the principles of PAN image acquisition and (ii) describe positioning errors and artefacts that may affect PAN image quality. Methods: Articles regarding PAN acquisition principles, patient’s positioning errors, artefacts, and image quality were retrieved from the literature. Results: Head orientation is of the utmost importance in guaranteeing correct image acquisition. Symmetry, occlusal plane inclination, mandibular condyles localization, cervical spine position, aspect of upper teeth root apexes, exposure parameters, and metal and motion artefacts are factors that greatly affect the image quality of a successful PAN. Conclusions: Several factors are the basis for PAN performance; therefore, a systematic approach that takes into account correct patient positioning and preparation is strongly suggested to improve overall examination quality.","container-title":"Applied Sciences","DOI":"10.3390/app11177858","ISSN":"2076-3417","issue":"17","journalAbbreviation":"Applied Sciences","language":"en","license":"https://creativecommons.org/licenses/by/4.0/","page":"7858","source":"DOI.org (Crossref)","title":"Basic Knowledge and New Advances in Panoramic Radiography Imaging Techniques: A Narrative Review on What Dentists and Radiologists Should Know","title-short":"Basic Knowledge and New Advances in Panoramic Radiography Imaging Techniques","volume":"11","author":[{"family":"Izzetti","given":"Rossana"},{"family":"Nisi","given":"Marco"},{"family":"Aringhieri","given":"Giacomo"},{"family":"Crocetti","given":"Laura"},{"family":"Graziani","given":"Filippo"},{"family":"Nardi","given":"Cosimo"}],"issued":{"date-parts":[["2021",8,26]]}}}],"schema":"https://github.com/citation-style-language/schema/raw/master/csl-citation.json"} </w:instrText>
      </w:r>
      <w:r w:rsidRPr="00984AD7">
        <w:rPr>
          <w:rFonts w:ascii="Arial" w:hAnsi="Arial" w:cs="Arial"/>
        </w:rPr>
        <w:fldChar w:fldCharType="separate"/>
      </w:r>
      <w:r>
        <w:rPr>
          <w:rFonts w:ascii="Arial" w:hAnsi="Arial" w:cs="Arial"/>
        </w:rPr>
        <w:t>[24]</w:t>
      </w:r>
      <w:r w:rsidRPr="00984AD7">
        <w:rPr>
          <w:rFonts w:ascii="Arial" w:hAnsi="Arial" w:cs="Arial"/>
        </w:rPr>
        <w:fldChar w:fldCharType="end"/>
      </w:r>
      <w:r w:rsidRPr="00984AD7">
        <w:rPr>
          <w:rFonts w:ascii="Arial" w:hAnsi="Arial" w:cs="Arial"/>
        </w:rPr>
        <w:t xml:space="preserve"> A total of 421 panoramic radiographs were analysed to estimate the dental development of premolars and the root resorption of primary molars. The Demirjian method is one of the best known and most commonly used methods for estimating dental age, and it has been validated by numerous authors.</w:t>
      </w:r>
      <w:r w:rsidRPr="00984AD7">
        <w:rPr>
          <w:rFonts w:ascii="Arial" w:hAnsi="Arial" w:cs="Arial"/>
        </w:rPr>
        <w:fldChar w:fldCharType="begin"/>
      </w:r>
      <w:r w:rsidR="00EB26A5">
        <w:rPr>
          <w:rFonts w:ascii="Arial" w:hAnsi="Arial" w:cs="Arial"/>
        </w:rPr>
        <w:instrText xml:space="preserve"> ADDIN ZOTERO_ITEM CSL_CITATION {"citationID":"5giUQ7wz","properties":{"formattedCitation":"[25, 26]","plainCitation":"[25, 26]","noteIndex":0},"citationItems":[{"id":572,"uris":["http://zotero.org/users/5260186/items/7W4J6KF4"],"itemData":{"id":572,"type":"article-journal","abstract":"One of the most common ways to assess the age in subadults using dental records is the Demirjian method. As the number of the studies using this method increased significantly in the recent years, and as their results were often conflicting, we investigated the accuracy of the method.","container-title":"Legal Medicine","DOI":"10.1016/j.legalmed.2021.101901","ISSN":"13446223","journalAbbreviation":"Legal Medicine","language":"en","page":"101901","source":"DOI.org (Crossref)","title":"Accuracy of the Demirjian's method for assessing the age in children, from 1973 to 2020. A meta-analysis","volume":"52","author":[{"family":"Hostiuc","given":"Sorin"},{"family":"Edison","given":"Sharon-Ema"},{"family":"Diaconescu","given":"Ioana"},{"family":"Negoi","given":"Ionut"},{"family":"Isaila","given":"Oana-Maria"}],"issued":{"date-parts":[["2021",9]]}}},{"id":578,"uris":["http://zotero.org/users/5260186/items/YR52QPJ4"],"itemData":{"id":578,"type":"article-journal","abstract":"Dental age assessment is useful in various medical ﬁelds. The Demirjian method for dental age estimation is one of the most widely used in the ﬁeld of pediatric dentistry. The aim of this study was to verify the accuracy of the Demirjian method in determining age in a sample of girls and boys from Oradea, Romania. This retrospective and radiographic study was based on the evaluation of 1006 panoramic radiographs, belonging to 1006 patients (431 boys and 575 girls) with ages between 3 and 13.9 years from the city of Oradea, Romania. They were collected from three private dental practices from Oradea and were analyzed between 1 September 2021, and 10 November 2021. The patients were distributed into 11 age groups, each group spanning over one year (e.g., 3–3.9, 4–4.9). For the assessment of dental age, the Demirjian method was used, which is based on the evaluation of the developmental stages of the lower left permanent teeth. The mean chronological age of the patients was 9.496 ± 2.218 years, and the mean dental age was 10.934 ± 2.585 years. The overestimation of dental age was obtained in all age groups for the entire sample. As such, dental age was higher than chronological age, with values varying from 0.34 years in the 3–3.9 years age group to 1.7 years in the 10–10.9 years age group. In girls, dental age was higher than chronological age, with values varying from 0.46 years in the 3–3.9 years age group to 1.73 years in the 11–11.9 years age group, while in boys, the values varied from 0.15 years in the ﬁrst age group to 2.02 years in the 10–10.9 years age group. The comparison of the differences between chronological age and dental age according to the gender of the patients revealed that the distribution of the differences was nonparametric in both groups according to the Shapiro–Wilk test (p &lt; 0.05). The differences between the groups were not signiﬁcant according to the Mann–Whitney U test. However, larger differences were identiﬁed for boys (1.46 years) than girls (1.417 years), with an overestimation of the dental age. The Demirjian method overestimated the age of the children included in the investigated sample, with different values for the different age groups investigated, and requires adaptations.","language":"en","source":"Zotero","title":"Validity of the Demirjian Method for Dental Age Estimation in Romanian Children","author":[{"family":"Moca","given":"Abel Emanuel"},{"family":"Ciavoi","given":"Gabriela"},{"family":"Todor","given":"Bianca Ioana"},{"family":"Negruțiu","given":"Bianca Maria"},{"family":"Cuc","given":"Emilia Albinița"},{"family":"Dima","given":"Raluca"},{"family":"Moca","given":"Rahela Tabita"},{"family":"Vaida","given":"Luminița Ligia"}],"issued":{"date-parts":[["2022"]]}}}],"schema":"https://github.com/citation-style-language/schema/raw/master/csl-citation.json"} </w:instrText>
      </w:r>
      <w:r w:rsidRPr="00984AD7">
        <w:rPr>
          <w:rFonts w:ascii="Arial" w:hAnsi="Arial" w:cs="Arial"/>
        </w:rPr>
        <w:fldChar w:fldCharType="separate"/>
      </w:r>
      <w:r w:rsidR="00EB26A5">
        <w:rPr>
          <w:rFonts w:ascii="Arial" w:hAnsi="Arial" w:cs="Arial"/>
        </w:rPr>
        <w:t>[25, 26]</w:t>
      </w:r>
      <w:r w:rsidRPr="00984AD7">
        <w:rPr>
          <w:rFonts w:ascii="Arial" w:hAnsi="Arial" w:cs="Arial"/>
        </w:rPr>
        <w:fldChar w:fldCharType="end"/>
      </w:r>
      <w:r w:rsidRPr="00984AD7">
        <w:rPr>
          <w:rFonts w:ascii="Arial" w:hAnsi="Arial" w:cs="Arial"/>
        </w:rPr>
        <w:t xml:space="preserve"> One of the advantages of this method is that it allows the use of panoramic radiographs and does not require other invasive methods. Because the Demirjian method tends to overestimate dental age, dental age was not estimated in this study.</w:t>
      </w:r>
      <w:r w:rsidRPr="00984AD7">
        <w:rPr>
          <w:rFonts w:ascii="Arial" w:hAnsi="Arial" w:cs="Arial"/>
        </w:rPr>
        <w:fldChar w:fldCharType="begin"/>
      </w:r>
      <w:r w:rsidR="00EB26A5">
        <w:rPr>
          <w:rFonts w:ascii="Arial" w:hAnsi="Arial" w:cs="Arial"/>
        </w:rPr>
        <w:instrText xml:space="preserve"> ADDIN ZOTERO_ITEM CSL_CITATION {"citationID":"eleHkaVv","properties":{"formattedCitation":"[26]","plainCitation":"[26]","noteIndex":0},"citationItems":[{"id":578,"uris":["http://zotero.org/users/5260186/items/YR52QPJ4"],"itemData":{"id":578,"type":"article-journal","abstract":"Dental age assessment is useful in various medical ﬁelds. The Demirjian method for dental age estimation is one of the most widely used in the ﬁeld of pediatric dentistry. The aim of this study was to verify the accuracy of the Demirjian method in determining age in a sample of girls and boys from Oradea, Romania. This retrospective and radiographic study was based on the evaluation of 1006 panoramic radiographs, belonging to 1006 patients (431 boys and 575 girls) with ages between 3 and 13.9 years from the city of Oradea, Romania. They were collected from three private dental practices from Oradea and were analyzed between 1 September 2021, and 10 November 2021. The patients were distributed into 11 age groups, each group spanning over one year (e.g., 3–3.9, 4–4.9). For the assessment of dental age, the Demirjian method was used, which is based on the evaluation of the developmental stages of the lower left permanent teeth. The mean chronological age of the patients was 9.496 ± 2.218 years, and the mean dental age was 10.934 ± 2.585 years. The overestimation of dental age was obtained in all age groups for the entire sample. As such, dental age was higher than chronological age, with values varying from 0.34 years in the 3–3.9 years age group to 1.7 years in the 10–10.9 years age group. In girls, dental age was higher than chronological age, with values varying from 0.46 years in the 3–3.9 years age group to 1.73 years in the 11–11.9 years age group, while in boys, the values varied from 0.15 years in the ﬁrst age group to 2.02 years in the 10–10.9 years age group. The comparison of the differences between chronological age and dental age according to the gender of the patients revealed that the distribution of the differences was nonparametric in both groups according to the Shapiro–Wilk test (p &lt; 0.05). The differences between the groups were not signiﬁcant according to the Mann–Whitney U test. However, larger differences were identiﬁed for boys (1.46 years) than girls (1.417 years), with an overestimation of the dental age. The Demirjian method overestimated the age of the children included in the investigated sample, with different values for the different age groups investigated, and requires adaptations.","language":"en","source":"Zotero","title":"Validity of the Demirjian Method for Dental Age Estimation in Romanian Children","author":[{"family":"Moca","given":"Abel Emanuel"},{"family":"Ciavoi","given":"Gabriela"},{"family":"Todor","given":"Bianca Ioana"},{"family":"Negruțiu","given":"Bianca Maria"},{"family":"Cuc","given":"Emilia Albinița"},{"family":"Dima","given":"Raluca"},{"family":"Moca","given":"Rahela Tabita"},{"family":"Vaida","given":"Luminița Ligia"}],"issued":{"date-parts":[["2022"]]}}}],"schema":"https://github.com/citation-style-language/schema/raw/master/csl-citation.json"} </w:instrText>
      </w:r>
      <w:r w:rsidRPr="00984AD7">
        <w:rPr>
          <w:rFonts w:ascii="Arial" w:hAnsi="Arial" w:cs="Arial"/>
        </w:rPr>
        <w:fldChar w:fldCharType="separate"/>
      </w:r>
      <w:r w:rsidR="00EB26A5">
        <w:rPr>
          <w:rFonts w:ascii="Arial" w:hAnsi="Arial" w:cs="Arial"/>
        </w:rPr>
        <w:t>[26]</w:t>
      </w:r>
      <w:r w:rsidRPr="00984AD7">
        <w:rPr>
          <w:rFonts w:ascii="Arial" w:hAnsi="Arial" w:cs="Arial"/>
        </w:rPr>
        <w:fldChar w:fldCharType="end"/>
      </w:r>
      <w:r w:rsidRPr="00984AD7">
        <w:rPr>
          <w:rFonts w:ascii="Arial" w:hAnsi="Arial" w:cs="Arial"/>
        </w:rPr>
        <w:t xml:space="preserve"> We used the Demirjian method to analyse and compare the dental development of the lower premolars between the groups.</w:t>
      </w:r>
    </w:p>
    <w:p w14:paraId="42FC2307" w14:textId="77777777" w:rsidR="00D230CF" w:rsidRPr="00984AD7" w:rsidRDefault="00D230CF" w:rsidP="00D230CF">
      <w:pPr>
        <w:jc w:val="both"/>
        <w:rPr>
          <w:rFonts w:ascii="Arial" w:hAnsi="Arial" w:cs="Arial"/>
        </w:rPr>
      </w:pPr>
    </w:p>
    <w:p w14:paraId="5DD8AB64" w14:textId="6FF28AC6" w:rsidR="00D230CF" w:rsidRPr="00984AD7" w:rsidRDefault="00D230CF" w:rsidP="00D230CF">
      <w:pPr>
        <w:jc w:val="both"/>
        <w:rPr>
          <w:rFonts w:ascii="Arial" w:hAnsi="Arial" w:cs="Arial"/>
          <w:shd w:val="clear" w:color="auto" w:fill="FFFFFF"/>
        </w:rPr>
      </w:pPr>
      <w:r w:rsidRPr="00984AD7">
        <w:rPr>
          <w:rFonts w:ascii="Arial" w:hAnsi="Arial" w:cs="Arial"/>
          <w:shd w:val="clear" w:color="auto" w:fill="FFFFFF"/>
        </w:rPr>
        <w:t xml:space="preserve">Prove et al. </w:t>
      </w:r>
      <w:r w:rsidRPr="00984AD7">
        <w:rPr>
          <w:rFonts w:ascii="Arial" w:hAnsi="Arial" w:cs="Arial"/>
        </w:rPr>
        <w:t>reported</w:t>
      </w:r>
      <w:r w:rsidRPr="00984AD7">
        <w:rPr>
          <w:rFonts w:ascii="Arial" w:hAnsi="Arial" w:cs="Arial"/>
          <w:shd w:val="clear" w:color="auto" w:fill="FFFFFF"/>
        </w:rPr>
        <w:t xml:space="preserve"> a high incidence of uneven root resorption during </w:t>
      </w:r>
      <w:r w:rsidRPr="00984AD7">
        <w:rPr>
          <w:rFonts w:ascii="Arial" w:hAnsi="Arial" w:cs="Arial"/>
        </w:rPr>
        <w:t>the exfoliation</w:t>
      </w:r>
      <w:r w:rsidRPr="00984AD7">
        <w:rPr>
          <w:rFonts w:ascii="Arial" w:hAnsi="Arial" w:cs="Arial"/>
          <w:shd w:val="clear" w:color="auto" w:fill="FFFFFF"/>
        </w:rPr>
        <w:t xml:space="preserve"> process, </w:t>
      </w:r>
      <w:r>
        <w:rPr>
          <w:rFonts w:ascii="Arial" w:hAnsi="Arial" w:cs="Arial"/>
          <w:shd w:val="clear" w:color="auto" w:fill="FFFFFF"/>
        </w:rPr>
        <w:t xml:space="preserve">with </w:t>
      </w:r>
      <w:r w:rsidRPr="00984AD7">
        <w:rPr>
          <w:rFonts w:ascii="Arial" w:hAnsi="Arial" w:cs="Arial"/>
          <w:shd w:val="clear" w:color="auto" w:fill="FFFFFF"/>
        </w:rPr>
        <w:t xml:space="preserve">approximately 36% of the primary teeth </w:t>
      </w:r>
      <w:r>
        <w:rPr>
          <w:rFonts w:ascii="Arial" w:hAnsi="Arial" w:cs="Arial"/>
          <w:shd w:val="clear" w:color="auto" w:fill="FFFFFF"/>
        </w:rPr>
        <w:t xml:space="preserve">demonstrating </w:t>
      </w:r>
      <w:r w:rsidRPr="00984AD7">
        <w:rPr>
          <w:rFonts w:ascii="Arial" w:hAnsi="Arial" w:cs="Arial"/>
          <w:shd w:val="clear" w:color="auto" w:fill="FFFFFF"/>
        </w:rPr>
        <w:t xml:space="preserve">reduced resorption of one or more roots. </w:t>
      </w:r>
      <w:r w:rsidRPr="00984AD7">
        <w:rPr>
          <w:rFonts w:ascii="Arial" w:hAnsi="Arial" w:cs="Arial"/>
          <w:shd w:val="clear" w:color="auto" w:fill="FFFFFF"/>
        </w:rPr>
        <w:fldChar w:fldCharType="begin"/>
      </w:r>
      <w:r>
        <w:rPr>
          <w:rFonts w:ascii="Arial" w:hAnsi="Arial" w:cs="Arial"/>
          <w:shd w:val="clear" w:color="auto" w:fill="FFFFFF"/>
        </w:rPr>
        <w:instrText xml:space="preserve"> ADDIN ZOTERO_ITEM CSL_CITATION {"citationID":"1xgxJakQ","properties":{"formattedCitation":"[27]","plainCitation":"[27]","noteIndex":0},"citationItems":[{"id":570,"uris":["http://zotero.org/users/5260186/items/FN2JCVFS"],"itemData":{"id":570,"type":"article-journal","abstract":"Physiological root resorption of primary molars was assessed using bitewings and orthopantomograms. Thirty-six per cent of teeth examined demonstrated reduced root resorption of one or more roots. Excepting the lower first primary molar, the present study recorded a relatively high incidence of uneven root resorption during the exfoliative process, particularly evident for the upper second primary molar. Discrepancy in size between the premolar and its predecessor, as well as the position of the developing permanent tooth in relation to primary root structure influences the pattern of root resorption. Therefore, constant monitoring of teeth demonstrating uneven resorption is required to avoid the complications associated with over-retained teeth.","container-title":"The Journal of Clinical Pediatric Dentistry","ISSN":"1053-4628","issue":"3","journalAbbreviation":"J Clin Pediatr Dent","language":"eng","note":"PMID: 1525075","page":"202-206","source":"PubMed","title":"Physiological root resorption of primary molars","volume":"16","author":[{"family":"Prove","given":"S. A."},{"family":"Symons","given":"A. L."},{"family":"Meyers","given":"I. A."}],"issued":{"date-parts":[["1992"]]}}}],"schema":"https://github.com/citation-style-language/schema/raw/master/csl-citation.json"} </w:instrText>
      </w:r>
      <w:r w:rsidRPr="00984AD7">
        <w:rPr>
          <w:rFonts w:ascii="Arial" w:hAnsi="Arial" w:cs="Arial"/>
          <w:shd w:val="clear" w:color="auto" w:fill="FFFFFF"/>
        </w:rPr>
        <w:fldChar w:fldCharType="separate"/>
      </w:r>
      <w:r>
        <w:rPr>
          <w:rFonts w:ascii="Arial" w:hAnsi="Arial" w:cs="Arial"/>
        </w:rPr>
        <w:t>[27]</w:t>
      </w:r>
      <w:r w:rsidRPr="00984AD7">
        <w:rPr>
          <w:rFonts w:ascii="Arial" w:hAnsi="Arial" w:cs="Arial"/>
          <w:shd w:val="clear" w:color="auto" w:fill="FFFFFF"/>
        </w:rPr>
        <w:fldChar w:fldCharType="end"/>
      </w:r>
      <w:r w:rsidRPr="00984AD7">
        <w:rPr>
          <w:rFonts w:ascii="Arial" w:hAnsi="Arial" w:cs="Arial"/>
          <w:shd w:val="clear" w:color="auto" w:fill="FFFFFF"/>
        </w:rPr>
        <w:t xml:space="preserve"> </w:t>
      </w:r>
      <w:r w:rsidRPr="00984AD7">
        <w:rPr>
          <w:rFonts w:ascii="Arial" w:hAnsi="Arial" w:cs="Arial"/>
        </w:rPr>
        <w:t>Peretz</w:t>
      </w:r>
      <w:r w:rsidRPr="00984AD7">
        <w:rPr>
          <w:rFonts w:ascii="Arial" w:hAnsi="Arial" w:cs="Arial"/>
          <w:shd w:val="clear" w:color="auto" w:fill="FFFFFF"/>
        </w:rPr>
        <w:t xml:space="preserve"> et al. </w:t>
      </w:r>
      <w:r w:rsidRPr="00984AD7">
        <w:rPr>
          <w:rFonts w:ascii="Arial" w:hAnsi="Arial" w:cs="Arial"/>
        </w:rPr>
        <w:t>reported that</w:t>
      </w:r>
      <w:r w:rsidRPr="00984AD7">
        <w:rPr>
          <w:rFonts w:ascii="Arial" w:hAnsi="Arial" w:cs="Arial"/>
          <w:shd w:val="clear" w:color="auto" w:fill="FFFFFF"/>
        </w:rPr>
        <w:t xml:space="preserve"> approximately 41% of root resorption in the primary first molar</w:t>
      </w:r>
      <w:r w:rsidRPr="00C27387">
        <w:rPr>
          <w:rFonts w:ascii="Arial" w:hAnsi="Arial" w:cs="Arial"/>
          <w:shd w:val="clear" w:color="auto" w:fill="FFFFFF"/>
        </w:rPr>
        <w:t xml:space="preserve"> </w:t>
      </w:r>
      <w:r w:rsidRPr="00984AD7">
        <w:rPr>
          <w:rFonts w:ascii="Arial" w:hAnsi="Arial" w:cs="Arial"/>
          <w:shd w:val="clear" w:color="auto" w:fill="FFFFFF"/>
        </w:rPr>
        <w:t xml:space="preserve">was symmetrical, approximately 56% of root resorption </w:t>
      </w:r>
      <w:r w:rsidRPr="00984AD7">
        <w:rPr>
          <w:rFonts w:ascii="Arial" w:hAnsi="Arial" w:cs="Arial"/>
        </w:rPr>
        <w:t>in the primary second molar</w:t>
      </w:r>
      <w:r w:rsidRPr="00C27387">
        <w:rPr>
          <w:rFonts w:ascii="Arial" w:hAnsi="Arial" w:cs="Arial"/>
          <w:shd w:val="clear" w:color="auto" w:fill="FFFFFF"/>
        </w:rPr>
        <w:t xml:space="preserve"> </w:t>
      </w:r>
      <w:r w:rsidRPr="00984AD7">
        <w:rPr>
          <w:rFonts w:ascii="Arial" w:hAnsi="Arial" w:cs="Arial"/>
          <w:shd w:val="clear" w:color="auto" w:fill="FFFFFF"/>
        </w:rPr>
        <w:t xml:space="preserve">was symmetrical, and 36% </w:t>
      </w:r>
      <w:r>
        <w:rPr>
          <w:rFonts w:ascii="Arial" w:hAnsi="Arial" w:cs="Arial"/>
          <w:shd w:val="clear" w:color="auto" w:fill="FFFFFF"/>
        </w:rPr>
        <w:t xml:space="preserve">of resorption </w:t>
      </w:r>
      <w:r w:rsidRPr="00984AD7">
        <w:rPr>
          <w:rFonts w:ascii="Arial" w:hAnsi="Arial" w:cs="Arial"/>
          <w:shd w:val="clear" w:color="auto" w:fill="FFFFFF"/>
        </w:rPr>
        <w:t>in the distal root</w:t>
      </w:r>
      <w:r w:rsidRPr="00C27387">
        <w:rPr>
          <w:rFonts w:ascii="Arial" w:hAnsi="Arial" w:cs="Arial"/>
          <w:shd w:val="clear" w:color="auto" w:fill="FFFFFF"/>
        </w:rPr>
        <w:t xml:space="preserve"> </w:t>
      </w:r>
      <w:r w:rsidRPr="00984AD7">
        <w:rPr>
          <w:rFonts w:ascii="Arial" w:hAnsi="Arial" w:cs="Arial"/>
          <w:shd w:val="clear" w:color="auto" w:fill="FFFFFF"/>
        </w:rPr>
        <w:t xml:space="preserve">was </w:t>
      </w:r>
      <w:r w:rsidRPr="00984AD7">
        <w:rPr>
          <w:rFonts w:ascii="Arial" w:hAnsi="Arial" w:cs="Arial"/>
        </w:rPr>
        <w:t>symmetrical</w:t>
      </w:r>
      <w:r w:rsidRPr="00984AD7">
        <w:rPr>
          <w:rFonts w:ascii="Arial" w:hAnsi="Arial" w:cs="Arial"/>
          <w:shd w:val="clear" w:color="auto" w:fill="FFFFFF"/>
        </w:rPr>
        <w:t>.</w:t>
      </w:r>
      <w:r w:rsidRPr="00984AD7">
        <w:rPr>
          <w:rFonts w:ascii="Arial" w:hAnsi="Arial" w:cs="Arial"/>
        </w:rPr>
        <w:fldChar w:fldCharType="begin"/>
      </w:r>
      <w:r>
        <w:rPr>
          <w:rFonts w:ascii="Arial" w:hAnsi="Arial" w:cs="Arial"/>
        </w:rPr>
        <w:instrText xml:space="preserve"> ADDIN ZOTERO_ITEM CSL_CITATION {"citationID":"FcB2GgUP","properties":{"formattedCitation":"[28]","plainCitation":"[28]","noteIndex":0},"citationItems":[{"id":18,"uris":["http://zotero.org/users/5260186/items/T7YRKY8I"],"itemData":{"id":18,"type":"article-journal","abstract":"PURPOSE: The purpose of this study was to investigate root resorption patterns of primary mandibular molars and to describe the premolar successors' location throughout the resorption.\nMETHODS: A total of 271 radiographs of primary mandibular molars (56 first molars and 171 second molars) of 187 5- to 12-year-old patients were reviewed, and the patterns of root resorption and the premolars' location were evaluated.\nRESULTS: In the primary first molar, approximately 55 percent of the root resorption occurred in the distal root, and 41 percent of the root resorption was symmetrical. In the primary second molar, approximately 56 percent of the root resorption was symmetrical, and 36 percent was in the distal root. More mesial root resorption (~71 percent) occurred when the second premolar was mesial.\nCONCLUSIONS: Primary mandibular first molars begin to resorb at seven years old. The premolars' location between the primary roots is associated with root resorption. Distal root resorption should be expected when caries is present in the distal aspect of a primary second molar.","container-title":"Pediatric Dentistry","ISSN":"1942-5473","issue":"5","journalAbbreviation":"Pediatr Dent","language":"eng","note":"PMID: 24290555","page":"426-429","source":"PubMed","title":"Root resorption patterns of primary mandibular molars and location of the premolar successors: a radiographic evaluation","title-short":"Root resorption patterns of primary mandibular molars and location of the premolar successors","volume":"35","author":[{"family":"Peretz","given":"Benjamin"},{"family":"Nisan","given":"Sagit"},{"family":"Herteanu","given":"Lior"},{"family":"Blumer","given":"Sigalit"}],"issued":{"date-parts":[["2013"]]}}}],"schema":"https://github.com/citation-style-language/schema/raw/master/csl-citation.json"} </w:instrText>
      </w:r>
      <w:r w:rsidRPr="00984AD7">
        <w:rPr>
          <w:rFonts w:ascii="Arial" w:hAnsi="Arial" w:cs="Arial"/>
        </w:rPr>
        <w:fldChar w:fldCharType="separate"/>
      </w:r>
      <w:r>
        <w:rPr>
          <w:rFonts w:ascii="Arial" w:hAnsi="Arial" w:cs="Arial"/>
        </w:rPr>
        <w:t>[28]</w:t>
      </w:r>
      <w:r w:rsidRPr="00984AD7">
        <w:rPr>
          <w:rFonts w:ascii="Arial" w:hAnsi="Arial" w:cs="Arial"/>
        </w:rPr>
        <w:fldChar w:fldCharType="end"/>
      </w:r>
      <w:r w:rsidRPr="00984AD7">
        <w:rPr>
          <w:rFonts w:ascii="Arial" w:hAnsi="Arial" w:cs="Arial"/>
          <w:shd w:val="clear" w:color="auto" w:fill="FFFFFF"/>
        </w:rPr>
        <w:t xml:space="preserve"> In this study</w:t>
      </w:r>
      <w:r w:rsidRPr="00984AD7">
        <w:rPr>
          <w:rFonts w:ascii="Arial" w:hAnsi="Arial" w:cs="Arial"/>
        </w:rPr>
        <w:t>,</w:t>
      </w:r>
      <w:r w:rsidRPr="00984AD7">
        <w:rPr>
          <w:rFonts w:ascii="Arial" w:hAnsi="Arial" w:cs="Arial"/>
          <w:shd w:val="clear" w:color="auto" w:fill="FFFFFF"/>
        </w:rPr>
        <w:t xml:space="preserve"> </w:t>
      </w:r>
      <w:r w:rsidRPr="00984AD7">
        <w:rPr>
          <w:rFonts w:ascii="Arial" w:hAnsi="Arial" w:cs="Arial"/>
        </w:rPr>
        <w:t xml:space="preserve">root resorption was assessed based on the method described by Haavikko </w:t>
      </w:r>
      <w:r>
        <w:rPr>
          <w:rFonts w:ascii="Arial" w:hAnsi="Arial" w:cs="Arial"/>
        </w:rPr>
        <w:t xml:space="preserve">and </w:t>
      </w:r>
      <w:r w:rsidRPr="00984AD7">
        <w:rPr>
          <w:rFonts w:ascii="Arial" w:hAnsi="Arial" w:cs="Arial"/>
        </w:rPr>
        <w:t>modified by Vourimies et al.</w:t>
      </w:r>
      <w:r w:rsidRPr="00984AD7">
        <w:rPr>
          <w:rFonts w:ascii="Arial" w:hAnsi="Arial" w:cs="Arial"/>
        </w:rPr>
        <w:fldChar w:fldCharType="begin"/>
      </w:r>
      <w:r>
        <w:rPr>
          <w:rFonts w:ascii="Arial" w:hAnsi="Arial" w:cs="Arial"/>
        </w:rPr>
        <w:instrText xml:space="preserve"> ADDIN ZOTERO_ITEM CSL_CITATION {"citationID":"DKGLvfIx","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To perform</w:t>
      </w:r>
      <w:r w:rsidRPr="00984AD7">
        <w:rPr>
          <w:rFonts w:ascii="Arial" w:hAnsi="Arial" w:cs="Arial"/>
          <w:shd w:val="clear" w:color="auto" w:fill="FFFFFF"/>
        </w:rPr>
        <w:t xml:space="preserve"> the analysis in this study, </w:t>
      </w:r>
      <w:r w:rsidRPr="00984AD7">
        <w:rPr>
          <w:rFonts w:ascii="Arial" w:hAnsi="Arial" w:cs="Arial"/>
        </w:rPr>
        <w:t xml:space="preserve">the Haavikko method was modified to study </w:t>
      </w:r>
      <w:r w:rsidRPr="00984AD7">
        <w:rPr>
          <w:rFonts w:ascii="Arial" w:hAnsi="Arial" w:cs="Arial"/>
          <w:shd w:val="clear" w:color="auto" w:fill="FFFFFF"/>
        </w:rPr>
        <w:t xml:space="preserve">the mesial and distal </w:t>
      </w:r>
      <w:r w:rsidRPr="00984AD7">
        <w:rPr>
          <w:rFonts w:ascii="Arial" w:hAnsi="Arial" w:cs="Arial"/>
        </w:rPr>
        <w:t>roots</w:t>
      </w:r>
      <w:r w:rsidRPr="00984AD7">
        <w:rPr>
          <w:rFonts w:ascii="Arial" w:hAnsi="Arial" w:cs="Arial"/>
          <w:shd w:val="clear" w:color="auto" w:fill="FFFFFF"/>
        </w:rPr>
        <w:t xml:space="preserve"> of the primary </w:t>
      </w:r>
      <w:r w:rsidRPr="00984AD7">
        <w:rPr>
          <w:rFonts w:ascii="Arial" w:hAnsi="Arial" w:cs="Arial"/>
        </w:rPr>
        <w:t>molars separately</w:t>
      </w:r>
      <w:r w:rsidRPr="00984AD7">
        <w:rPr>
          <w:rFonts w:ascii="Arial" w:hAnsi="Arial" w:cs="Arial"/>
          <w:shd w:val="clear" w:color="auto" w:fill="FFFFFF"/>
        </w:rPr>
        <w:t>.</w:t>
      </w:r>
    </w:p>
    <w:p w14:paraId="5C341217" w14:textId="77777777" w:rsidR="00D230CF" w:rsidRPr="00984AD7" w:rsidRDefault="00D230CF" w:rsidP="00D230CF">
      <w:pPr>
        <w:jc w:val="both"/>
        <w:rPr>
          <w:rFonts w:ascii="Arial" w:hAnsi="Arial" w:cs="Arial"/>
        </w:rPr>
      </w:pPr>
    </w:p>
    <w:p w14:paraId="54A6D25F" w14:textId="46C2CC7C" w:rsidR="00D230CF" w:rsidRPr="00984AD7" w:rsidRDefault="00D230CF" w:rsidP="00D230CF">
      <w:pPr>
        <w:jc w:val="both"/>
        <w:rPr>
          <w:rFonts w:ascii="Arial" w:hAnsi="Arial" w:cs="Arial"/>
        </w:rPr>
      </w:pPr>
      <w:r w:rsidRPr="00984AD7">
        <w:rPr>
          <w:rFonts w:ascii="Arial" w:hAnsi="Arial" w:cs="Arial"/>
        </w:rPr>
        <w:t xml:space="preserve">When analysing the entire sample without the subgroups, the results were very clear and indicated </w:t>
      </w:r>
      <w:r>
        <w:rPr>
          <w:rFonts w:ascii="Arial" w:hAnsi="Arial" w:cs="Arial"/>
        </w:rPr>
        <w:t xml:space="preserve">delayed </w:t>
      </w:r>
      <w:r w:rsidRPr="00984AD7">
        <w:rPr>
          <w:rFonts w:ascii="Arial" w:hAnsi="Arial" w:cs="Arial"/>
        </w:rPr>
        <w:t xml:space="preserve">dental development of the premolars and exfoliation of </w:t>
      </w:r>
      <w:r>
        <w:rPr>
          <w:rFonts w:ascii="Arial" w:hAnsi="Arial" w:cs="Arial"/>
        </w:rPr>
        <w:t xml:space="preserve">the </w:t>
      </w:r>
      <w:r w:rsidRPr="00984AD7">
        <w:rPr>
          <w:rFonts w:ascii="Arial" w:hAnsi="Arial" w:cs="Arial"/>
        </w:rPr>
        <w:t xml:space="preserve">primary molars in boys and girls with OI </w:t>
      </w:r>
      <w:r>
        <w:rPr>
          <w:rFonts w:ascii="Arial" w:hAnsi="Arial" w:cs="Arial"/>
        </w:rPr>
        <w:t xml:space="preserve">treated </w:t>
      </w:r>
      <w:r w:rsidRPr="00984AD7">
        <w:rPr>
          <w:rFonts w:ascii="Arial" w:hAnsi="Arial" w:cs="Arial"/>
        </w:rPr>
        <w:t xml:space="preserve">with BPs. These results support the hypothesis that children with OI </w:t>
      </w:r>
      <w:r>
        <w:rPr>
          <w:rFonts w:ascii="Arial" w:hAnsi="Arial" w:cs="Arial"/>
        </w:rPr>
        <w:t xml:space="preserve">treated </w:t>
      </w:r>
      <w:r w:rsidRPr="00984AD7">
        <w:rPr>
          <w:rFonts w:ascii="Arial" w:hAnsi="Arial" w:cs="Arial"/>
        </w:rPr>
        <w:t>with BPs have disruptions in the eruptive process and confirm the clinical findings of other authors.</w:t>
      </w:r>
      <w:r w:rsidRPr="00984AD7">
        <w:rPr>
          <w:rFonts w:ascii="Arial" w:hAnsi="Arial" w:cs="Arial"/>
        </w:rPr>
        <w:fldChar w:fldCharType="begin"/>
      </w:r>
      <w:r w:rsidR="00EB26A5">
        <w:rPr>
          <w:rFonts w:ascii="Arial" w:hAnsi="Arial" w:cs="Arial"/>
        </w:rPr>
        <w:instrText xml:space="preserve"> ADDIN ZOTERO_ITEM CSL_CITATION {"citationID":"k7gBiJ0W","properties":{"formattedCitation":"[21, 29, 30]","plainCitation":"[21, 29, 30]","noteIndex":0},"citationItems":[{"id":581,"uris":["http://zotero.org/users/5260186/items/FE4Q2YSK"],"itemData":{"id":581,"type":"article-journal","abstract":"Introduction: Osteogenesis imperfecta (OI) is a congenital disease comprising a heterogeneous group of inherited connective tissue disorders. The main treatment in children is bisphosphonate therapy. Previous animal studies have shown that bisphosphonates delay tooth eruption. The aim of this study is to determine whether patients with OI treated with pamidronate and/or zoledronic acid have a delayed eruption age compared to a control group of healthy children.\nMethods: An ambispective longitudinal cohort study evaluating the age of eruption of the first stage mixed dentition in a group of children with OI (n = 37) all treated with intravenous bisphosphonates compared with a group of healthy children (n = 89). Within the study group, the correlation (Pearson correlation test) between the type of medication administered (pamidronate and/or zoledronic acid) and the chronology of tooth eruption is established, as well as the relationship between the amount of cumulative dose received and tooth eruption.\nResults: The age of eruption of the study group was significantly delayed compared to the age of eruption of the control group for molars and lateral incisors (p &lt; 0.05). Patients who received higher cumulative doses had a delayed eruption age compared to those with lower cumulative doses (p &lt; 0.05). There is a high positive cor­ relation between age of delayed tooth eruption and Zoledronic acid administration.\nConclusion: Patients with OI have a delayed eruption of the 1st stage mixed dentition compared to a control group of healthy children. This delayed eruption is directly related to the cumulative dose of bisphosphonates and the administration of zoledronic ac.","container-title":"Bone","DOI":"10.1016/j.bone.2024.117069","ISSN":"87563282","journalAbbreviation":"Bone","language":"en","page":"117069","source":"DOI.org (Crossref)","title":"Influence of zoledronic acid and pamidronate on tooth eruption in children with osteogenesis imperfecta","volume":"182","author":[{"family":"Del Rio Cantero","given":"Natalia"},{"family":"Mourelle Martínez","given":"María Rosa"},{"family":"Sagastizabal Cardelús","given":"Belén"},{"family":"De Nova García","given":"Joaquín Manuel"}],"issued":{"date-parts":[["2024",5]]}}},{"id":556,"uris":["http://zotero.org/users/5260186/items/8H2JEW7B"],"itemData":{"id":556,"type":"article-journal","abstract":"Bisphosphonates are currently used in the therapy of osteogenesis imperfecta (OI) to decrease the bone fragility observed in OI patients. Bisphosphonate therapy delays tooth eruption in rats. The aim of this study was to determine whether or not bisphosphonate therapy delays tooth eruption in children. The clinical emergence of teeth was observed and the calculated dental age and the number of delayed teeth were determined for 33 OI patients treated with bisphosphonates and for strictly gender- and age-matched controls. There were significant differences between bisphosphonate-treated patients and controls for calculated dental age and number of delayed teeth. Bisphosphonate therapy was associated with a mean delay of 1.67 yr in tooth eruption in children with OI.","container-title":"European Journal of Oral Sciences","DOI":"10.1111/j.1600-0722.2008.00529.x","ISSN":"1600-0722","issue":"3","journalAbbreviation":"Eur. J. Oral Sci.","language":"eng","note":"PMID: 18471236","page":"195-198","source":"PubMed","title":"Effects of bisphosphonates on tooth eruption in children with osteogenesis imperfecta","volume":"116","author":[{"family":"Kamoun-Goldrat","given":"Agnès"},{"family":"Ginisty","given":"Danielle"},{"family":"Le Merrer","given":"Martine"}],"issued":{"date-parts":[["2008",6]]}}},{"id":673,"uris":["http://zotero.org/users/5260186/items/CA766TFU",["http://zotero.org/users/5260186/items/CA766TFU"]],"itemData":{"id":673,"type":"article-journal","abstract":"Osteogenesis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Al"},{"family":"Dahllöf","given":"Göran"},{"family":"Åström","given":"Eva"}],"issued":{"date-parts":[["2020",8]]}}}],"schema":"https://github.com/citation-style-language/schema/raw/master/csl-citation.json"} </w:instrText>
      </w:r>
      <w:r w:rsidRPr="00984AD7">
        <w:rPr>
          <w:rFonts w:ascii="Arial" w:hAnsi="Arial" w:cs="Arial"/>
        </w:rPr>
        <w:fldChar w:fldCharType="separate"/>
      </w:r>
      <w:r w:rsidR="00EB26A5">
        <w:rPr>
          <w:rFonts w:ascii="Arial" w:hAnsi="Arial" w:cs="Arial"/>
        </w:rPr>
        <w:t>[21, 29, 30]</w:t>
      </w:r>
      <w:r w:rsidRPr="00984AD7">
        <w:rPr>
          <w:rFonts w:ascii="Arial" w:hAnsi="Arial" w:cs="Arial"/>
        </w:rPr>
        <w:fldChar w:fldCharType="end"/>
      </w:r>
    </w:p>
    <w:p w14:paraId="1EE1746F" w14:textId="77777777" w:rsidR="00D230CF" w:rsidRPr="00984AD7" w:rsidRDefault="00D230CF" w:rsidP="00D230CF">
      <w:pPr>
        <w:jc w:val="both"/>
        <w:rPr>
          <w:rFonts w:ascii="Arial" w:hAnsi="Arial" w:cs="Arial"/>
        </w:rPr>
      </w:pPr>
    </w:p>
    <w:p w14:paraId="4A3C8BB5" w14:textId="7A08D9E8" w:rsidR="00D230CF" w:rsidRPr="00984AD7" w:rsidRDefault="00D230CF" w:rsidP="00D230CF">
      <w:pPr>
        <w:jc w:val="both"/>
        <w:rPr>
          <w:rFonts w:ascii="Arial" w:hAnsi="Arial" w:cs="Arial"/>
        </w:rPr>
      </w:pPr>
      <w:r w:rsidRPr="00984AD7">
        <w:rPr>
          <w:rFonts w:ascii="Arial" w:hAnsi="Arial" w:cs="Arial"/>
        </w:rPr>
        <w:t>Laganà et al. reported that mesiodens was the most common type of supernumerary tooth detected on panoramic radiographs in nonorthodontic patients.</w:t>
      </w:r>
      <w:r w:rsidRPr="00984AD7">
        <w:rPr>
          <w:rFonts w:ascii="Arial" w:hAnsi="Arial" w:cs="Arial"/>
        </w:rPr>
        <w:fldChar w:fldCharType="begin"/>
      </w:r>
      <w:r w:rsidRPr="00984AD7">
        <w:rPr>
          <w:rFonts w:ascii="Arial" w:hAnsi="Arial" w:cs="Arial"/>
        </w:rPr>
        <w:instrText xml:space="preserve"> ADDIN ZOTERO_ITEM CSL_CITATION {"citationID":"umsqQnmI","properties":{"formattedCitation":"\\super 30\\nosupersub{}","plainCitation":"30","dontUpdate":true,"noteIndex":0},"citationItems":[{"id":577,"uris":["http://zotero.org/users/5260186/items/M5LXUT8Y"],"itemData":{"id":577,"type":"article-journal","abstract":"Background: To analyze the prevalence and associations between dental anomalies detectable on panoramic radiographs in a sample of non-orthodontic growing subjects.\nMethods: For this cross-sectional study, digital panoramic radiographs of 5005 subjects were initially screened from a single radiographic center in Rome. Inclusion criteria were: subjects who were aged 8–12 years, Caucasian, and had good diagnostic quality radiographs. Syndromic subjects, those with craniofacial malformation, or orthodontic patients were excluded and this led to a sample of 4706 subjects [mean (SD) age = 9.6 (1.2) years, 2366 males and 2340 females]. Sample was subsequently divided into four subgroups (8, 9, 10, and 11–12 year-old groups). Two operators examined panoramic radiographs to observe the presence of common dental anomalies. The prevalence and associations between dental anomalies were also investigated.\nResults: The overall prevalence of dental anomalies was 20.9%. Approximately, 17.9% showed only one anomaly, 2. 7% two anomalies, while only 0.3% had more than two anomalies. The most frequent anomalies were the displacement of maxillary canine (7.5%), hypodontia (7.1%), impacted teeth (3.9%), tooth ankylosis (2.8%), and tooth transposition (1.4%). The lower right second premolar was the most frequent missing teeth; 3.7% had only one tooth agenesis, and 0.08% had six or more missing tooth (Oligodontia). Mesiodens was the most common type of supernumerary tooth (0.66%). Two subjects had taurodontic tooth (0.04%). Tooth transpositions and displacement of maxillary canine were seen in 1.4 and 7. 5%, retrospectively (approximately 69 and 58% were in the 8 and 9 year-old groups, retrospectively). Significant associations were detected between the different dental anomalies (P &lt; .05).\nConclusions: The results of our study revealed significant associations among different dental anomalies and provide further evidences to support common etiological factors.","language":"en","source":"Zotero","title":"Dental anomalies: prevalence and associations between them in a large sample of non-orthodontic subjects, a cross-sectional study","author":[{"family":"Laganà","given":"G"}],"issued":{"date-parts":[["2017"]]}}}],"schema":"https://github.com/citation-style-language/schema/raw/master/csl-citation.json"} </w:instrText>
      </w:r>
      <w:r w:rsidRPr="00984AD7">
        <w:rPr>
          <w:rFonts w:ascii="Arial" w:hAnsi="Arial" w:cs="Arial"/>
        </w:rPr>
        <w:fldChar w:fldCharType="separate"/>
      </w:r>
      <w:r w:rsidRPr="00984AD7">
        <w:rPr>
          <w:rFonts w:ascii="Arial" w:hAnsi="Arial" w:cs="Arial"/>
          <w:vertAlign w:val="superscript"/>
        </w:rPr>
        <w:t xml:space="preserve"> </w:t>
      </w:r>
      <w:r w:rsidRPr="00984AD7">
        <w:rPr>
          <w:rFonts w:ascii="Arial" w:hAnsi="Arial" w:cs="Arial"/>
        </w:rPr>
        <w:fldChar w:fldCharType="end"/>
      </w:r>
      <w:r>
        <w:rPr>
          <w:rFonts w:ascii="Arial" w:hAnsi="Arial" w:cs="Arial"/>
        </w:rPr>
        <w:t xml:space="preserve">In this study, this </w:t>
      </w:r>
      <w:r w:rsidRPr="00984AD7">
        <w:rPr>
          <w:rFonts w:ascii="Arial" w:hAnsi="Arial" w:cs="Arial"/>
        </w:rPr>
        <w:t xml:space="preserve">dental anomaly was found in one of the 26 patients in the study group. In contrast, in the control group, which consisted of 395 subjects, this dental anomaly was not </w:t>
      </w:r>
      <w:r>
        <w:rPr>
          <w:rFonts w:ascii="Arial" w:hAnsi="Arial" w:cs="Arial"/>
        </w:rPr>
        <w:t>observed</w:t>
      </w:r>
      <w:r w:rsidRPr="00984AD7">
        <w:rPr>
          <w:rFonts w:ascii="Arial" w:hAnsi="Arial" w:cs="Arial"/>
        </w:rPr>
        <w:t>. Taqi et al. described a greater prevalence of missing teeth in patients with OI than in the general population. This clinical finding was associated with the early administration of BPs, which seems to increase the risk of developing unerupted teeth.</w:t>
      </w:r>
      <w:r w:rsidRPr="00984AD7">
        <w:rPr>
          <w:rFonts w:ascii="Arial" w:hAnsi="Arial" w:cs="Arial"/>
        </w:rPr>
        <w:fldChar w:fldCharType="begin"/>
      </w:r>
      <w:r>
        <w:rPr>
          <w:rFonts w:ascii="Arial" w:hAnsi="Arial" w:cs="Arial"/>
        </w:rPr>
        <w:instrText xml:space="preserve"> ADDIN ZOTERO_ITEM CSL_CITATION {"citationID":"bOBwczbN","properties":{"formattedCitation":"[32]","plainCitation":"[32]","noteIndex":0},"citationItems":[{"id":56,"uris":["http://zotero.org/users/5260186/items/A5E7MQUL"],"itemData":{"id":56,"type":"article-journal","abstract":"INTRODUCTION: Osteogenesis imperfecta (OI) is a genetic disorder characterized by bone fragility and craniofacial and dental abnormalities such as congenitally missing teeth and teeth that failed to erupt which are believed to be doubled in OI patients than normal populations and were associated with low oral health quality of life. However, the etiology of these abnormalities remains unclear. To understand the factors influencing missing and unerupted teeth, we investigated their prevalence in a cohort of OI patients as a function of the clinical phenotype (OI type), the genetic variant type, the tooth type and the onset of bisphosphonate treatment.\nMETHOD: A total of 144 OI patients were recruited from The Shriners Hospital, Montreal, Canada, between 2016 and 2017. Patients were evaluated using intraoral photographs and panoramic radiographs. Missing teeth were evaluated in all patients, and unerupted teeth were assessed only in patients ≥15 years old (n = 82).\nRESULTS: On average, each OI patient had 2.4 missing teeth and 0.8 unerupted teeth, and the most common missing and unerupted teeth were the premolars and the upper second molars, respectively. These phenomena were more prominent in OI type III and IV than in OI type I, and were not sex or age-related. Missing teeth were significantly more common in patients with C-propeptide variants than all other variants (p-value &lt;0.05). Unerupted teeth were significantly more common in patients with α1 and α2 glycine variants or substitutions than in those with haploinsufficiency variants. Early-onset of bisphosphonate treatment would significantly increase the risk of unerupted teeth in patients with OI types III and IV (OR = 1.68, 95% CI (1.15-1.53)).\nCONCLUSION: The prevalence of missing and unerupted teeth at the tooth type level in OI patients varies according to the nature of the collagen variants and the OI type. These findings highlight the role of collagen in tooth development and eruption.","container-title":"Bone","DOI":"10.1016/j.bone.2021.116011","ISSN":"1873-2763","journalAbbreviation":"Bone","language":"eng","note":"PMID: 34020077","page":"116011","source":"PubMed","title":"Missing and unerupted teeth in osteogenesis imperfecta","volume":"150","author":[{"family":"Taqi","given":"Doaa"},{"family":"Moussa","given":"Hanan"},{"family":"Schwinghamer","given":"Timothy"},{"family":"Vieira","given":"Alexandre Rezende"},{"family":"Dagdeviren","given":"Didem"},{"family":"Retrouvey","given":"Jean-Marc"},{"family":"Rauch","given":"Frank"},{"family":"Tamimi","given":"Faleh"},{"literal":"Members of the BBDC"}],"issued":{"date-parts":[["2021",9]]}}}],"schema":"https://github.com/citation-style-language/schema/raw/master/csl-citation.json"} </w:instrText>
      </w:r>
      <w:r w:rsidRPr="00984AD7">
        <w:rPr>
          <w:rFonts w:ascii="Arial" w:hAnsi="Arial" w:cs="Arial"/>
        </w:rPr>
        <w:fldChar w:fldCharType="separate"/>
      </w:r>
      <w:r>
        <w:rPr>
          <w:rFonts w:ascii="Arial" w:hAnsi="Arial" w:cs="Arial"/>
        </w:rPr>
        <w:t>[32]</w:t>
      </w:r>
      <w:r w:rsidRPr="00984AD7">
        <w:rPr>
          <w:rFonts w:ascii="Arial" w:hAnsi="Arial" w:cs="Arial"/>
        </w:rPr>
        <w:fldChar w:fldCharType="end"/>
      </w:r>
      <w:r w:rsidR="007C1C6A">
        <w:rPr>
          <w:rFonts w:ascii="Arial" w:hAnsi="Arial" w:cs="Arial"/>
        </w:rPr>
        <w:t xml:space="preserve"> </w:t>
      </w:r>
      <w:r w:rsidRPr="00984AD7">
        <w:rPr>
          <w:rFonts w:ascii="Arial" w:hAnsi="Arial" w:cs="Arial"/>
        </w:rPr>
        <w:t>Dental agenesis and morphological aberrations such as enamel defects are associated with the onset of medication administration before the age of 2 years.</w:t>
      </w:r>
      <w:r w:rsidRPr="00984AD7">
        <w:rPr>
          <w:rFonts w:ascii="Arial" w:hAnsi="Arial" w:cs="Arial"/>
        </w:rPr>
        <w:fldChar w:fldCharType="begin"/>
      </w:r>
      <w:r w:rsidR="00EB26A5">
        <w:rPr>
          <w:rFonts w:ascii="Arial" w:hAnsi="Arial" w:cs="Arial"/>
        </w:rPr>
        <w:instrText xml:space="preserve"> ADDIN ZOTERO_ITEM CSL_CITATION {"citationID":"YquQV58c","properties":{"formattedCitation":"[4, 21]","plainCitation":"[4, 21]","noteIndex":0},"citationItems":[{"id":673,"uris":["http://zotero.org/users/5260186/items/CA766TFU",["http://zotero.org/users/5260186/items/CA766TFU"]],"itemData":{"id":673,"type":"article-journal","abstract":"Osteogenesis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id":672,"uris":["http://zotero.org/users/5260186/items/YCYGIMQ9",["http://zotero.org/users/5260186/items/YCYGIMQ9"]],"itemData":{"id":672,"type":"article-journal","abstract":"Treatment with intravenous bisphosphonate (BP) in children and adolescents with osteogenesis imperfecta (OI) started in Sweden in 1991. No human studies on the role of BP therapy in development of disturbances in tooth mineralization or tooth morphology have been published. The study cohort comprised 219 individuals who were divided into four groups: group 1, BP treatment onset before 2 years of age (n = 22); group 2, BP treatment onset between 2 and 6 years of age (n = 20); group 3, BP treatment onset between 6 and 10 years of age (n = 13); and a control group of patients with OI who had not received BP therapy (n = 164). The chi-square test was used in between-group comparisons of the prevalence of tooth agenesis. The prevalence of tooth agenesis was significantly higher in children who began BP treatment before the age of 2 years (group 1; 59%,) compared to the controls (10%; p &lt; 0.001) and to children who had begun BP therapy between ages 2 and 6 years (group 2; 10%; p = 0.009) or between ages 6 and 10 years (group 3; 8%; p = 0.003). Different types of disturbances in the enamel formation were seen in 52 premolars, where 51 were seen in those who began BP treatment before the age of 2 years. To conclude, starting BP treatment before the age of 2 years increases the risk of abnormalities in tooth formation manifesting as morphological aberrations, tooth agenesis, and enamel defects.","container-title":"Calcified Tissue International","DOI":"10.1007/s00223-021-00835-2","ISSN":"1432-0827","journalAbbreviation":"Calcif Tissue Int","language":"eng","note":"PMID: 33743023","source":"PubMed","title":"Abnormalities in Tooth Formation after Early Bisphosphonate Treatment in Children with Osteogenesis Imperfecta","author":[{"family":"Malmgren","given":"Barbro"},{"family":"Thesleff","given":"Irma"},{"family":"Dahllöf","given":"Göran"},{"family":"Åström","given":"Eva"},{"family":"Tsilingaridis","given":"Georgios"}],"issued":{"date-parts":[["2021",3,20]]}}}],"schema":"https://github.com/citation-style-language/schema/raw/master/csl-citation.json"} </w:instrText>
      </w:r>
      <w:r w:rsidRPr="00984AD7">
        <w:rPr>
          <w:rFonts w:ascii="Arial" w:hAnsi="Arial" w:cs="Arial"/>
        </w:rPr>
        <w:fldChar w:fldCharType="separate"/>
      </w:r>
      <w:r w:rsidR="00EB26A5">
        <w:rPr>
          <w:rFonts w:ascii="Arial" w:hAnsi="Arial" w:cs="Arial"/>
        </w:rPr>
        <w:t>[4, 21]</w:t>
      </w:r>
      <w:r w:rsidRPr="00984AD7">
        <w:rPr>
          <w:rFonts w:ascii="Arial" w:hAnsi="Arial" w:cs="Arial"/>
        </w:rPr>
        <w:fldChar w:fldCharType="end"/>
      </w:r>
    </w:p>
    <w:p w14:paraId="0FC8803D" w14:textId="77777777" w:rsidR="00D230CF" w:rsidRPr="00984AD7" w:rsidRDefault="00D230CF" w:rsidP="00D230CF">
      <w:pPr>
        <w:jc w:val="both"/>
        <w:rPr>
          <w:rFonts w:ascii="Arial" w:hAnsi="Arial" w:cs="Arial"/>
        </w:rPr>
      </w:pPr>
    </w:p>
    <w:p w14:paraId="19EC63B4" w14:textId="77777777" w:rsidR="00D230CF" w:rsidRPr="00984AD7" w:rsidRDefault="00D230CF" w:rsidP="00D230CF">
      <w:pPr>
        <w:jc w:val="both"/>
        <w:rPr>
          <w:rFonts w:ascii="Arial" w:hAnsi="Arial" w:cs="Arial"/>
        </w:rPr>
      </w:pPr>
    </w:p>
    <w:p w14:paraId="1CB9A511" w14:textId="409C8913" w:rsidR="00D230CF" w:rsidRPr="00984AD7" w:rsidRDefault="00D230CF" w:rsidP="00D230CF">
      <w:pPr>
        <w:jc w:val="both"/>
        <w:rPr>
          <w:rFonts w:ascii="Arial" w:hAnsi="Arial" w:cs="Arial"/>
        </w:rPr>
      </w:pPr>
      <w:r>
        <w:rPr>
          <w:rFonts w:ascii="Arial" w:hAnsi="Arial" w:cs="Arial"/>
        </w:rPr>
        <w:t xml:space="preserve">According to the rare and </w:t>
      </w:r>
      <w:r w:rsidRPr="00984AD7">
        <w:rPr>
          <w:rFonts w:ascii="Arial" w:hAnsi="Arial" w:cs="Arial"/>
        </w:rPr>
        <w:t xml:space="preserve">controversial </w:t>
      </w:r>
      <w:r>
        <w:rPr>
          <w:rFonts w:ascii="Arial" w:hAnsi="Arial" w:cs="Arial"/>
        </w:rPr>
        <w:t xml:space="preserve">published </w:t>
      </w:r>
      <w:r w:rsidRPr="00984AD7">
        <w:rPr>
          <w:rFonts w:ascii="Arial" w:hAnsi="Arial" w:cs="Arial"/>
        </w:rPr>
        <w:t xml:space="preserve">scientific </w:t>
      </w:r>
      <w:r>
        <w:rPr>
          <w:rFonts w:ascii="Arial" w:hAnsi="Arial" w:cs="Arial"/>
        </w:rPr>
        <w:t xml:space="preserve">studies, </w:t>
      </w:r>
      <w:r w:rsidRPr="00984AD7">
        <w:rPr>
          <w:rFonts w:ascii="Arial" w:hAnsi="Arial" w:cs="Arial"/>
        </w:rPr>
        <w:t xml:space="preserve">patients with OI medicated with BPs </w:t>
      </w:r>
      <w:r>
        <w:rPr>
          <w:rFonts w:ascii="Arial" w:hAnsi="Arial" w:cs="Arial"/>
        </w:rPr>
        <w:t xml:space="preserve">exhibited </w:t>
      </w:r>
      <w:r w:rsidRPr="00984AD7">
        <w:rPr>
          <w:rFonts w:ascii="Arial" w:hAnsi="Arial" w:cs="Arial"/>
        </w:rPr>
        <w:t>delayed dental eruption</w:t>
      </w:r>
      <w:r>
        <w:rPr>
          <w:rFonts w:ascii="Arial" w:hAnsi="Arial" w:cs="Arial"/>
        </w:rPr>
        <w:t>.</w:t>
      </w:r>
      <w:r w:rsidRPr="00984AD7">
        <w:rPr>
          <w:rFonts w:ascii="Arial" w:hAnsi="Arial" w:cs="Arial"/>
        </w:rPr>
        <w:t xml:space="preserve"> Kamoun-Goldrat et al.</w:t>
      </w:r>
      <w:r w:rsidRPr="00984AD7">
        <w:rPr>
          <w:rFonts w:ascii="Arial" w:hAnsi="Arial" w:cs="Arial"/>
        </w:rPr>
        <w:fldChar w:fldCharType="begin"/>
      </w:r>
      <w:r w:rsidR="00EB26A5">
        <w:rPr>
          <w:rFonts w:ascii="Arial" w:hAnsi="Arial" w:cs="Arial"/>
        </w:rPr>
        <w:instrText xml:space="preserve"> ADDIN ZOTERO_ITEM CSL_CITATION {"citationID":"PrKGhCdS","properties":{"formattedCitation":"[30]","plainCitation":"[30]","noteIndex":0},"citationItems":[{"id":556,"uris":["http://zotero.org/users/5260186/items/8H2JEW7B"],"itemData":{"id":556,"type":"article-journal","abstract":"Bisphosphonates are currently used in the therapy of osteogenesis imperfecta (OI) to decrease the bone fragility observed in OI patients. Bisphosphonate therapy delays tooth eruption in rats. The aim of this study was to determine whether or not bisphosphonate therapy delays tooth eruption in children. The clinical emergence of teeth was observed and the calculated dental age and the number of delayed teeth were determined for 33 OI patients treated with bisphosphonates and for strictly gender- and age-matched controls. There were significant differences between bisphosphonate-treated patients and controls for calculated dental age and number of delayed teeth. Bisphosphonate therapy was associated with a mean delay of 1.67 yr in tooth eruption in children with OI.","container-title":"European Journal of Oral Sciences","DOI":"10.1111/j.1600-0722.2008.00529.x","ISSN":"1600-0722","issue":"3","journalAbbreviation":"Eur. J. Oral Sci.","language":"eng","note":"PMID: 18471236","page":"195-198","source":"PubMed","title":"Effects of bisphosphonates on tooth eruption in children with osteogenesis imperfecta","volume":"116","author":[{"family":"Kamoun-Goldrat","given":"Agnès"},{"family":"Ginisty","given":"Danielle"},{"family":"Le Merrer","given":"Martine"}],"issued":{"date-parts":[["2008",6]]}}}],"schema":"https://github.com/citation-style-language/schema/raw/master/csl-citation.json"} </w:instrText>
      </w:r>
      <w:r w:rsidRPr="00984AD7">
        <w:rPr>
          <w:rFonts w:ascii="Arial" w:hAnsi="Arial" w:cs="Arial"/>
        </w:rPr>
        <w:fldChar w:fldCharType="separate"/>
      </w:r>
      <w:r w:rsidR="00EB26A5">
        <w:rPr>
          <w:rFonts w:ascii="Arial" w:hAnsi="Arial" w:cs="Arial"/>
        </w:rPr>
        <w:t>[30]</w:t>
      </w:r>
      <w:r w:rsidRPr="00984AD7">
        <w:rPr>
          <w:rFonts w:ascii="Arial" w:hAnsi="Arial" w:cs="Arial"/>
        </w:rPr>
        <w:fldChar w:fldCharType="end"/>
      </w:r>
      <w:r w:rsidRPr="00984AD7">
        <w:rPr>
          <w:rFonts w:ascii="Arial" w:hAnsi="Arial" w:cs="Arial"/>
        </w:rPr>
        <w:t xml:space="preserve"> reported a delay of 1.67 years in tooth eruption</w:t>
      </w:r>
      <w:r>
        <w:rPr>
          <w:rFonts w:ascii="Arial" w:hAnsi="Arial" w:cs="Arial"/>
        </w:rPr>
        <w:t>,</w:t>
      </w:r>
      <w:r w:rsidRPr="00984AD7">
        <w:rPr>
          <w:rFonts w:ascii="Arial" w:hAnsi="Arial" w:cs="Arial"/>
        </w:rPr>
        <w:t xml:space="preserve"> Malmgren et al.</w:t>
      </w:r>
      <w:r w:rsidRPr="00984AD7">
        <w:rPr>
          <w:rFonts w:ascii="Arial" w:hAnsi="Arial" w:cs="Arial"/>
        </w:rPr>
        <w:fldChar w:fldCharType="begin"/>
      </w:r>
      <w:r>
        <w:rPr>
          <w:rFonts w:ascii="Arial" w:hAnsi="Arial" w:cs="Arial"/>
        </w:rPr>
        <w:instrText xml:space="preserve"> ADDIN ZOTERO_ITEM CSL_CITATION {"citationID":"rlVSWRGJ","properties":{"formattedCitation":"[21]","plainCitation":"[21]","noteIndex":0},"citationItems":[{"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Al"},{"family":"Dahllöf","given":"Göran"},{"family":"Åström","given":"Eva"}],"issued":{"date-parts":[["2020",8]]}}}],"schema":"https://github.com/citation-style-language/schema/raw/master/csl-citation.json"} </w:instrText>
      </w:r>
      <w:r w:rsidRPr="00984AD7">
        <w:rPr>
          <w:rFonts w:ascii="Arial" w:hAnsi="Arial" w:cs="Arial"/>
        </w:rPr>
        <w:fldChar w:fldCharType="separate"/>
      </w:r>
      <w:r>
        <w:rPr>
          <w:rFonts w:ascii="Arial" w:hAnsi="Arial" w:cs="Arial"/>
        </w:rPr>
        <w:t>[21]</w:t>
      </w:r>
      <w:r w:rsidRPr="00984AD7">
        <w:rPr>
          <w:rFonts w:ascii="Arial" w:hAnsi="Arial" w:cs="Arial"/>
        </w:rPr>
        <w:fldChar w:fldCharType="end"/>
      </w:r>
      <w:r w:rsidRPr="00984AD7">
        <w:rPr>
          <w:rFonts w:ascii="Arial" w:hAnsi="Arial" w:cs="Arial"/>
        </w:rPr>
        <w:t xml:space="preserve"> reported a delay in tooth eruption</w:t>
      </w:r>
      <w:r w:rsidRPr="00512830">
        <w:rPr>
          <w:rFonts w:ascii="Arial" w:hAnsi="Arial" w:cs="Arial"/>
        </w:rPr>
        <w:t xml:space="preserve">, </w:t>
      </w:r>
      <w:r w:rsidRPr="005158D2">
        <w:rPr>
          <w:rFonts w:ascii="Arial" w:hAnsi="Arial" w:cs="Arial"/>
        </w:rPr>
        <w:t>and a recent longitudinal study confirmed delayed eruption of the first-stage mixed dentition in children with OI medicated with BPs compared to a control group of healthy children</w:t>
      </w:r>
      <w:r w:rsidRPr="00512830">
        <w:rPr>
          <w:rFonts w:ascii="Arial" w:hAnsi="Arial" w:cs="Arial"/>
        </w:rPr>
        <w:t>; this</w:t>
      </w:r>
      <w:r w:rsidRPr="00984AD7">
        <w:rPr>
          <w:rFonts w:ascii="Arial" w:hAnsi="Arial" w:cs="Arial"/>
        </w:rPr>
        <w:t xml:space="preserve"> delay was directly related to the cumulative dose of BPs.</w:t>
      </w:r>
      <w:r w:rsidRPr="00984AD7">
        <w:rPr>
          <w:rFonts w:ascii="Arial" w:hAnsi="Arial" w:cs="Arial"/>
          <w:highlight w:val="yellow"/>
        </w:rPr>
        <w:fldChar w:fldCharType="begin"/>
      </w:r>
      <w:r w:rsidR="00EB26A5">
        <w:rPr>
          <w:rFonts w:ascii="Arial" w:hAnsi="Arial" w:cs="Arial"/>
          <w:highlight w:val="yellow"/>
        </w:rPr>
        <w:instrText xml:space="preserve"> ADDIN ZOTERO_ITEM CSL_CITATION {"citationID":"SwgZd4yz","properties":{"formattedCitation":"[29]","plainCitation":"[29]","noteIndex":0},"citationItems":[{"id":581,"uris":["http://zotero.org/users/5260186/items/FE4Q2YSK"],"itemData":{"id":581,"type":"article-journal","abstract":"Introduction: Osteogenesis imperfecta (OI) is a congenital disease comprising a heterogeneous group of inherited connective tissue disorders. The main treatment in children is bisphosphonate therapy. Previous animal studies have shown that bisphosphonates delay tooth eruption. The aim of this study is to determine whether patients with OI treated with pamidronate and/or zoledronic acid have a delayed eruption age compared to a control group of healthy children.\nMethods: An ambispective longitudinal cohort study evaluating the age of eruption of the first stage mixed dentition in a group of children with OI (n = 37) all treated with intravenous bisphosphonates compared with a group of healthy children (n = 89). Within the study group, the correlation (Pearson correlation test) between the type of medication administered (pamidronate and/or zoledronic acid) and the chronology of tooth eruption is established, as well as the relationship between the amount of cumulative dose received and tooth eruption.\nResults: The age of eruption of the study group was significantly delayed compared to the age of eruption of the control group for molars and lateral incisors (p &lt; 0.05). Patients who received higher cumulative doses had a delayed eruption age compared to those with lower cumulative doses (p &lt; 0.05). There is a high positive cor­ relation between age of delayed tooth eruption and Zoledronic acid administration.\nConclusion: Patients with OI have a delayed eruption of the 1st stage mixed dentition compared to a control group of healthy children. This delayed eruption is directly related to the cumulative dose of bisphosphonates and the administration of zoledronic ac.","container-title":"Bone","DOI":"10.1016/j.bone.2024.117069","ISSN":"87563282","journalAbbreviation":"Bone","language":"en","page":"117069","source":"DOI.org (Crossref)","title":"Influence of zoledronic acid and pamidronate on tooth eruption in children with osteogenesis imperfecta","volume":"182","author":[{"family":"Del Rio Cantero","given":"Natalia"},{"family":"Mourelle Martínez","given":"María Rosa"},{"family":"Sagastizabal Cardelús","given":"Belén"},{"family":"De Nova García","given":"Joaquín Manuel"}],"issued":{"date-parts":[["2024",5]]}}}],"schema":"https://github.com/citation-style-language/schema/raw/master/csl-citation.json"} </w:instrText>
      </w:r>
      <w:r w:rsidRPr="00984AD7">
        <w:rPr>
          <w:rFonts w:ascii="Arial" w:hAnsi="Arial" w:cs="Arial"/>
          <w:highlight w:val="yellow"/>
        </w:rPr>
        <w:fldChar w:fldCharType="separate"/>
      </w:r>
      <w:r w:rsidR="00EB26A5">
        <w:rPr>
          <w:rFonts w:ascii="Arial" w:hAnsi="Arial" w:cs="Arial"/>
        </w:rPr>
        <w:t>[29]</w:t>
      </w:r>
      <w:r w:rsidRPr="00984AD7">
        <w:rPr>
          <w:rFonts w:ascii="Arial" w:hAnsi="Arial" w:cs="Arial"/>
          <w:highlight w:val="yellow"/>
        </w:rPr>
        <w:fldChar w:fldCharType="end"/>
      </w:r>
      <w:r w:rsidRPr="00984AD7">
        <w:rPr>
          <w:rFonts w:ascii="Arial" w:hAnsi="Arial" w:cs="Arial"/>
        </w:rPr>
        <w:t xml:space="preserve"> However, Vourimies et al.</w:t>
      </w:r>
      <w:r w:rsidRPr="00984AD7">
        <w:rPr>
          <w:rFonts w:ascii="Arial" w:hAnsi="Arial" w:cs="Arial"/>
        </w:rPr>
        <w:fldChar w:fldCharType="begin"/>
      </w:r>
      <w:r>
        <w:rPr>
          <w:rFonts w:ascii="Arial" w:hAnsi="Arial" w:cs="Arial"/>
        </w:rPr>
        <w:instrText xml:space="preserve"> ADDIN ZOTERO_ITEM CSL_CITATION {"citationID":"YntRAVAi","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reported no correlation between cumulative bisphosphonate dose or treatment length and any measured component of dental development. </w:t>
      </w:r>
      <w:r w:rsidRPr="00984AD7">
        <w:rPr>
          <w:rFonts w:ascii="Arial" w:hAnsi="Arial" w:cs="Arial"/>
        </w:rPr>
        <w:fldChar w:fldCharType="begin"/>
      </w:r>
      <w:r>
        <w:rPr>
          <w:rFonts w:ascii="Arial" w:hAnsi="Arial" w:cs="Arial"/>
        </w:rPr>
        <w:instrText xml:space="preserve"> ADDIN ZOTERO_ITEM CSL_CITATION {"citationID":"ymi5vgan","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p>
    <w:p w14:paraId="18FE4B41" w14:textId="77777777" w:rsidR="00D230CF" w:rsidRPr="00984AD7" w:rsidRDefault="00D230CF" w:rsidP="00D230CF">
      <w:pPr>
        <w:jc w:val="both"/>
        <w:rPr>
          <w:rFonts w:ascii="Arial" w:hAnsi="Arial" w:cs="Arial"/>
        </w:rPr>
      </w:pPr>
    </w:p>
    <w:p w14:paraId="6E99BA6D" w14:textId="5043780A" w:rsidR="00D230CF" w:rsidRPr="00984AD7" w:rsidRDefault="00D230CF" w:rsidP="00D230CF">
      <w:pPr>
        <w:jc w:val="both"/>
        <w:rPr>
          <w:rFonts w:ascii="Arial" w:hAnsi="Arial" w:cs="Arial"/>
        </w:rPr>
      </w:pPr>
      <w:r w:rsidRPr="00984AD7">
        <w:rPr>
          <w:rFonts w:ascii="Arial" w:hAnsi="Arial" w:cs="Arial"/>
        </w:rPr>
        <w:t>As stated by Vourimies et al.</w:t>
      </w:r>
      <w:r>
        <w:rPr>
          <w:rFonts w:ascii="Arial" w:hAnsi="Arial" w:cs="Arial"/>
        </w:rPr>
        <w:t>,</w:t>
      </w:r>
      <w:r w:rsidRPr="00984AD7">
        <w:rPr>
          <w:rFonts w:ascii="Arial" w:hAnsi="Arial" w:cs="Arial"/>
        </w:rPr>
        <w:fldChar w:fldCharType="begin"/>
      </w:r>
      <w:r>
        <w:rPr>
          <w:rFonts w:ascii="Arial" w:hAnsi="Arial" w:cs="Arial"/>
        </w:rPr>
        <w:instrText xml:space="preserve"> ADDIN ZOTERO_ITEM CSL_CITATION {"citationID":"E1GvgFx1","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OI was found to </w:t>
      </w:r>
      <w:r>
        <w:rPr>
          <w:rFonts w:ascii="Arial" w:hAnsi="Arial" w:cs="Arial"/>
        </w:rPr>
        <w:t xml:space="preserve">cause </w:t>
      </w:r>
      <w:r w:rsidRPr="00984AD7">
        <w:rPr>
          <w:rFonts w:ascii="Arial" w:hAnsi="Arial" w:cs="Arial"/>
        </w:rPr>
        <w:t>advanced dental development, and bisphosphonate treatment had a delaying effect, resulting in a rate of dental development that was indistinguishable from that of healthy children. The difference probably resided in the fact that in this study, the dental development of the seven left mandibular teeth was not analysed as other authors</w:t>
      </w:r>
      <w:r>
        <w:rPr>
          <w:rFonts w:ascii="Arial" w:hAnsi="Arial" w:cs="Arial"/>
        </w:rPr>
        <w:t xml:space="preserve"> have reported</w:t>
      </w:r>
      <w:r w:rsidRPr="00984AD7">
        <w:rPr>
          <w:rFonts w:ascii="Arial" w:hAnsi="Arial" w:cs="Arial"/>
        </w:rPr>
        <w:t>.</w:t>
      </w:r>
      <w:r w:rsidRPr="00984AD7">
        <w:rPr>
          <w:rFonts w:ascii="Arial" w:hAnsi="Arial" w:cs="Arial"/>
        </w:rPr>
        <w:fldChar w:fldCharType="begin"/>
      </w:r>
      <w:r>
        <w:rPr>
          <w:rFonts w:ascii="Arial" w:hAnsi="Arial" w:cs="Arial"/>
        </w:rPr>
        <w:instrText xml:space="preserve"> ADDIN ZOTERO_ITEM CSL_CITATION {"citationID":"Q1cp5yAe","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In this study, the dental development of 3.4 and 3.5 was analysed individually and together. Observations in animal studies have demonstrated that bisphosphonate slows dental development</w:t>
      </w:r>
      <w:r w:rsidRPr="00984AD7">
        <w:rPr>
          <w:rFonts w:ascii="Arial" w:hAnsi="Arial" w:cs="Arial"/>
        </w:rPr>
        <w:fldChar w:fldCharType="begin"/>
      </w:r>
      <w:r w:rsidR="00EB26A5">
        <w:rPr>
          <w:rFonts w:ascii="Arial" w:hAnsi="Arial" w:cs="Arial"/>
        </w:rPr>
        <w:instrText xml:space="preserve"> ADDIN ZOTERO_ITEM CSL_CITATION {"citationID":"f1S8spZL","properties":{"formattedCitation":"[17\\uc0\\u8211{}19]","plainCitation":"[17–19]","noteIndex":0},"citationItems":[{"id":560,"uris":["http://zotero.org/users/5260186/items/ITY72Y38",["http://zotero.org/users/5260186/items/ITY72Y38"]],"itemData":{"id":560,"type":"article-journal","abstract":"Bisphosphonates (BPs) are potent inhibitors of osteoclastic bone resorption and widely used for the treatment of osteoporosis and metastatic bone diseases. Recently, BPs have also been shown to benefit children with primary and secondary osteoporosis, including osteogenesis imperfecta; however, their long-term safety has not been established yet. Clinical and experimental studies have demonstrated that BPs delay or inhibit tooth eruption. The failure of tooth eruption causes several dental abnormalities. In this study, to determine the effects of BPs on tooth formation, the BP zoledronic acid (ZOL) was injected into 7- and 14-day-old rats, and the development of the mandibular teeth was examined. X-ray analysis demonstrated that ZOL inhibited the eruption of both incisors and molars and their formation, especially in the molar roots. Histological examination showed that, in ZOL-treated animals, alveolar bone remained unresorbed around tooth crowns, which injured ameloblasts and enamel matrix, leading to defects of the enamel. Furthermore, haphazard proliferation of odontogenic epithelium and mesenchyme associated with primitive tooth structures, which resembles human odontomas, was induced at the basal end of incisors but not around the molars. Tooth ankylosis to alveolar bone was occasionally observed in molars. These results suggest that administration of BPs during tooth development has the potential to inhibit tooth eruption and formation and to induce several types of dental abnormalities, which may be attributed to the altered osteoclastic activities.","container-title":"Calcified Tissue International","DOI":"10.1007/s00223-010-9366-z","ISSN":"1432-0827","issue":"6","journalAbbreviation":"Calcif. Tissue Int.","language":"eng","note":"PMID: 20411381","page":"502-510","source":"PubMed","title":"Administration of the bisphosphonate zoledronic acid during tooth development inhibits tooth eruption and formation and induces dental abnormalities in rats","volume":"86","author":[{"family":"Hiraga","given":"Toru"},{"family":"Ninomiya","given":"Tadashi"},{"family":"Hosoya","given":"Akihiro"},{"family":"Nakamura","given":"Hiroaki"}],"issued":{"date-parts":[["2010",6]]}}},{"id":557,"uris":["http://zotero.org/users/5260186/items/D2QCG6M7",["http://zotero.org/users/5260186/items/D2QCG6M7"]],"itemData":{"id":557,"type":"article-journal","abstract":"Tooth eruption consists of the movement of teeth from the bony crypt in which they initiate their development to the occlusal plane in the oral cavity. Interactions between the tooth germ and its surrounding alveolar bone occur in order to offer spatial conditions for its development and eruption. This involves bone remodeling during which resorption is a key event. Bisphosphonates are a group of drugs that interfere with the resorption of mineralized tissues. With the purpose of investigating the effects of sodium alendronate (a potent bisphosphonate inhibitor of osteoclast activity) on alveolar bone during tooth development and eruption, we gave newborn rats daily doses of this drug for 4, 14, and 30 days. Samples of the maxillary alveolar process containing the tooth germs were processed for light, transmission, and scanning electron microscopy and were also submitted to tartrate-resistant acid phosphatase histochemistry and high-resolution colloidal-gold immunolabeling for osteopontin. Inhibition of osteoclast activity by sodium alendronate caused the absence of tooth eruption. The lack of alveolar bone remodeling resulted in primary bone with the presence of latent osteoclasts and abundant osteopontin at the interfibrillar regions. The developing bone trabeculae invaded the dental follicle and reached the molar tooth germs, provoking deformities in enamel surfaces. No root formation was observed. These findings suggested that alendronate effectively inhibited tooth eruption by interfering with the activation of osteoclasts, which remained in a latent stage.","container-title":"Cell and Tissue Research","DOI":"10.1007/s00441-007-0499-y","ISSN":"0302-766X","issue":"3","journalAbbreviation":"Cell Tissue Res.","language":"eng","note":"PMID: 17901984","page":"475-485","source":"PubMed","title":"Effects of alendronate on tooth eruption and molar root formation in young growing rats","volume":"330","author":[{"family":"Bradaschia-Correa","given":"Vivian"},{"family":"Massa","given":"Luciana F."},{"family":"Arana-Chavez","given":"Victor E."}],"issued":{"date-parts":[["2007",12]]}}},{"id":562,"uris":["http://zotero.org/users/5260186/items/NI46NZ77",["http://zotero.org/users/5260186/items/NI46NZ77"]],"itemData":{"id":562,"type":"article-journal","abstract":"The creation of the eruption pathway requires the resorption of the occlusal alveolar bone by osteoclasts and signaling events between bone and dental follicle are necessary. The aim of the present study has been to evaluate the effect of alendronate on osteoclastogenesis and the expression of the regulator proteins of osteoclast activation, namely RANK, RANKL and OPG, in the bone that covers the first molar germ. Newborn Wistar rats were treated daily with 2.5 mg/kg alendronate for 4, 8, 14, 21 and 28 days, whereas controls received sterile saline solution. At the time points cited, maxillae were fixed, decalcified and processed for light and electron microscopic analysis. TRAP histochemistry was performed on semi-serial sections and the osteoclasts in the occlusal half of the bony crypt surface were counted. TUNEL analysis was carried out on paraffin sections. The occlusal bone that covers the upper first molar was removed in additional 4- and 8-day-old alendronate-treated and control rats in which the expression of RANK, RANKL and OPG was analyzed by SDS-polyacrylamide gel electrophoresis and Western blotting. TRAP-positive osteoclasts were more numerous in the alendronate group at all time points, despite their unactivated phenotype and the presence of apoptotic cells. RANKL expression in the alendronate specimens was inhibited at all time points, unlike in controls. Our findings indicate that the expression of RANKL in the occlusal portion of the bony crypt is unrelated to osteoclast recruitment and differentiation but is crucial to their activation during the creation of the eruption pathway.","container-title":"Cell and Tissue Research","DOI":"10.1007/s00441-013-1623-9","ISSN":"1432-0878","issue":"1","journalAbbreviation":"Cell Tissue Res.","language":"eng","note":"PMID: 23636419","page":"79-86","source":"PubMed","title":"Reduced RANKL expression impedes osteoclast activation and tooth eruption in alendronate-treated rats","volume":"353","author":[{"family":"Bradaschia-Correa","given":"Vivian"},{"family":"Moreira","given":"Mariana M."},{"family":"Arana-Chavez","given":"Victor E."}],"issued":{"date-parts":[["2013",7]]}}}],"schema":"https://github.com/citation-style-language/schema/raw/master/csl-citation.json"} </w:instrText>
      </w:r>
      <w:r w:rsidRPr="00984AD7">
        <w:rPr>
          <w:rFonts w:ascii="Arial" w:hAnsi="Arial" w:cs="Arial"/>
        </w:rPr>
        <w:fldChar w:fldCharType="separate"/>
      </w:r>
      <w:r w:rsidR="00EB26A5" w:rsidRPr="00DD176B">
        <w:rPr>
          <w:rFonts w:ascii="Arial" w:hAnsi="Arial" w:cs="Arial"/>
          <w:lang w:val="en-US"/>
        </w:rPr>
        <w:t>[17–19]</w:t>
      </w:r>
      <w:r w:rsidRPr="00984AD7">
        <w:rPr>
          <w:rFonts w:ascii="Arial" w:hAnsi="Arial" w:cs="Arial"/>
        </w:rPr>
        <w:fldChar w:fldCharType="end"/>
      </w:r>
      <w:r w:rsidRPr="00984AD7">
        <w:rPr>
          <w:rFonts w:ascii="Arial" w:hAnsi="Arial" w:cs="Arial"/>
          <w:vertAlign w:val="superscript"/>
        </w:rPr>
        <w:t>.</w:t>
      </w:r>
      <w:r w:rsidRPr="00984AD7">
        <w:rPr>
          <w:rFonts w:ascii="Arial" w:hAnsi="Arial" w:cs="Arial"/>
        </w:rPr>
        <w:t xml:space="preserve"> Our results revealed that OI patients treated with BPs had significantly less dental development in premolars. Malmgren et al.</w:t>
      </w:r>
      <w:r w:rsidRPr="00984AD7">
        <w:rPr>
          <w:rFonts w:ascii="Arial" w:hAnsi="Arial" w:cs="Arial"/>
        </w:rPr>
        <w:fldChar w:fldCharType="begin"/>
      </w:r>
      <w:r>
        <w:rPr>
          <w:rFonts w:ascii="Arial" w:hAnsi="Arial" w:cs="Arial"/>
        </w:rPr>
        <w:instrText xml:space="preserve"> ADDIN ZOTERO_ITEM CSL_CITATION {"citationID":"HdigdUPU","properties":{"formattedCitation":"[21]","plainCitation":"[21]","noteIndex":0},"citationItems":[{"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Al"},{"family":"Dahllöf","given":"Göran"},{"family":"Åström","given":"Eva"}],"issued":{"date-parts":[["2020",8]]}}}],"schema":"https://github.com/citation-style-language/schema/raw/master/csl-citation.json"} </w:instrText>
      </w:r>
      <w:r w:rsidRPr="00984AD7">
        <w:rPr>
          <w:rFonts w:ascii="Arial" w:hAnsi="Arial" w:cs="Arial"/>
        </w:rPr>
        <w:fldChar w:fldCharType="separate"/>
      </w:r>
      <w:r>
        <w:rPr>
          <w:rFonts w:ascii="Arial" w:hAnsi="Arial" w:cs="Arial"/>
        </w:rPr>
        <w:t>[21]</w:t>
      </w:r>
      <w:r w:rsidRPr="00984AD7">
        <w:rPr>
          <w:rFonts w:ascii="Arial" w:hAnsi="Arial" w:cs="Arial"/>
        </w:rPr>
        <w:fldChar w:fldCharType="end"/>
      </w:r>
      <w:r w:rsidRPr="00984AD7">
        <w:rPr>
          <w:rFonts w:ascii="Arial" w:hAnsi="Arial" w:cs="Arial"/>
        </w:rPr>
        <w:t xml:space="preserve"> reported delayed dental </w:t>
      </w:r>
      <w:r w:rsidRPr="00984AD7">
        <w:rPr>
          <w:rFonts w:ascii="Arial" w:hAnsi="Arial" w:cs="Arial"/>
        </w:rPr>
        <w:lastRenderedPageBreak/>
        <w:t xml:space="preserve">maturation in children treated with BP therapy before 2 years of age. In our study, all participants started treatment with BPs before 2 years of </w:t>
      </w:r>
      <w:r>
        <w:rPr>
          <w:rFonts w:ascii="Arial" w:hAnsi="Arial" w:cs="Arial"/>
        </w:rPr>
        <w:t>age</w:t>
      </w:r>
      <w:r w:rsidRPr="00984AD7">
        <w:rPr>
          <w:rFonts w:ascii="Arial" w:hAnsi="Arial" w:cs="Arial"/>
        </w:rPr>
        <w:t>.</w:t>
      </w:r>
    </w:p>
    <w:p w14:paraId="1A91E22F" w14:textId="77777777" w:rsidR="00D230CF" w:rsidRPr="00984AD7" w:rsidRDefault="00D230CF" w:rsidP="00D230CF">
      <w:pPr>
        <w:jc w:val="both"/>
        <w:rPr>
          <w:rFonts w:ascii="Arial" w:hAnsi="Arial" w:cs="Arial"/>
        </w:rPr>
      </w:pPr>
    </w:p>
    <w:p w14:paraId="699EDED7" w14:textId="4761052E" w:rsidR="00D230CF" w:rsidRPr="00984AD7" w:rsidRDefault="00D230CF" w:rsidP="00D230CF">
      <w:pPr>
        <w:jc w:val="both"/>
        <w:rPr>
          <w:rFonts w:ascii="Arial" w:hAnsi="Arial" w:cs="Arial"/>
        </w:rPr>
      </w:pPr>
      <w:r w:rsidRPr="00984AD7">
        <w:rPr>
          <w:rFonts w:ascii="Arial" w:hAnsi="Arial" w:cs="Arial"/>
        </w:rPr>
        <w:t>Eruption of the premolars requires root resorption and exfoliation of the primary molars.</w:t>
      </w:r>
      <w:r w:rsidRPr="00984AD7">
        <w:rPr>
          <w:rFonts w:ascii="Arial" w:hAnsi="Arial" w:cs="Arial"/>
        </w:rPr>
        <w:fldChar w:fldCharType="begin"/>
      </w:r>
      <w:r>
        <w:rPr>
          <w:rFonts w:ascii="Arial" w:hAnsi="Arial" w:cs="Arial"/>
        </w:rPr>
        <w:instrText xml:space="preserve"> ADDIN ZOTERO_ITEM CSL_CITATION {"citationID":"g7PznyXx","properties":{"formattedCitation":"[33]","plainCitation":"[33]","noteIndex":0},"citationItems":[{"id":927,"uris":["http://zotero.org/users/5260186/items/ZK4QRCGV",["http://zotero.org/users/5260186/items/ZK4QRCGV"]],"itemData":{"id":927,"type":"article-journal","abstract":"OBJECTIVES: Tooth eruption requires the presence of a dental follicle (DF), alveolar bone resorption for an eruption pathway, and alveolar bone formation at the base of the bony crypt. The objectives of our investigations have been to determine how the DF regulates both the osteoclastogenesis and osteogenesis needed for eruption.\nMATERIAL AND METHODS: Multiple experimental methods have been employed.\nRESULTS: The DF regulates osteoclastogenesis and osteogenesis by regulating the expression of critical genes in both a chronological and spatial fashion. In the rat 1st mandibular molar there is a major burst of osteoclastogenesis at day 3 postnatally and a minor burst at day 10. At day 3, the DF maximally expresses colony-stimulating factor-1 (CSF-1) to down-regulate the expression of osteoprotegerin (OPG) such that osteoclastogenesis can occur. At day 10, the minor burst of osteoclastogenesis is promoted by upregulation of vascular endothelial growth factor (VEGF) and RANKL in the DF. Spatially, the bone resorption is in the coronal portion of the bony crypt and genes such as RANKL are expressed more in the coronal region of the DF than in its basal one-half. For osteogenesis, bone formation begins at day 3 at the base of the bony crypt and maximal growth is at days 9-14. Osteo-inductive genes such as bone morphogenetic protein-2 (BMP-2) appear to promote this and are expressed more in the basal half of the DF than in the coronal. Conclusion - The osteoclastogenesis and osteogenesis needed for eruption are regulated by differential gene expression in the DF both chronologically and spatially.","container-title":"Orthodontics &amp; Craniofacial Research","DOI":"10.1111/j.1601-6343.2009.01439.x","ISSN":"1601-6343","issue":"2","journalAbbreviation":"Orthod Craniofac Res","language":"eng","note":"PMID: 19419449\nPMCID: PMC2702853","page":"67-73","source":"PubMed","title":"Cellular and molecular basis of tooth eruption","volume":"12","author":[{"family":"Wise","given":"G. E."}],"issued":{"date-parts":[["2009",5]]}}}],"schema":"https://github.com/citation-style-language/schema/raw/master/csl-citation.json"} </w:instrText>
      </w:r>
      <w:r w:rsidRPr="00984AD7">
        <w:rPr>
          <w:rFonts w:ascii="Arial" w:hAnsi="Arial" w:cs="Arial"/>
        </w:rPr>
        <w:fldChar w:fldCharType="separate"/>
      </w:r>
      <w:r>
        <w:rPr>
          <w:rFonts w:ascii="Arial" w:hAnsi="Arial" w:cs="Arial"/>
        </w:rPr>
        <w:t>[33]</w:t>
      </w:r>
      <w:r w:rsidRPr="00984AD7">
        <w:rPr>
          <w:rFonts w:ascii="Arial" w:hAnsi="Arial" w:cs="Arial"/>
        </w:rPr>
        <w:fldChar w:fldCharType="end"/>
      </w:r>
      <w:r w:rsidRPr="00984AD7">
        <w:rPr>
          <w:rFonts w:ascii="Arial" w:hAnsi="Arial" w:cs="Arial"/>
        </w:rPr>
        <w:t xml:space="preserve"> BPs act by blocking osteoclast function and thereby decrease bone resorption.</w:t>
      </w:r>
      <w:r w:rsidRPr="00984AD7">
        <w:rPr>
          <w:rFonts w:ascii="Arial" w:hAnsi="Arial" w:cs="Arial"/>
        </w:rPr>
        <w:fldChar w:fldCharType="begin"/>
      </w:r>
      <w:r w:rsidR="00EB26A5">
        <w:rPr>
          <w:rFonts w:ascii="Arial" w:hAnsi="Arial" w:cs="Arial"/>
        </w:rPr>
        <w:instrText xml:space="preserve"> ADDIN ZOTERO_ITEM CSL_CITATION {"citationID":"LrK475Ju","properties":{"formattedCitation":"[12]","plainCitation":"[12]","noteIndex":0},"citationItems":[{"id":"6Vbqh94y/nEK4oHdo","uris":["http://zotero.org/users/5260186/items/6VFMI2SX",["http://zotero.org/users/5260186/items/6VFMI2SX"]],"itemData":{"id":1344,"type":"article-journal","abstract":"BACKGROUND: Osteogenesis imperfecta is caused by a genetic defect resulting in an abnormal type I collagen bone matrix which typically results in multiple fractures with little or no trauma. Bisphosphonates are used in an attempt to increase bone mineral density and reduce these fractures in people with osteogenesis imperfecta. This is an update of a previously published Cochrane Review.\nOBJECTIVES: To assess the effectiveness and safety of bisphosphonates in increasing bone mineral density, reducing fractures and improving clinical function in people with osteogenesis imperfecta.\nSEARCH METHODS: We searched the Cochrane Cystic Fibrosis and Genetic Disorders Group Inborn Errors of Metabolism Trials Register which comprises references identified from comprehensive electronic database searches, handsearches of journals and conference proceedings. We additionally searched PubMed and major conference proceedings.Date of the most recent search of the Cochrane Cystic Fibrosis and Genetic Disorders Group's Inborn Errors of Metabolism Register: 28 April 2016.\nSELECTION CRITERIA: Randomised and quasi-randomised controlled trials comparing bisphosphonates to placebo, no treatment, or comparator interventions in all types of osteogenesis imperfecta.\nDATA COLLECTION AND ANALYSIS: Two authors independently extracted data and assessed the risk of bias of the included trials.\nMAIN RESULTS: Fourteen trials (819 participants) were included. Overall, the trials were mainly at a low risk of bias, although selective reporting was an issue in several of the trials. Data for oral bisphosphonates versus placebo could not be aggregated; a statistically significant difference favouring oral bisphosphonates in fracture risk reduction and number of fractures was noted in two trials. No differences were reported in the remaining three trials which commented on fracture incidence. Five trials reported data for spine bone mineral density; all found statistically significant increased lumbar spine density z scores for at least one time point studied. For intravenous bisphosphonates versus placebo, aggregated data from two trials showed no statistically significant difference for the number of participants with at least one fracture, risk ratio 0.56 (95% confidence interval 0.30 to 1.06). In the remaining trial no statistically significant difference was noted in fracture incidence. For spine bone mineral density, no statistically significant difference was noted in the aggregated data from two trials, mean difference 9.96 (95% confidence interval -2.51 to 22.43). In the remaining trial a statistically significant difference in mean per cent change in spine bone mineral density z score favoured intravenous bisphosphonates at six and 12 months. Data describing growth, bone pain, and functional outcomes after oral or intravenous bisphosphonate therapy, or both, as compared to placebo were incomplete among all studies, but do not show consistent improvements in these outcomes. Two studies compared different doses of bisphosphonates. No differences were found between doses when bone mineral density, fractures, and height or length z score were assessed. One trial compared oral versus intravenous bisphosphonates and found no differences in primary outcomes. Two studies compared the intravenous bisphosphonates zoledronic acid and pamidronate. There were no significant differences in primary outcome. However, the studies were at odds as to the relative benefit of zoledronic acid over pamidronate for lumbosacral bone mineral density at 12 months.\nAUTHORS' CONCLUSIONS: Bisphophonates are commonly prescribed to individuals with osteogenesis imperfecta. Current evidence, albeit limited, demonstrates oral or intravenous bisphosphonates increase bone mineral density in children and adults with this condition. These were not shown to be different in their ability to increase bone mineral density. It is unclear whether oral or intravenous bisphosphonate treatment consistently decreases fractures, though multiple studies report this independently and no studies report an increased fracture rate with treatment. The studies included here do not show bisphosphonates conclusively improve clinical status (reduce pain; improve growth and functional mobility) in people with osteogenesis imperfecta. Given their current widespread and expected continued use, the optimal method, duration of therapy and long-term safety of bisphosphonate therapy require further investigation. In addition, attention should be given to long-term fracture reduction and improvement in quality of life indicators.","container-title":"The Cochrane Database of Systematic Reviews","DOI":"10.1002/14651858.CD005088.pub4","ISSN":"1469-493X","journalAbbreviation":"Cochrane Database Syst Rev","language":"eng","note":"PMID: 27760454\nPMCID: PMC6611487","page":"CD005088","source":"PubMed","title":"Bisphosphonate therapy for osteogenesis imperfecta","volume":"10","author":[{"family":"Dwan","given":"Kerry"},{"family":"Phillipi","given":"Carrie A."},{"family":"Steiner","given":"Robert D."},{"family":"Basel","given":"Donald"}],"issued":{"date-parts":[["2016",10,19]]}}}],"schema":"https://github.com/citation-style-language/schema/raw/master/csl-citation.json"} </w:instrText>
      </w:r>
      <w:r w:rsidRPr="00984AD7">
        <w:rPr>
          <w:rFonts w:ascii="Arial" w:hAnsi="Arial" w:cs="Arial"/>
        </w:rPr>
        <w:fldChar w:fldCharType="separate"/>
      </w:r>
      <w:r w:rsidR="00EB26A5">
        <w:rPr>
          <w:rFonts w:ascii="Arial" w:hAnsi="Arial" w:cs="Arial"/>
        </w:rPr>
        <w:t>[12]</w:t>
      </w:r>
      <w:r w:rsidRPr="00984AD7">
        <w:rPr>
          <w:rFonts w:ascii="Arial" w:hAnsi="Arial" w:cs="Arial"/>
        </w:rPr>
        <w:fldChar w:fldCharType="end"/>
      </w:r>
      <w:r w:rsidRPr="00984AD7">
        <w:rPr>
          <w:rFonts w:ascii="Arial" w:hAnsi="Arial" w:cs="Arial"/>
        </w:rPr>
        <w:t xml:space="preserve"> A direct relationship between bisphosphonates and the reduced ability of osteoclasts to resorb bone has been shown in animal</w:t>
      </w:r>
      <w:r>
        <w:rPr>
          <w:rFonts w:ascii="Arial" w:hAnsi="Arial" w:cs="Arial"/>
        </w:rPr>
        <w:t xml:space="preserve"> studie</w:t>
      </w:r>
      <w:r w:rsidRPr="00984AD7">
        <w:rPr>
          <w:rFonts w:ascii="Arial" w:hAnsi="Arial" w:cs="Arial"/>
        </w:rPr>
        <w:t>s.</w:t>
      </w:r>
      <w:r w:rsidRPr="00984AD7">
        <w:rPr>
          <w:rFonts w:ascii="Arial" w:hAnsi="Arial" w:cs="Arial"/>
        </w:rPr>
        <w:fldChar w:fldCharType="begin"/>
      </w:r>
      <w:r>
        <w:rPr>
          <w:rFonts w:ascii="Arial" w:hAnsi="Arial" w:cs="Arial"/>
        </w:rPr>
        <w:instrText xml:space="preserve"> ADDIN ZOTERO_ITEM CSL_CITATION {"citationID":"np3cS6ee","properties":{"formattedCitation":"[34]","plainCitation":"[34]","noteIndex":0},"citationItems":[{"id":569,"uris":["http://zotero.org/users/5260186/items/M37VBFTK"],"itemData":{"id":569,"type":"article-journal","abstract":"Studies of osteopetrotic rodents suggest that localized alveolar bone resorption must occur if the tooth is to erupt. To test this hypothesis directly, we injected postnatal rats with pamidronate, a bisphosphonate that reduces bone resorption by osteoclasts. The results of these experiments demonstrate that this bisphosphonate inhibits the time of tooth eruption of both rat molars and incisors. Pamidronate does not inhibit the gene expression of the putative tooth eruption molecules, colony-stimulating factor-1 and c-fos, both of which are expressed in the dental follicle, the tissue that is required for eruption to occur. Pamidronate does increase the size of the osteoclasts, including an increase in the number of nuclei, suggesting that the precursor mononuclear cells can still fuse to form osteoclasts despite the reduced ability of the osteoclasts to resorb bone. Thus, we report the discovery of an agent that inhibits tooth eruption and also show that tooth eruption requires alveolar bone resorption.","container-title":"Journal of Dental Research","DOI":"10.1177/00220345980770011201","ISSN":"0022-0345","issue":"1","journalAbbreviation":"J Dent Res","language":"eng","note":"PMID: 9437395","page":"8-15","source":"PubMed","title":"Inhibition of tooth eruption in the rat by a bisphosphonate","volume":"77","author":[{"family":"Grier","given":"R. L."},{"family":"Wise","given":"G. E."}],"issued":{"date-parts":[["1998",1]]}}}],"schema":"https://github.com/citation-style-language/schema/raw/master/csl-citation.json"} </w:instrText>
      </w:r>
      <w:r w:rsidRPr="00984AD7">
        <w:rPr>
          <w:rFonts w:ascii="Arial" w:hAnsi="Arial" w:cs="Arial"/>
        </w:rPr>
        <w:fldChar w:fldCharType="separate"/>
      </w:r>
      <w:r>
        <w:rPr>
          <w:rFonts w:ascii="Arial" w:hAnsi="Arial" w:cs="Arial"/>
        </w:rPr>
        <w:t>[34]</w:t>
      </w:r>
      <w:r w:rsidRPr="00984AD7">
        <w:rPr>
          <w:rFonts w:ascii="Arial" w:hAnsi="Arial" w:cs="Arial"/>
        </w:rPr>
        <w:fldChar w:fldCharType="end"/>
      </w:r>
      <w:r w:rsidRPr="00984AD7">
        <w:rPr>
          <w:rFonts w:ascii="Arial" w:hAnsi="Arial" w:cs="Arial"/>
        </w:rPr>
        <w:t xml:space="preserve"> The half-life of BPs is a decade, so the effects on bone persist throughout the entire eruptive process in children with OI medicated with BPs</w:t>
      </w:r>
      <w:r>
        <w:rPr>
          <w:rFonts w:ascii="Arial" w:hAnsi="Arial" w:cs="Arial"/>
        </w:rPr>
        <w:t>.</w:t>
      </w:r>
      <w:r w:rsidRPr="00984AD7">
        <w:rPr>
          <w:rFonts w:ascii="Arial" w:hAnsi="Arial" w:cs="Arial"/>
        </w:rPr>
        <w:fldChar w:fldCharType="begin"/>
      </w:r>
      <w:r>
        <w:rPr>
          <w:rFonts w:ascii="Arial" w:hAnsi="Arial" w:cs="Arial"/>
        </w:rPr>
        <w:instrText xml:space="preserve"> ADDIN ZOTERO_ITEM CSL_CITATION {"citationID":"YjZJdIHT","properties":{"formattedCitation":"[3]","plainCitation":"[3]","noteIndex":0},"citationItems":[{"id":928,"uris":["http://zotero.org/users/5260186/items/WQCMXDJE",["http://zotero.org/users/5260186/items/WQCMXDJE"]],"itemData":{"id":928,"type":"article-journal","abstract":"Osteogenesis imperfecta is a phenotypically and molecularly heterogeneous group of inherited connective tissue disorders that share similar skeletal abnormalities causing bone fragility and deformity. Previously, the disorder was thought to be an autosomal dominant bone dysplasia caused by defects in type I collagen, but in the past 10 years discoveries of novel (mainly recessive) causative genes have lent support to a predominantly collagen-related pathophysiology and have contributed to an improved understanding of normal bone development. Defects in proteins with very different functions, ranging from structural to enzymatic and from intracellular transport to chaperones, have been described in patients with osteogenesis imperfecta. Knowledge of the specific molecular basis of each form of the disorder will advance clinical diagnosis and potentially stimulate targeted therapeutic approaches. In this Seminar, together with diagnosis, management, and treatment, we describe the defects causing osteogenesis imperfecta and their mechanism and interrelations, and classify them into five groups on the basis of the metabolic pathway compromised, specifically those related to collagen synthesis, structure, and processing; post-translational modification; folding and cross-linking; mineralisation; and osteoblast differentiation.","container-title":"Lancet (London, England)","DOI":"10.1016/S0140-6736(15)00728-X","ISSN":"1474-547X","issue":"10028","journalAbbreviation":"Lancet","language":"eng","note":"PMID: 26542481\nPMCID: PMC7384887","page":"1657-1671","source":"PubMed","title":"Osteogenesis imperfecta","volume":"387","author":[{"family":"Forlino","given":"Antonella"},{"family":"Marini","given":"Joan C."}],"issued":{"date-parts":[["2016",4,16]]}}}],"schema":"https://github.com/citation-style-language/schema/raw/master/csl-citation.json"} </w:instrText>
      </w:r>
      <w:r w:rsidRPr="00984AD7">
        <w:rPr>
          <w:rFonts w:ascii="Arial" w:hAnsi="Arial" w:cs="Arial"/>
        </w:rPr>
        <w:fldChar w:fldCharType="separate"/>
      </w:r>
      <w:r>
        <w:rPr>
          <w:rFonts w:ascii="Arial" w:hAnsi="Arial" w:cs="Arial"/>
        </w:rPr>
        <w:t>[3]</w:t>
      </w:r>
      <w:r w:rsidRPr="00984AD7">
        <w:rPr>
          <w:rFonts w:ascii="Arial" w:hAnsi="Arial" w:cs="Arial"/>
        </w:rPr>
        <w:fldChar w:fldCharType="end"/>
      </w:r>
      <w:r w:rsidRPr="00984AD7">
        <w:rPr>
          <w:rFonts w:ascii="Arial" w:hAnsi="Arial" w:cs="Arial"/>
        </w:rPr>
        <w:t xml:space="preserve"> In the present study, we demonstrated a significant delay in root resorption of the primary molars in children with OI medicated with BPs. Vourimies et al.</w:t>
      </w:r>
      <w:r w:rsidRPr="00984AD7">
        <w:rPr>
          <w:rFonts w:ascii="Arial" w:hAnsi="Arial" w:cs="Arial"/>
        </w:rPr>
        <w:fldChar w:fldCharType="begin"/>
      </w:r>
      <w:r>
        <w:rPr>
          <w:rFonts w:ascii="Arial" w:hAnsi="Arial" w:cs="Arial"/>
        </w:rPr>
        <w:instrText xml:space="preserve"> ADDIN ZOTERO_ITEM CSL_CITATION {"citationID":"0lJLGAMZ","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reported a significant delay in root resorption of the primary teeth in children with OI medicated with BPs compared to children with OI not treated with BPs. These results demonstrated a delaying effect of BPs on the resorption of primary teeth.</w:t>
      </w:r>
    </w:p>
    <w:p w14:paraId="0ED7E009" w14:textId="77777777" w:rsidR="00D230CF" w:rsidRPr="00984AD7" w:rsidRDefault="00D230CF" w:rsidP="00D230CF">
      <w:pPr>
        <w:jc w:val="both"/>
        <w:rPr>
          <w:rFonts w:ascii="Arial" w:hAnsi="Arial" w:cs="Arial"/>
        </w:rPr>
      </w:pPr>
    </w:p>
    <w:p w14:paraId="0ABA6B66" w14:textId="77777777" w:rsidR="00D230CF" w:rsidRPr="00984AD7" w:rsidRDefault="00D230CF" w:rsidP="00D230CF">
      <w:pPr>
        <w:jc w:val="both"/>
        <w:rPr>
          <w:rFonts w:ascii="Arial" w:hAnsi="Arial" w:cs="Arial"/>
        </w:rPr>
      </w:pPr>
    </w:p>
    <w:p w14:paraId="2CB6EF63" w14:textId="3AAB55C2" w:rsidR="00D230CF" w:rsidRPr="00984AD7" w:rsidRDefault="00D230CF" w:rsidP="00D230CF">
      <w:pPr>
        <w:jc w:val="both"/>
        <w:rPr>
          <w:rFonts w:ascii="Arial" w:hAnsi="Arial" w:cs="Arial"/>
        </w:rPr>
      </w:pPr>
      <w:r w:rsidRPr="00984AD7">
        <w:rPr>
          <w:rFonts w:ascii="Arial" w:hAnsi="Arial" w:cs="Arial"/>
        </w:rPr>
        <w:t xml:space="preserve">When we analysed the dental development of the premolars and root resorption of the primary molars according to subgroups of sex and age, these differences </w:t>
      </w:r>
      <w:r>
        <w:rPr>
          <w:rFonts w:ascii="Arial" w:hAnsi="Arial" w:cs="Arial"/>
        </w:rPr>
        <w:t xml:space="preserve">were </w:t>
      </w:r>
      <w:r w:rsidRPr="00984AD7">
        <w:rPr>
          <w:rFonts w:ascii="Arial" w:hAnsi="Arial" w:cs="Arial"/>
        </w:rPr>
        <w:t xml:space="preserve">not clearly </w:t>
      </w:r>
      <w:r>
        <w:rPr>
          <w:rFonts w:ascii="Arial" w:hAnsi="Arial" w:cs="Arial"/>
        </w:rPr>
        <w:t xml:space="preserve">apparent </w:t>
      </w:r>
      <w:r w:rsidRPr="00984AD7">
        <w:rPr>
          <w:rFonts w:ascii="Arial" w:hAnsi="Arial" w:cs="Arial"/>
        </w:rPr>
        <w:t xml:space="preserve">in </w:t>
      </w:r>
      <w:proofErr w:type="gramStart"/>
      <w:r>
        <w:rPr>
          <w:rFonts w:ascii="Arial" w:hAnsi="Arial" w:cs="Arial"/>
        </w:rPr>
        <w:t xml:space="preserve">all </w:t>
      </w:r>
      <w:r w:rsidRPr="00984AD7">
        <w:rPr>
          <w:rFonts w:ascii="Arial" w:hAnsi="Arial" w:cs="Arial"/>
        </w:rPr>
        <w:t>of</w:t>
      </w:r>
      <w:proofErr w:type="gramEnd"/>
      <w:r w:rsidRPr="00984AD7">
        <w:rPr>
          <w:rFonts w:ascii="Arial" w:hAnsi="Arial" w:cs="Arial"/>
        </w:rPr>
        <w:t xml:space="preserve"> the subgroups. </w:t>
      </w:r>
      <w:r>
        <w:rPr>
          <w:rFonts w:ascii="Arial" w:hAnsi="Arial" w:cs="Arial"/>
        </w:rPr>
        <w:t xml:space="preserve">Notably, </w:t>
      </w:r>
      <w:r w:rsidRPr="00984AD7">
        <w:rPr>
          <w:rFonts w:ascii="Arial" w:hAnsi="Arial" w:cs="Arial"/>
        </w:rPr>
        <w:t xml:space="preserve">in some subgroups, the sample size was </w:t>
      </w:r>
      <w:r>
        <w:rPr>
          <w:rFonts w:ascii="Arial" w:hAnsi="Arial" w:cs="Arial"/>
        </w:rPr>
        <w:t>small</w:t>
      </w:r>
      <w:r w:rsidRPr="00984AD7">
        <w:rPr>
          <w:rFonts w:ascii="Arial" w:hAnsi="Arial" w:cs="Arial"/>
        </w:rPr>
        <w:t>; therefore, the results must be interpreted with caution. There were two main reasons for the reduced sample size in the study group: OI is a rare disease with an approximate incidence between 6 and 20 cases per 100,000 live births,</w:t>
      </w:r>
      <w:r w:rsidRPr="00984AD7">
        <w:rPr>
          <w:rFonts w:ascii="Arial" w:hAnsi="Arial" w:cs="Arial"/>
        </w:rPr>
        <w:fldChar w:fldCharType="begin"/>
      </w:r>
      <w:r>
        <w:rPr>
          <w:rFonts w:ascii="Arial" w:hAnsi="Arial" w:cs="Arial"/>
        </w:rPr>
        <w:instrText xml:space="preserve"> ADDIN ZOTERO_ITEM CSL_CITATION {"citationID":"jeIpF5o7","properties":{"formattedCitation":"[1]","plainCitation":"[1]","noteIndex":0},"citationItems":[{"id":542,"uris":["http://zotero.org/users/5260186/items/REQL9TUN",["http://zotero.org/users/5260186/items/REQL9TUN"]],"itemData":{"id":542,"type":"article-journal","abstract":"Osteogenesis imperfecta is a genetic disorder of increased bone fragility, low bone mass, and other connective-tissue manifestations. The most frequently used classification outlines four clinical types, which we have expanded to seven distinct types. In most patients the disorder is caused by mutations in one of the two genes encoding collagen type 1, but in some individuals no such mutations are detectable. The most important therapeutic advance is the introduction of bisphosphonate treatment for moderate to severe forms of osteogenesis imperfecta. However, at present, the best treatment regimen and the long-term outcomes of bisphosphonate therapy are unknown. Although this treatment does not constitute a cure, it is an adjunct to physiotherapy, rehabilitation, and orthopaedic care. Gene-based therapy presently remains in the early stages of preclinical research.","container-title":"Lancet (London, England)","DOI":"10.1016/S0140-6736(04)16051-0","ISSN":"1474-547X","issue":"9418","journalAbbreviation":"Lancet","language":"eng","note":"PMID: 15110498","page":"1377-1385","source":"PubMed","title":"Osteogenesis imperfecta","volume":"363","author":[{"family":"Rauch","given":"Frank"},{"family":"Glorieux","given":"Francis H."}],"issued":{"date-parts":[["2004",4,24]]}}}],"schema":"https://github.com/citation-style-language/schema/raw/master/csl-citation.json"} </w:instrText>
      </w:r>
      <w:r w:rsidRPr="00984AD7">
        <w:rPr>
          <w:rFonts w:ascii="Arial" w:hAnsi="Arial" w:cs="Arial"/>
        </w:rPr>
        <w:fldChar w:fldCharType="separate"/>
      </w:r>
      <w:r>
        <w:rPr>
          <w:rFonts w:ascii="Arial" w:hAnsi="Arial" w:cs="Arial"/>
        </w:rPr>
        <w:t>[1]</w:t>
      </w:r>
      <w:r w:rsidRPr="00984AD7">
        <w:rPr>
          <w:rFonts w:ascii="Arial" w:hAnsi="Arial" w:cs="Arial"/>
        </w:rPr>
        <w:fldChar w:fldCharType="end"/>
      </w:r>
      <w:r w:rsidRPr="00984AD7">
        <w:rPr>
          <w:rFonts w:ascii="Arial" w:hAnsi="Arial" w:cs="Arial"/>
        </w:rPr>
        <w:t xml:space="preserve"> and we excluded patients with caries, obturations, orthodontic treatments, and dental agenesis in the lower arch </w:t>
      </w:r>
      <w:r>
        <w:rPr>
          <w:rFonts w:ascii="Arial" w:hAnsi="Arial" w:cs="Arial"/>
        </w:rPr>
        <w:t xml:space="preserve">so all patients </w:t>
      </w:r>
      <w:r w:rsidRPr="00984AD7">
        <w:rPr>
          <w:rFonts w:ascii="Arial" w:hAnsi="Arial" w:cs="Arial"/>
        </w:rPr>
        <w:t>start</w:t>
      </w:r>
      <w:r>
        <w:rPr>
          <w:rFonts w:ascii="Arial" w:hAnsi="Arial" w:cs="Arial"/>
        </w:rPr>
        <w:t>ed</w:t>
      </w:r>
      <w:r w:rsidRPr="00984AD7">
        <w:rPr>
          <w:rFonts w:ascii="Arial" w:hAnsi="Arial" w:cs="Arial"/>
        </w:rPr>
        <w:t xml:space="preserve"> </w:t>
      </w:r>
      <w:r>
        <w:rPr>
          <w:rFonts w:ascii="Arial" w:hAnsi="Arial" w:cs="Arial"/>
        </w:rPr>
        <w:t xml:space="preserve">with similar </w:t>
      </w:r>
      <w:r w:rsidRPr="00984AD7">
        <w:rPr>
          <w:rFonts w:ascii="Arial" w:hAnsi="Arial" w:cs="Arial"/>
        </w:rPr>
        <w:t>conditions and only the physiological process of dental development and root resorption of the primary teeth</w:t>
      </w:r>
      <w:r>
        <w:rPr>
          <w:rFonts w:ascii="Arial" w:hAnsi="Arial" w:cs="Arial"/>
        </w:rPr>
        <w:t xml:space="preserve"> could be measured;</w:t>
      </w:r>
      <w:r w:rsidRPr="00984AD7">
        <w:rPr>
          <w:rFonts w:ascii="Arial" w:hAnsi="Arial" w:cs="Arial"/>
        </w:rPr>
        <w:t xml:space="preserve"> 14 patients </w:t>
      </w:r>
      <w:r>
        <w:rPr>
          <w:rFonts w:ascii="Arial" w:hAnsi="Arial" w:cs="Arial"/>
        </w:rPr>
        <w:t xml:space="preserve">were excluded </w:t>
      </w:r>
      <w:r w:rsidRPr="00984AD7">
        <w:rPr>
          <w:rFonts w:ascii="Arial" w:hAnsi="Arial" w:cs="Arial"/>
        </w:rPr>
        <w:t>from the study group.</w:t>
      </w:r>
    </w:p>
    <w:p w14:paraId="010A7FD0" w14:textId="77777777" w:rsidR="00D230CF" w:rsidRPr="00984AD7" w:rsidRDefault="00D230CF" w:rsidP="00D230CF">
      <w:pPr>
        <w:jc w:val="both"/>
        <w:rPr>
          <w:rFonts w:ascii="Arial" w:hAnsi="Arial" w:cs="Arial"/>
        </w:rPr>
      </w:pPr>
    </w:p>
    <w:p w14:paraId="0AD5EFAF" w14:textId="77777777" w:rsidR="00D230CF" w:rsidRPr="00984AD7" w:rsidRDefault="00D230CF" w:rsidP="00D230CF">
      <w:pPr>
        <w:jc w:val="both"/>
        <w:rPr>
          <w:rFonts w:ascii="Arial" w:hAnsi="Arial" w:cs="Arial"/>
        </w:rPr>
      </w:pPr>
    </w:p>
    <w:p w14:paraId="4C58CAFD" w14:textId="5A05D9FA" w:rsidR="00D230CF" w:rsidRPr="00984AD7" w:rsidRDefault="00D230CF" w:rsidP="00D230CF">
      <w:pPr>
        <w:jc w:val="both"/>
        <w:rPr>
          <w:rFonts w:ascii="Arial" w:hAnsi="Arial" w:cs="Arial"/>
        </w:rPr>
      </w:pPr>
      <w:r w:rsidRPr="00984AD7">
        <w:rPr>
          <w:rFonts w:ascii="Arial" w:hAnsi="Arial" w:cs="Arial"/>
        </w:rPr>
        <w:t>Malmgren et al.</w:t>
      </w:r>
      <w:r w:rsidRPr="00984AD7">
        <w:rPr>
          <w:rFonts w:ascii="Arial" w:hAnsi="Arial" w:cs="Arial"/>
        </w:rPr>
        <w:fldChar w:fldCharType="begin"/>
      </w:r>
      <w:r>
        <w:rPr>
          <w:rFonts w:ascii="Arial" w:hAnsi="Arial" w:cs="Arial"/>
        </w:rPr>
        <w:instrText xml:space="preserve"> ADDIN ZOTERO_ITEM CSL_CITATION {"citationID":"pc9x5rze","properties":{"formattedCitation":"[21]","plainCitation":"[21]","noteIndex":0},"citationItems":[{"id":673,"uris":["http://zotero.org/users/5260186/items/CA766TFU",["http://zotero.org/users/5260186/items/CA766TFU"]],"itemData":{"id":673,"type":"article-journal","abstract":"Osteogenesis imperfecta (OI) is a heterogeneous connective tissue disorder characterized by repeated fractures and skeletal disorders. At present, bisphosphonate (BP) therapy is the gold standard for OI treatment. The present retrospective study evaluated the effect of BP therapy on tooth development and eruption of permanent teeth in a cohort of children receiving pamidronate. Three groups were studied: patients with OI who were treated with BPs (n = 45), patients with OI who were not treated with BPs (n = 117), and age- and gender-matched healthy controls (n = 121). Dental age, dental maturity, and tooth eruption were assessed on panoramic radiographs using the methods of Demirjian et al. (Hum Biol 45(2):211-227, 1973) and Haavikko (Suom Hammaslaak Toim 66(3):103-170, 1970) and were evaluated using the t-test, Chi-square test, and the Mann-Whitney U test. Dental age in the study group was significantly (p &lt; 0.05) lower than chronological age compared with both control groups. Dental maturity and the eruption of permanent teeth were also significantly (p &lt; 0.05) delayed in the study group in relation to the two control groups. The dental age was significantly lower (p &lt; 0.001) in patients with OI type III treated with BPs compared with healthy controls and the dental maturation was significantly delayed in patients with OI type IV treated with BPs compared with those not treated. In conclusion, BP therapy in OI patients seems to lower the dental age, delay the dental maturity, and tooth eruption. BP administration before 2 years of age might be a contributing factor.","container-title":"Calcified Tissue International","DOI":"10.1007/s00223-020-00707-1","ISSN":"1432-0827","issue":"2","journalAbbreviation":"Calcif Tissue Int","language":"eng","note":"PMID: 32451573\nPMCID: PMC7343730","page":"143-150","source":"PubMed","title":"Bisphosphonate Therapy and Tooth Development in Children and Adolescents with Osteogenesis Imperfecta","volume":"107","author":[{"family":"Malmgren","given":"Barbro"},{"family":"Tsilingaridis","given":"Georgios"},{"family":"Monsef-Johansson","given":"Nina"},{"family":"Qahtani","given":"Zaina Haif Al"},{"family":"Dahllöf","given":"Göran"},{"family":"Åström","given":"Eva"}],"issued":{"date-parts":[["2020",8]]}}}],"schema":"https://github.com/citation-style-language/schema/raw/master/csl-citation.json"} </w:instrText>
      </w:r>
      <w:r w:rsidRPr="00984AD7">
        <w:rPr>
          <w:rFonts w:ascii="Arial" w:hAnsi="Arial" w:cs="Arial"/>
        </w:rPr>
        <w:fldChar w:fldCharType="separate"/>
      </w:r>
      <w:r>
        <w:rPr>
          <w:rFonts w:ascii="Arial" w:hAnsi="Arial" w:cs="Arial"/>
        </w:rPr>
        <w:t>[21]</w:t>
      </w:r>
      <w:r w:rsidRPr="00984AD7">
        <w:rPr>
          <w:rFonts w:ascii="Arial" w:hAnsi="Arial" w:cs="Arial"/>
        </w:rPr>
        <w:fldChar w:fldCharType="end"/>
      </w:r>
      <w:r w:rsidRPr="00984AD7">
        <w:rPr>
          <w:rFonts w:ascii="Arial" w:hAnsi="Arial" w:cs="Arial"/>
        </w:rPr>
        <w:t xml:space="preserve"> reported that dental maturity was significantly delayed in boys with OI who had been treated with BPs compared with healthy controls; these results </w:t>
      </w:r>
      <w:r>
        <w:rPr>
          <w:rFonts w:ascii="Arial" w:hAnsi="Arial" w:cs="Arial"/>
        </w:rPr>
        <w:t xml:space="preserve">were </w:t>
      </w:r>
      <w:r w:rsidRPr="00984AD7">
        <w:rPr>
          <w:rFonts w:ascii="Arial" w:hAnsi="Arial" w:cs="Arial"/>
        </w:rPr>
        <w:t xml:space="preserve">supported </w:t>
      </w:r>
      <w:r>
        <w:rPr>
          <w:rFonts w:ascii="Arial" w:hAnsi="Arial" w:cs="Arial"/>
        </w:rPr>
        <w:t xml:space="preserve">by </w:t>
      </w:r>
      <w:r w:rsidRPr="00984AD7">
        <w:rPr>
          <w:rFonts w:ascii="Arial" w:hAnsi="Arial" w:cs="Arial"/>
        </w:rPr>
        <w:t>our clinical findings</w:t>
      </w:r>
      <w:r>
        <w:rPr>
          <w:rFonts w:ascii="Arial" w:hAnsi="Arial" w:cs="Arial"/>
        </w:rPr>
        <w:t xml:space="preserve"> of </w:t>
      </w:r>
      <w:r w:rsidRPr="00984AD7">
        <w:rPr>
          <w:rFonts w:ascii="Arial" w:hAnsi="Arial" w:cs="Arial"/>
        </w:rPr>
        <w:t xml:space="preserve">a significantly </w:t>
      </w:r>
      <w:r>
        <w:rPr>
          <w:rFonts w:ascii="Arial" w:hAnsi="Arial" w:cs="Arial"/>
        </w:rPr>
        <w:t xml:space="preserve">decreased </w:t>
      </w:r>
      <w:r w:rsidRPr="00984AD7">
        <w:rPr>
          <w:rFonts w:ascii="Arial" w:hAnsi="Arial" w:cs="Arial"/>
        </w:rPr>
        <w:t xml:space="preserve">dental development of the premolars and </w:t>
      </w:r>
      <w:r>
        <w:rPr>
          <w:rFonts w:ascii="Arial" w:hAnsi="Arial" w:cs="Arial"/>
        </w:rPr>
        <w:t xml:space="preserve">decreased </w:t>
      </w:r>
      <w:r w:rsidRPr="00984AD7">
        <w:rPr>
          <w:rFonts w:ascii="Arial" w:hAnsi="Arial" w:cs="Arial"/>
        </w:rPr>
        <w:t xml:space="preserve">root resorption of the primary molars in </w:t>
      </w:r>
      <w:r w:rsidRPr="00512830">
        <w:rPr>
          <w:rFonts w:ascii="Arial" w:hAnsi="Arial" w:cs="Arial"/>
        </w:rPr>
        <w:t xml:space="preserve">boys </w:t>
      </w:r>
      <w:r w:rsidRPr="005158D2">
        <w:rPr>
          <w:rFonts w:ascii="Arial" w:hAnsi="Arial" w:cs="Arial"/>
        </w:rPr>
        <w:t>and girls with OI medicated with BPs (p=0.05)</w:t>
      </w:r>
      <w:r w:rsidRPr="00512830">
        <w:rPr>
          <w:rFonts w:ascii="Arial" w:hAnsi="Arial" w:cs="Arial"/>
        </w:rPr>
        <w:t>. Over the last century, puberty has bee</w:t>
      </w:r>
      <w:r w:rsidRPr="00984AD7">
        <w:rPr>
          <w:rFonts w:ascii="Arial" w:hAnsi="Arial" w:cs="Arial"/>
        </w:rPr>
        <w:t xml:space="preserve">n </w:t>
      </w:r>
      <w:r>
        <w:rPr>
          <w:rFonts w:ascii="Arial" w:hAnsi="Arial" w:cs="Arial"/>
        </w:rPr>
        <w:t xml:space="preserve">studied </w:t>
      </w:r>
      <w:r w:rsidRPr="00984AD7">
        <w:rPr>
          <w:rFonts w:ascii="Arial" w:hAnsi="Arial" w:cs="Arial"/>
        </w:rPr>
        <w:t xml:space="preserve">in </w:t>
      </w:r>
      <w:r>
        <w:rPr>
          <w:rFonts w:ascii="Arial" w:hAnsi="Arial" w:cs="Arial"/>
        </w:rPr>
        <w:t xml:space="preserve">both </w:t>
      </w:r>
      <w:r w:rsidRPr="00984AD7">
        <w:rPr>
          <w:rFonts w:ascii="Arial" w:hAnsi="Arial" w:cs="Arial"/>
        </w:rPr>
        <w:t xml:space="preserve">girls and boys. Epigenetic, nutritional, genetic, hormonal and environmental </w:t>
      </w:r>
      <w:r>
        <w:rPr>
          <w:rFonts w:ascii="Arial" w:hAnsi="Arial" w:cs="Arial"/>
        </w:rPr>
        <w:t xml:space="preserve">factors </w:t>
      </w:r>
      <w:r w:rsidRPr="00984AD7">
        <w:rPr>
          <w:rFonts w:ascii="Arial" w:hAnsi="Arial" w:cs="Arial"/>
        </w:rPr>
        <w:t>may also be involved in the eruptive process.</w:t>
      </w:r>
      <w:r w:rsidRPr="00984AD7">
        <w:rPr>
          <w:rFonts w:ascii="Arial" w:hAnsi="Arial" w:cs="Arial"/>
        </w:rPr>
        <w:fldChar w:fldCharType="begin"/>
      </w:r>
      <w:r>
        <w:rPr>
          <w:rFonts w:ascii="Arial" w:hAnsi="Arial" w:cs="Arial"/>
        </w:rPr>
        <w:instrText xml:space="preserve"> ADDIN ZOTERO_ITEM CSL_CITATION {"citationID":"5R6roHOr","properties":{"formattedCitation":"[35]","plainCitation":"[35]","noteIndex":0},"citationItems":[{"id":568,"uris":["http://zotero.org/users/5260186/items/4AADXPZE"],"itemData":{"id":568,"type":"article-journal","abstract":"BACKGROUND: A secular trend towards earlier puberty has been observed in girls, while a similar trend has been more uncertain in boys. We estimated current ages at pubertal development in both boys and girls.\nMETHODS: In this population-based cohort study, 14 759 of 22 439 invited boys and girls born from 2000 to 2003 in the Danish National Birth Cohort gave half-yearly self-reported information on puberty from the age of 11.5 years and throughout puberty. This late start of follow-up limits the estimation of age at onset of puberty but not later pubertal milestones. We estimated mean age at attaining the following pubertal milestones in years with 95% confidence intervals (CI): age at menarche, voice break, first ejaculation of semen and Tanner stages for pubic hair development and breast development or genital development. Further, the difference in mean age at menarche between mothers and daughters was estimated.\nRESULTS: In boys, voice break occurred at 13.1 (95% CI 13.0, 13.1) years, first ejaculation of semen occurred at 13.4 (95% CI 13.3, 13.4) years, and Tanner Genital Stage 5 occurred at 15.6 (95% CI 15.5, 15.6) years. In girls, age at menarche occurred at 13.0 (95% CI 13.0, 13.1) years and Tanner Breast Stage 5 occurred at 15.8 (95% CI 15.7, 15.9) years. Daughters had menarche 3.6 (95% CI 3.1, 4.2) months earlier than their mothers had.\nCONCLUSION: These data indicate that age at menarche has declined and to some extent support a decline in age at attaining other markers of pubertal development among boys.","container-title":"Paediatric and Perinatal Epidemiology","DOI":"10.1111/ppe.12507","ISSN":"1365-3016","issue":"1","journalAbbreviation":"Paediatr Perinat Epidemiol","language":"eng","note":"PMID: 30307620\nPMCID: PMC6378593","page":"70-78","source":"PubMed","title":"Timing of puberty in boys and girls: A population-based study","title-short":"Timing of puberty in boys and girls","volume":"33","author":[{"family":"Brix","given":"Nis"},{"family":"Ernst","given":"Andreas"},{"family":"Lauridsen","given":"Lea Lykke Braskhøj"},{"family":"Parner","given":"Erik"},{"family":"Støvring","given":"Henrik"},{"family":"Olsen","given":"Jørn"},{"family":"Henriksen","given":"Tine Brink"},{"family":"Ramlau-Hansen","given":"Cecilia Høst"}],"issued":{"date-parts":[["2019",1]]}}}],"schema":"https://github.com/citation-style-language/schema/raw/master/csl-citation.json"} </w:instrText>
      </w:r>
      <w:r w:rsidRPr="00984AD7">
        <w:rPr>
          <w:rFonts w:ascii="Arial" w:hAnsi="Arial" w:cs="Arial"/>
        </w:rPr>
        <w:fldChar w:fldCharType="separate"/>
      </w:r>
      <w:r>
        <w:rPr>
          <w:rFonts w:ascii="Arial" w:hAnsi="Arial" w:cs="Arial"/>
        </w:rPr>
        <w:t>[35]</w:t>
      </w:r>
      <w:r w:rsidRPr="00984AD7">
        <w:rPr>
          <w:rFonts w:ascii="Arial" w:hAnsi="Arial" w:cs="Arial"/>
        </w:rPr>
        <w:fldChar w:fldCharType="end"/>
      </w:r>
      <w:r w:rsidRPr="00984AD7">
        <w:rPr>
          <w:rFonts w:ascii="Arial" w:hAnsi="Arial" w:cs="Arial"/>
        </w:rPr>
        <w:t xml:space="preserve"> In </w:t>
      </w:r>
      <w:r>
        <w:rPr>
          <w:rFonts w:ascii="Arial" w:hAnsi="Arial" w:cs="Arial"/>
        </w:rPr>
        <w:t xml:space="preserve">this study, in </w:t>
      </w:r>
      <w:r w:rsidRPr="00984AD7">
        <w:rPr>
          <w:rFonts w:ascii="Arial" w:hAnsi="Arial" w:cs="Arial"/>
        </w:rPr>
        <w:t>girls over 9 years of age, no difference was found in the exfoliation of 7.4, perhaps because the resorption of the first primary molar begins at 7 years of age</w:t>
      </w:r>
      <w:r>
        <w:rPr>
          <w:rFonts w:ascii="Arial" w:hAnsi="Arial" w:cs="Arial"/>
        </w:rPr>
        <w:t>,</w:t>
      </w:r>
      <w:r w:rsidRPr="00984AD7">
        <w:rPr>
          <w:rFonts w:ascii="Arial" w:hAnsi="Arial" w:cs="Arial"/>
        </w:rPr>
        <w:t xml:space="preserve"> </w:t>
      </w:r>
      <w:r w:rsidRPr="00984AD7">
        <w:rPr>
          <w:rFonts w:ascii="Arial" w:hAnsi="Arial" w:cs="Arial"/>
        </w:rPr>
        <w:fldChar w:fldCharType="begin"/>
      </w:r>
      <w:r>
        <w:rPr>
          <w:rFonts w:ascii="Arial" w:hAnsi="Arial" w:cs="Arial"/>
        </w:rPr>
        <w:instrText xml:space="preserve"> ADDIN ZOTERO_ITEM CSL_CITATION {"citationID":"034xIJLz","properties":{"formattedCitation":"[28]","plainCitation":"[28]","noteIndex":0},"citationItems":[{"id":18,"uris":["http://zotero.org/users/5260186/items/T7YRKY8I"],"itemData":{"id":18,"type":"article-journal","abstract":"PURPOSE: The purpose of this study was to investigate root resorption patterns of primary mandibular molars and to describe the premolar successors' location throughout the resorption.\nMETHODS: A total of 271 radiographs of primary mandibular molars (56 first molars and 171 second molars) of 187 5- to 12-year-old patients were reviewed, and the patterns of root resorption and the premolars' location were evaluated.\nRESULTS: In the primary first molar, approximately 55 percent of the root resorption occurred in the distal root, and 41 percent of the root resorption was symmetrical. In the primary second molar, approximately 56 percent of the root resorption was symmetrical, and 36 percent was in the distal root. More mesial root resorption (~71 percent) occurred when the second premolar was mesial.\nCONCLUSIONS: Primary mandibular first molars begin to resorb at seven years old. The premolars' location between the primary roots is associated with root resorption. Distal root resorption should be expected when caries is present in the distal aspect of a primary second molar.","container-title":"Pediatric Dentistry","ISSN":"1942-5473","issue":"5","journalAbbreviation":"Pediatr Dent","language":"eng","note":"PMID: 24290555","page":"426-429","source":"PubMed","title":"Root resorption patterns of primary mandibular molars and location of the premolar successors: a radiographic evaluation","title-short":"Root resorption patterns of primary mandibular molars and location of the premolar successors","volume":"35","author":[{"family":"Peretz","given":"Benjamin"},{"family":"Nisan","given":"Sagit"},{"family":"Herteanu","given":"Lior"},{"family":"Blumer","given":"Sigalit"}],"issued":{"date-parts":[["2013"]]}}}],"schema":"https://github.com/citation-style-language/schema/raw/master/csl-citation.json"} </w:instrText>
      </w:r>
      <w:r w:rsidRPr="00984AD7">
        <w:rPr>
          <w:rFonts w:ascii="Arial" w:hAnsi="Arial" w:cs="Arial"/>
        </w:rPr>
        <w:fldChar w:fldCharType="separate"/>
      </w:r>
      <w:r>
        <w:rPr>
          <w:rFonts w:ascii="Arial" w:hAnsi="Arial" w:cs="Arial"/>
        </w:rPr>
        <w:t>[28]</w:t>
      </w:r>
      <w:r w:rsidRPr="00984AD7">
        <w:rPr>
          <w:rFonts w:ascii="Arial" w:hAnsi="Arial" w:cs="Arial"/>
        </w:rPr>
        <w:fldChar w:fldCharType="end"/>
      </w:r>
      <w:r w:rsidRPr="00984AD7">
        <w:rPr>
          <w:rFonts w:ascii="Arial" w:hAnsi="Arial" w:cs="Arial"/>
        </w:rPr>
        <w:t xml:space="preserve"> and </w:t>
      </w:r>
      <w:r>
        <w:rPr>
          <w:rFonts w:ascii="Arial" w:hAnsi="Arial" w:cs="Arial"/>
        </w:rPr>
        <w:t xml:space="preserve">by </w:t>
      </w:r>
      <w:r w:rsidRPr="00984AD7">
        <w:rPr>
          <w:rFonts w:ascii="Arial" w:hAnsi="Arial" w:cs="Arial"/>
        </w:rPr>
        <w:t>9 years of age</w:t>
      </w:r>
      <w:r>
        <w:rPr>
          <w:rFonts w:ascii="Arial" w:hAnsi="Arial" w:cs="Arial"/>
        </w:rPr>
        <w:t>, exfoliation has already occurred</w:t>
      </w:r>
      <w:r w:rsidRPr="00984AD7">
        <w:rPr>
          <w:rFonts w:ascii="Arial" w:hAnsi="Arial" w:cs="Arial"/>
        </w:rPr>
        <w:t xml:space="preserve"> in</w:t>
      </w:r>
      <w:r>
        <w:rPr>
          <w:rFonts w:ascii="Arial" w:hAnsi="Arial" w:cs="Arial"/>
        </w:rPr>
        <w:t xml:space="preserve"> most patients</w:t>
      </w:r>
      <w:r w:rsidRPr="00984AD7">
        <w:rPr>
          <w:rFonts w:ascii="Arial" w:hAnsi="Arial" w:cs="Arial"/>
        </w:rPr>
        <w:t>.</w:t>
      </w:r>
    </w:p>
    <w:p w14:paraId="05703D05" w14:textId="77777777" w:rsidR="00D230CF" w:rsidRPr="00984AD7" w:rsidRDefault="00D230CF" w:rsidP="00D230CF">
      <w:pPr>
        <w:jc w:val="both"/>
        <w:rPr>
          <w:rFonts w:ascii="Arial" w:hAnsi="Arial" w:cs="Arial"/>
        </w:rPr>
      </w:pPr>
    </w:p>
    <w:p w14:paraId="3DE1903B" w14:textId="2D88383E" w:rsidR="00D230CF" w:rsidRPr="00984AD7" w:rsidRDefault="00D230CF" w:rsidP="00D230CF">
      <w:pPr>
        <w:jc w:val="both"/>
        <w:rPr>
          <w:rFonts w:ascii="Arial" w:hAnsi="Arial" w:cs="Arial"/>
        </w:rPr>
      </w:pPr>
      <w:r w:rsidRPr="00984AD7">
        <w:rPr>
          <w:rFonts w:ascii="Arial" w:hAnsi="Arial" w:cs="Arial"/>
        </w:rPr>
        <w:t xml:space="preserve">To the best of our knowledge, there are no published studies analysing the individual dental development of premolars and root resorption of primary molars in children with OI who were strictly matched for sex and age. The study design is cross-sectional, and only associations can be established. We cannot discern whether the alteration in the eruptive process was due to BP </w:t>
      </w:r>
      <w:r>
        <w:rPr>
          <w:rFonts w:ascii="Arial" w:hAnsi="Arial" w:cs="Arial"/>
        </w:rPr>
        <w:t xml:space="preserve">treatment </w:t>
      </w:r>
      <w:r w:rsidRPr="00984AD7">
        <w:rPr>
          <w:rFonts w:ascii="Arial" w:hAnsi="Arial" w:cs="Arial"/>
        </w:rPr>
        <w:t>or osteogenesis imperfecta.</w:t>
      </w:r>
    </w:p>
    <w:p w14:paraId="1166EFBE" w14:textId="77777777" w:rsidR="00D230CF" w:rsidRPr="00984AD7" w:rsidRDefault="00D230CF" w:rsidP="00D230CF">
      <w:pPr>
        <w:jc w:val="both"/>
        <w:rPr>
          <w:rFonts w:ascii="Arial" w:hAnsi="Arial" w:cs="Arial"/>
        </w:rPr>
      </w:pPr>
    </w:p>
    <w:p w14:paraId="35080A5D" w14:textId="77777777" w:rsidR="00D230CF" w:rsidRPr="00984AD7" w:rsidRDefault="00D230CF" w:rsidP="00D230CF">
      <w:pPr>
        <w:jc w:val="both"/>
        <w:rPr>
          <w:rFonts w:ascii="Arial" w:hAnsi="Arial" w:cs="Arial"/>
        </w:rPr>
      </w:pPr>
      <w:r w:rsidRPr="00984AD7">
        <w:rPr>
          <w:rFonts w:ascii="Arial" w:hAnsi="Arial" w:cs="Arial"/>
        </w:rPr>
        <w:t xml:space="preserve">This study did not include a group of patients with OI without medication since </w:t>
      </w:r>
      <w:r>
        <w:rPr>
          <w:rFonts w:ascii="Arial" w:hAnsi="Arial" w:cs="Arial"/>
        </w:rPr>
        <w:t xml:space="preserve">OI </w:t>
      </w:r>
      <w:r w:rsidRPr="00984AD7">
        <w:rPr>
          <w:rFonts w:ascii="Arial" w:hAnsi="Arial" w:cs="Arial"/>
        </w:rPr>
        <w:t>patients receive cycles of BPs at very early ages in Spain</w:t>
      </w:r>
      <w:r w:rsidRPr="00311E87">
        <w:rPr>
          <w:rFonts w:ascii="Arial" w:hAnsi="Arial" w:cs="Arial"/>
        </w:rPr>
        <w:t xml:space="preserve"> </w:t>
      </w:r>
      <w:r w:rsidRPr="00984AD7">
        <w:rPr>
          <w:rFonts w:ascii="Arial" w:hAnsi="Arial" w:cs="Arial"/>
        </w:rPr>
        <w:t xml:space="preserve">per protocol. Among </w:t>
      </w:r>
      <w:r w:rsidRPr="00984AD7">
        <w:rPr>
          <w:rFonts w:ascii="Arial" w:hAnsi="Arial" w:cs="Arial"/>
        </w:rPr>
        <w:lastRenderedPageBreak/>
        <w:t xml:space="preserve">all the patients who </w:t>
      </w:r>
      <w:r>
        <w:rPr>
          <w:rFonts w:ascii="Arial" w:hAnsi="Arial" w:cs="Arial"/>
        </w:rPr>
        <w:t xml:space="preserve">were recruited for </w:t>
      </w:r>
      <w:r w:rsidRPr="00984AD7">
        <w:rPr>
          <w:rFonts w:ascii="Arial" w:hAnsi="Arial" w:cs="Arial"/>
        </w:rPr>
        <w:t>the study, only one patient did not use antiresorptive medication</w:t>
      </w:r>
      <w:r>
        <w:rPr>
          <w:rFonts w:ascii="Arial" w:hAnsi="Arial" w:cs="Arial"/>
        </w:rPr>
        <w:t>, and this patient</w:t>
      </w:r>
      <w:r w:rsidRPr="00984AD7">
        <w:rPr>
          <w:rFonts w:ascii="Arial" w:hAnsi="Arial" w:cs="Arial"/>
        </w:rPr>
        <w:t xml:space="preserve"> was subsequently excluded for not being medicated </w:t>
      </w:r>
      <w:r>
        <w:rPr>
          <w:rFonts w:ascii="Arial" w:hAnsi="Arial" w:cs="Arial"/>
        </w:rPr>
        <w:t xml:space="preserve">for </w:t>
      </w:r>
      <w:r w:rsidRPr="00984AD7">
        <w:rPr>
          <w:rFonts w:ascii="Arial" w:hAnsi="Arial" w:cs="Arial"/>
        </w:rPr>
        <w:t>1 year</w:t>
      </w:r>
      <w:r>
        <w:rPr>
          <w:rFonts w:ascii="Arial" w:hAnsi="Arial" w:cs="Arial"/>
        </w:rPr>
        <w:t xml:space="preserve"> or more</w:t>
      </w:r>
      <w:r w:rsidRPr="00984AD7">
        <w:rPr>
          <w:rFonts w:ascii="Arial" w:hAnsi="Arial" w:cs="Arial"/>
        </w:rPr>
        <w:t xml:space="preserve">. </w:t>
      </w:r>
      <w:r>
        <w:rPr>
          <w:rFonts w:ascii="Arial" w:hAnsi="Arial" w:cs="Arial"/>
        </w:rPr>
        <w:t>Interestingly</w:t>
      </w:r>
      <w:r w:rsidRPr="00984AD7">
        <w:rPr>
          <w:rFonts w:ascii="Arial" w:hAnsi="Arial" w:cs="Arial"/>
        </w:rPr>
        <w:t>, in Scandinavian countries, there are groups of patients with OI without medication.</w:t>
      </w:r>
      <w:r w:rsidRPr="00984AD7">
        <w:rPr>
          <w:rFonts w:ascii="Arial" w:hAnsi="Arial" w:cs="Arial"/>
        </w:rPr>
        <w:fldChar w:fldCharType="begin"/>
      </w:r>
      <w:r>
        <w:rPr>
          <w:rFonts w:ascii="Arial" w:hAnsi="Arial" w:cs="Arial"/>
        </w:rPr>
        <w:instrText xml:space="preserve"> ADDIN ZOTERO_ITEM CSL_CITATION {"citationID":"cgCcP0bw","properties":{"formattedCitation":"[20]","plainCitation":"[20]","noteIndex":0},"citationItems":[{"id":260,"uris":["http://zotero.org/users/5260186/items/GWJQNWKM",["http://zotero.org/users/5260186/items/GWJQNWKM"]],"itemData":{"id":260,"type":"article-journal","abstract":"Bisphosphonates have established their role as medical therapy for pediatric osteogenesis imperfecta (OI) patients. Since bisphosphonates have also been shown to delay tooth development in animal models, we aimed to assess whether the medication has a similar effect on children with OI. In this cross-sectional study, bisphosphonate-treated OI patients of whom dental panoramic tomograph was taken between 3 and 16years of age formed the study group. The patients, 22 in total, had been treated with pamidronate, zoledronic acid or risedronate for at least one year before the radiography. Developmental stage of the permanent teeth, resorption of the deciduous teeth, and number of the erupted permanent teeth were radiographically assessed in the left mandibular quadrant. Dental panoramic tomographs of 50 OI patients, naïve to bisphosphonates, and of 50 healthy individuals of the same age were used as controls. The dental development was statistically significantly accelerated in the OI group naïve to bisphosphonates showing median advancement of dental age by 0.63years from chronological age and median increase in the number of erupted teeth by 0.31 as compared to Finnish norms. Bisphosphonate-treated OI patients displayed, however, age-appropriate dental development. The OI patients not treated with bisphosphonates also showed statistically significantly faster resorption of the deciduous teeth than the treated ones, and displayed an altered interrelationship between the resorption stage of an individual primary tooth and the developmental stage of the succedaneous permanent tooth, unlike the OI patients treated with bisphosphonate. No correlation between either cumulative bisphosphonate dose or between treatment length and any measured component of the dental development was found. To conclude, OI itself was found to lead to advanced dental development. Bisphosphonate treatment had a delaying effect in all the three aspects studied, resulting in a rate of dental development indistinguishable from normal.","container-title":"Bone","DOI":"10.1016/j.bone.2016.10.004","ISSN":"1873-2763","journalAbbreviation":"Bone","language":"eng","note":"PMID: 27725317","page":"29-33","source":"PubMed","title":"Timing of dental development in osteogenesis imperfecta patients with and without bisphosphonate treatment","volume":"94","author":[{"family":"Vuorimies","given":"Ilkka"},{"family":"Arponen","given":"Heidi"},{"family":"Valta","given":"Helena"},{"family":"Tiesalo","given":"Outi"},{"family":"Ekholm","given":"Marja"},{"family":"Ranta","given":"Helena"},{"family":"Evälahti","given":"Marjut"},{"family":"Mäkitie","given":"Outi"},{"family":"Waltimo-Sirén","given":"Janna"}],"issued":{"date-parts":[["2017"]]}}}],"schema":"https://github.com/citation-style-language/schema/raw/master/csl-citation.json"} </w:instrText>
      </w:r>
      <w:r w:rsidRPr="00984AD7">
        <w:rPr>
          <w:rFonts w:ascii="Arial" w:hAnsi="Arial" w:cs="Arial"/>
        </w:rPr>
        <w:fldChar w:fldCharType="separate"/>
      </w:r>
      <w:r>
        <w:rPr>
          <w:rFonts w:ascii="Arial" w:hAnsi="Arial" w:cs="Arial"/>
        </w:rPr>
        <w:t>[20]</w:t>
      </w:r>
      <w:r w:rsidRPr="00984AD7">
        <w:rPr>
          <w:rFonts w:ascii="Arial" w:hAnsi="Arial" w:cs="Arial"/>
        </w:rPr>
        <w:fldChar w:fldCharType="end"/>
      </w:r>
      <w:r w:rsidRPr="00984AD7">
        <w:rPr>
          <w:rFonts w:ascii="Arial" w:hAnsi="Arial" w:cs="Arial"/>
        </w:rPr>
        <w:t xml:space="preserve"> These studies are very clear and indicate that BPs should be administered only for severe OI and not for mild OI. In children with mild OI, only antiresorptive agents should be administered if a clear clinical benefit can be demonstrated in controlled clinical trials. </w:t>
      </w:r>
      <w:r w:rsidRPr="00984AD7">
        <w:rPr>
          <w:rFonts w:ascii="Arial" w:hAnsi="Arial" w:cs="Arial"/>
        </w:rPr>
        <w:fldChar w:fldCharType="begin"/>
      </w:r>
      <w:r>
        <w:rPr>
          <w:rFonts w:ascii="Arial" w:hAnsi="Arial" w:cs="Arial"/>
        </w:rPr>
        <w:instrText xml:space="preserve"> ADDIN ZOTERO_ITEM CSL_CITATION {"citationID":"tPmz7Nyy","properties":{"formattedCitation":"[36]","plainCitation":"[36]","noteIndex":0},"citationItems":[{"id":17,"uris":["http://zotero.org/users/5260186/items/Q46ZABBM"],"itemData":{"id":17,"type":"article-journal","abstract":"Treatment with bisphosphonates has brought significant clinical improvements for children and adolescents suffering from moderate to severe forms of osteogenesis imperfecta (OI). Benefits include decreased pain, lower fracture incidence, and better mobility. Among the various bisphosphonates, intravenous pamidronate has been studied in most detail. It is unclear whether oral bisphosphonates are as effective as intravenous pamidronate. As the effect of bisphosphonates on the skeleton is largest during growth, it appears logical to start medical therapy of OI patients as early as possible. Nevertheless, the optimal treatment regimen and the long-term consequences of pamidronate treatment in children are currently unknown. Given these uncertainties, treatment with bisphosphonates should be reserved for patients who have significant clinical problems, such as vertebral compression fractures or long bone deformities. At present, bisphosphonate treatment has little justification in growing patients with mild forms of OI who have few or no clinical symptoms. Such patients should not be treated unless clear clinical benefit can be demonstrated in ongoing placebo-controlled trials.","container-title":"Annals of Medicine","DOI":"10.1080/07853890510007386","ISSN":"0785-3890","issue":"4","journalAbbreviation":"Ann Med","language":"eng","note":"PMID: 16019729","page":"295-302","source":"PubMed","title":"Bisphosphonate treatment in osteogenesis imperfecta: which drug, for whom, for how long?","title-short":"Bisphosphonate treatment in osteogenesis imperfecta","volume":"37","author":[{"family":"Rauch","given":"Frank"},{"family":"Glorieux","given":"Francis H."}],"issued":{"date-parts":[["2005"]]}}}],"schema":"https://github.com/citation-style-language/schema/raw/master/csl-citation.json"} </w:instrText>
      </w:r>
      <w:r w:rsidRPr="00984AD7">
        <w:rPr>
          <w:rFonts w:ascii="Arial" w:hAnsi="Arial" w:cs="Arial"/>
        </w:rPr>
        <w:fldChar w:fldCharType="separate"/>
      </w:r>
      <w:r>
        <w:rPr>
          <w:rFonts w:ascii="Arial" w:hAnsi="Arial" w:cs="Arial"/>
        </w:rPr>
        <w:t>[36]</w:t>
      </w:r>
      <w:r w:rsidRPr="00984AD7">
        <w:rPr>
          <w:rFonts w:ascii="Arial" w:hAnsi="Arial" w:cs="Arial"/>
        </w:rPr>
        <w:fldChar w:fldCharType="end"/>
      </w:r>
    </w:p>
    <w:p w14:paraId="1082706C" w14:textId="77777777" w:rsidR="00D230CF" w:rsidRPr="00984AD7" w:rsidRDefault="00D230CF" w:rsidP="00D230CF">
      <w:pPr>
        <w:jc w:val="both"/>
        <w:rPr>
          <w:rFonts w:ascii="Arial" w:hAnsi="Arial" w:cs="Arial"/>
        </w:rPr>
      </w:pPr>
    </w:p>
    <w:p w14:paraId="13AAA681" w14:textId="3F7AB230" w:rsidR="00D230CF" w:rsidRDefault="00D230CF" w:rsidP="00D230CF">
      <w:pPr>
        <w:jc w:val="both"/>
        <w:rPr>
          <w:rStyle w:val="Refdecomentario"/>
          <w:rFonts w:asciiTheme="minorHAnsi" w:eastAsiaTheme="minorHAnsi" w:hAnsiTheme="minorHAnsi" w:cstheme="minorBidi"/>
          <w:lang w:eastAsia="en-US"/>
        </w:rPr>
      </w:pPr>
      <w:r w:rsidRPr="00984AD7">
        <w:rPr>
          <w:rFonts w:ascii="Arial" w:hAnsi="Arial" w:cs="Arial"/>
        </w:rPr>
        <w:t xml:space="preserve">Our study showed that children with OI who received BP therapy had delayed root resorption and dental development. </w:t>
      </w:r>
      <w:r>
        <w:rPr>
          <w:rFonts w:ascii="Arial" w:hAnsi="Arial" w:cs="Arial"/>
        </w:rPr>
        <w:t xml:space="preserve">Clinicians should be aware of this </w:t>
      </w:r>
      <w:r w:rsidRPr="00984AD7">
        <w:rPr>
          <w:rFonts w:ascii="Arial" w:hAnsi="Arial" w:cs="Arial"/>
        </w:rPr>
        <w:t>delay because it may increase the number of impacted teeth in children who already suffer from dental disorders.</w:t>
      </w:r>
    </w:p>
    <w:p w14:paraId="6112B02E" w14:textId="77777777" w:rsidR="007C1C6A" w:rsidRPr="00984AD7" w:rsidRDefault="007C1C6A" w:rsidP="00D230CF">
      <w:pPr>
        <w:jc w:val="both"/>
        <w:rPr>
          <w:rFonts w:ascii="Arial" w:hAnsi="Arial" w:cs="Arial"/>
        </w:rPr>
      </w:pPr>
    </w:p>
    <w:p w14:paraId="14C262C8" w14:textId="77777777" w:rsidR="00D230CF" w:rsidRPr="00984AD7" w:rsidRDefault="00D230CF" w:rsidP="00D230CF">
      <w:pPr>
        <w:jc w:val="both"/>
        <w:rPr>
          <w:rFonts w:ascii="Arial" w:hAnsi="Arial" w:cs="Arial"/>
          <w:b/>
        </w:rPr>
      </w:pPr>
      <w:r w:rsidRPr="00984AD7">
        <w:rPr>
          <w:rFonts w:ascii="Arial" w:hAnsi="Arial" w:cs="Arial"/>
          <w:b/>
        </w:rPr>
        <w:t>Conclusions:</w:t>
      </w:r>
    </w:p>
    <w:p w14:paraId="005443D0" w14:textId="24FDBF43" w:rsidR="00D230CF" w:rsidRPr="00984AD7" w:rsidRDefault="00D230CF" w:rsidP="00D230CF">
      <w:pPr>
        <w:jc w:val="both"/>
        <w:rPr>
          <w:rFonts w:ascii="Arial" w:hAnsi="Arial" w:cs="Arial"/>
        </w:rPr>
      </w:pPr>
      <w:r w:rsidRPr="00984AD7">
        <w:rPr>
          <w:rFonts w:ascii="Arial" w:hAnsi="Arial" w:cs="Arial"/>
        </w:rPr>
        <w:t xml:space="preserve">Children with OI medicated with BPs </w:t>
      </w:r>
      <w:r>
        <w:rPr>
          <w:rFonts w:ascii="Arial" w:hAnsi="Arial" w:cs="Arial"/>
        </w:rPr>
        <w:t xml:space="preserve">exhibit </w:t>
      </w:r>
      <w:r w:rsidRPr="00984AD7">
        <w:rPr>
          <w:rFonts w:ascii="Arial" w:hAnsi="Arial" w:cs="Arial"/>
        </w:rPr>
        <w:t xml:space="preserve">delayed dental development of the premolars and delayed root resorption of the primary molars. </w:t>
      </w:r>
      <w:r>
        <w:rPr>
          <w:rFonts w:ascii="Arial" w:hAnsi="Arial" w:cs="Arial"/>
        </w:rPr>
        <w:t>According to sex</w:t>
      </w:r>
      <w:r w:rsidRPr="00984AD7">
        <w:rPr>
          <w:rFonts w:ascii="Arial" w:hAnsi="Arial" w:cs="Arial"/>
        </w:rPr>
        <w:t xml:space="preserve">, both variables were delayed </w:t>
      </w:r>
      <w:r>
        <w:rPr>
          <w:rFonts w:ascii="Arial" w:hAnsi="Arial" w:cs="Arial"/>
        </w:rPr>
        <w:t xml:space="preserve">in </w:t>
      </w:r>
      <w:r w:rsidRPr="00984AD7">
        <w:rPr>
          <w:rFonts w:ascii="Arial" w:hAnsi="Arial" w:cs="Arial"/>
        </w:rPr>
        <w:t xml:space="preserve">boys, but the difference </w:t>
      </w:r>
      <w:r>
        <w:rPr>
          <w:rFonts w:ascii="Arial" w:hAnsi="Arial" w:cs="Arial"/>
        </w:rPr>
        <w:t xml:space="preserve">did </w:t>
      </w:r>
      <w:r w:rsidRPr="00984AD7">
        <w:rPr>
          <w:rFonts w:ascii="Arial" w:hAnsi="Arial" w:cs="Arial"/>
        </w:rPr>
        <w:t xml:space="preserve">not </w:t>
      </w:r>
      <w:r>
        <w:rPr>
          <w:rFonts w:ascii="Arial" w:hAnsi="Arial" w:cs="Arial"/>
        </w:rPr>
        <w:t>remain when data were analysed by age subgroup</w:t>
      </w:r>
      <w:r w:rsidRPr="00984AD7">
        <w:rPr>
          <w:rFonts w:ascii="Arial" w:hAnsi="Arial" w:cs="Arial"/>
        </w:rPr>
        <w:t>. These clinical findings support the importance of clinically and radiographically monitoring the dental development and root resorption of primary teeth in children with OI treated with BPs to avoid alterations of the eruptive process.</w:t>
      </w:r>
    </w:p>
    <w:p w14:paraId="3BBA3C08" w14:textId="77777777" w:rsidR="00D230CF" w:rsidRPr="00984AD7" w:rsidRDefault="00D230CF" w:rsidP="00D230CF">
      <w:pPr>
        <w:jc w:val="both"/>
        <w:rPr>
          <w:rFonts w:ascii="Arial" w:hAnsi="Arial" w:cs="Arial"/>
        </w:rPr>
      </w:pPr>
    </w:p>
    <w:p w14:paraId="729DE4F5" w14:textId="77777777" w:rsidR="00D230CF" w:rsidRPr="00984AD7" w:rsidRDefault="00D230CF" w:rsidP="00D230CF">
      <w:pPr>
        <w:jc w:val="both"/>
        <w:rPr>
          <w:rFonts w:ascii="Arial" w:hAnsi="Arial" w:cs="Arial"/>
        </w:rPr>
      </w:pPr>
    </w:p>
    <w:p w14:paraId="2E65825E" w14:textId="77777777" w:rsidR="00D230CF" w:rsidRPr="00984AD7" w:rsidRDefault="00D230CF" w:rsidP="00D230CF">
      <w:pPr>
        <w:jc w:val="both"/>
        <w:rPr>
          <w:rFonts w:ascii="Arial" w:hAnsi="Arial" w:cs="Arial"/>
          <w:b/>
          <w:bCs/>
        </w:rPr>
      </w:pPr>
      <w:r w:rsidRPr="00984AD7">
        <w:rPr>
          <w:rFonts w:ascii="Arial" w:hAnsi="Arial" w:cs="Arial"/>
          <w:b/>
          <w:bCs/>
        </w:rPr>
        <w:t>Abbreviations</w:t>
      </w:r>
    </w:p>
    <w:p w14:paraId="07471144" w14:textId="77777777" w:rsidR="00D230CF" w:rsidRPr="00984AD7" w:rsidRDefault="00D230CF" w:rsidP="00D230CF">
      <w:pPr>
        <w:jc w:val="both"/>
        <w:rPr>
          <w:rFonts w:ascii="Arial" w:hAnsi="Arial" w:cs="Arial"/>
        </w:rPr>
      </w:pPr>
      <w:r w:rsidRPr="00984AD7">
        <w:rPr>
          <w:rFonts w:ascii="Arial" w:hAnsi="Arial" w:cs="Arial"/>
        </w:rPr>
        <w:t>OI osteogenesis imperfecta</w:t>
      </w:r>
    </w:p>
    <w:p w14:paraId="4C6E0B42" w14:textId="77777777" w:rsidR="00D230CF" w:rsidRPr="00984AD7" w:rsidRDefault="00D230CF" w:rsidP="00D230CF">
      <w:pPr>
        <w:jc w:val="both"/>
        <w:rPr>
          <w:rFonts w:ascii="Arial" w:hAnsi="Arial" w:cs="Arial"/>
        </w:rPr>
      </w:pPr>
      <w:r w:rsidRPr="00984AD7">
        <w:rPr>
          <w:rFonts w:ascii="Arial" w:hAnsi="Arial" w:cs="Arial"/>
        </w:rPr>
        <w:t xml:space="preserve">BPs </w:t>
      </w:r>
      <w:r>
        <w:rPr>
          <w:rFonts w:ascii="Arial" w:hAnsi="Arial" w:cs="Arial"/>
        </w:rPr>
        <w:t>b</w:t>
      </w:r>
      <w:r w:rsidRPr="00984AD7">
        <w:rPr>
          <w:rFonts w:ascii="Arial" w:hAnsi="Arial" w:cs="Arial"/>
        </w:rPr>
        <w:t>isphosphonates</w:t>
      </w:r>
    </w:p>
    <w:p w14:paraId="34B2CD9A" w14:textId="77777777" w:rsidR="00D230CF" w:rsidRPr="00984AD7" w:rsidRDefault="00D230CF" w:rsidP="00D230CF">
      <w:pPr>
        <w:jc w:val="both"/>
        <w:rPr>
          <w:rFonts w:ascii="Arial" w:hAnsi="Arial" w:cs="Arial"/>
        </w:rPr>
      </w:pPr>
      <w:r w:rsidRPr="00984AD7">
        <w:rPr>
          <w:rFonts w:ascii="Arial" w:hAnsi="Arial" w:cs="Arial"/>
        </w:rPr>
        <w:t>RR root resorption</w:t>
      </w:r>
    </w:p>
    <w:p w14:paraId="4A8652A1" w14:textId="77777777" w:rsidR="00D230CF" w:rsidRPr="00984AD7" w:rsidRDefault="00D230CF" w:rsidP="00D230CF">
      <w:pPr>
        <w:jc w:val="both"/>
        <w:rPr>
          <w:rFonts w:ascii="Arial" w:hAnsi="Arial" w:cs="Arial"/>
        </w:rPr>
      </w:pPr>
      <w:r w:rsidRPr="00984AD7">
        <w:rPr>
          <w:rFonts w:ascii="Arial" w:hAnsi="Arial" w:cs="Arial"/>
        </w:rPr>
        <w:t>DD dental development</w:t>
      </w:r>
    </w:p>
    <w:p w14:paraId="1E1CC17C" w14:textId="77777777" w:rsidR="00D230CF" w:rsidRPr="00984AD7" w:rsidRDefault="00D230CF" w:rsidP="00D230CF">
      <w:pPr>
        <w:jc w:val="both"/>
        <w:rPr>
          <w:rFonts w:ascii="Arial" w:hAnsi="Arial" w:cs="Arial"/>
        </w:rPr>
      </w:pPr>
    </w:p>
    <w:p w14:paraId="5037611A" w14:textId="77777777" w:rsidR="00D230CF" w:rsidRPr="00984AD7" w:rsidRDefault="00D230CF" w:rsidP="00D230CF">
      <w:pPr>
        <w:jc w:val="both"/>
        <w:rPr>
          <w:rFonts w:ascii="Arial" w:hAnsi="Arial" w:cs="Arial"/>
        </w:rPr>
      </w:pPr>
      <w:r w:rsidRPr="00984AD7">
        <w:rPr>
          <w:rFonts w:ascii="Arial" w:hAnsi="Arial" w:cs="Arial"/>
          <w:b/>
          <w:bCs/>
        </w:rPr>
        <w:t>Acknowledgements</w:t>
      </w:r>
    </w:p>
    <w:p w14:paraId="7794FEFB" w14:textId="5E582794" w:rsidR="00D230CF" w:rsidRDefault="009B788F" w:rsidP="00D230CF">
      <w:pPr>
        <w:jc w:val="both"/>
        <w:rPr>
          <w:rFonts w:ascii="Arial" w:hAnsi="Arial" w:cs="Arial"/>
        </w:rPr>
      </w:pPr>
      <w:proofErr w:type="gramStart"/>
      <w:r w:rsidRPr="00984AD7">
        <w:rPr>
          <w:rFonts w:ascii="Arial" w:hAnsi="Arial" w:cs="Arial"/>
        </w:rPr>
        <w:t>Thanks</w:t>
      </w:r>
      <w:proofErr w:type="gramEnd"/>
      <w:r w:rsidR="00C75624">
        <w:rPr>
          <w:rFonts w:ascii="Arial" w:hAnsi="Arial" w:cs="Arial"/>
        </w:rPr>
        <w:t xml:space="preserve"> </w:t>
      </w:r>
      <w:r w:rsidR="00D230CF" w:rsidRPr="00984AD7">
        <w:rPr>
          <w:rFonts w:ascii="Arial" w:hAnsi="Arial" w:cs="Arial"/>
        </w:rPr>
        <w:t>must be given to all my family and David.</w:t>
      </w:r>
    </w:p>
    <w:p w14:paraId="05CA3903" w14:textId="77777777" w:rsidR="009B788F" w:rsidRDefault="009B788F" w:rsidP="009B788F">
      <w:pPr>
        <w:jc w:val="both"/>
        <w:rPr>
          <w:rFonts w:ascii="Arial" w:hAnsi="Arial" w:cs="Arial"/>
          <w:b/>
          <w:bCs/>
        </w:rPr>
      </w:pPr>
    </w:p>
    <w:p w14:paraId="10C1245D" w14:textId="654D9226" w:rsidR="009B788F" w:rsidRDefault="009B788F" w:rsidP="009B788F">
      <w:pPr>
        <w:jc w:val="both"/>
        <w:rPr>
          <w:rFonts w:ascii="Arial" w:hAnsi="Arial" w:cs="Arial"/>
          <w:b/>
          <w:bCs/>
        </w:rPr>
      </w:pPr>
      <w:r w:rsidRPr="00984AD7">
        <w:rPr>
          <w:rFonts w:ascii="Arial" w:hAnsi="Arial" w:cs="Arial"/>
          <w:b/>
          <w:bCs/>
        </w:rPr>
        <w:t>Funding</w:t>
      </w:r>
    </w:p>
    <w:p w14:paraId="41CAD6F3" w14:textId="359F2C0E" w:rsidR="009B788F" w:rsidRPr="009B788F" w:rsidRDefault="009B788F" w:rsidP="009B788F">
      <w:pPr>
        <w:jc w:val="both"/>
        <w:rPr>
          <w:rFonts w:ascii="Arial" w:hAnsi="Arial" w:cs="Arial"/>
        </w:rPr>
      </w:pPr>
      <w:r w:rsidRPr="009B788F">
        <w:rPr>
          <w:rFonts w:ascii="Arial" w:hAnsi="Arial" w:cs="Arial"/>
        </w:rPr>
        <w:t>No sources of funding for the research were received.</w:t>
      </w:r>
    </w:p>
    <w:p w14:paraId="24993AF2" w14:textId="77777777" w:rsidR="00505B45" w:rsidRDefault="00505B45" w:rsidP="00505B45">
      <w:pPr>
        <w:jc w:val="both"/>
        <w:rPr>
          <w:rFonts w:ascii="Arial" w:hAnsi="Arial" w:cs="Arial"/>
          <w:b/>
          <w:bCs/>
        </w:rPr>
      </w:pPr>
    </w:p>
    <w:p w14:paraId="51D91576" w14:textId="30CC31A4" w:rsidR="00505B45" w:rsidRPr="00984AD7" w:rsidRDefault="00505B45" w:rsidP="00505B45">
      <w:pPr>
        <w:jc w:val="both"/>
        <w:rPr>
          <w:rFonts w:ascii="Arial" w:hAnsi="Arial" w:cs="Arial"/>
        </w:rPr>
      </w:pPr>
      <w:r w:rsidRPr="00984AD7">
        <w:rPr>
          <w:rFonts w:ascii="Arial" w:hAnsi="Arial" w:cs="Arial"/>
          <w:b/>
          <w:bCs/>
        </w:rPr>
        <w:t>Availability of data and materials</w:t>
      </w:r>
    </w:p>
    <w:p w14:paraId="10192C7B" w14:textId="77777777" w:rsidR="00505B45" w:rsidRPr="00984AD7" w:rsidRDefault="00505B45" w:rsidP="00505B45">
      <w:pPr>
        <w:jc w:val="both"/>
        <w:rPr>
          <w:rFonts w:ascii="Arial" w:hAnsi="Arial" w:cs="Arial"/>
        </w:rPr>
      </w:pPr>
      <w:r w:rsidRPr="00984AD7">
        <w:rPr>
          <w:rFonts w:ascii="Arial" w:hAnsi="Arial" w:cs="Arial"/>
        </w:rPr>
        <w:t>The data that support the findings of this study are available at the Complutense University of Madrid, but restrictions apply to the availability of these data, which were used under licence for the current study and are not publicly available. However, the data are available from the authors upon reasonable request and with the permission of the Complutense University of de Madrid. Clara Garcete (cgarcete@ucm.es) should be contacted to request the data from this study.</w:t>
      </w:r>
    </w:p>
    <w:p w14:paraId="3EA3109D" w14:textId="77777777" w:rsidR="009B788F" w:rsidRPr="00984AD7" w:rsidRDefault="009B788F" w:rsidP="00D230CF">
      <w:pPr>
        <w:jc w:val="both"/>
        <w:rPr>
          <w:rFonts w:ascii="Arial" w:hAnsi="Arial" w:cs="Arial"/>
        </w:rPr>
      </w:pPr>
    </w:p>
    <w:p w14:paraId="2A06C98A" w14:textId="77777777" w:rsidR="00D230CF" w:rsidRPr="00984AD7" w:rsidRDefault="00D230CF" w:rsidP="00D230CF">
      <w:pPr>
        <w:jc w:val="both"/>
        <w:rPr>
          <w:rFonts w:ascii="Arial" w:hAnsi="Arial" w:cs="Arial"/>
        </w:rPr>
      </w:pPr>
      <w:r w:rsidRPr="00984AD7">
        <w:rPr>
          <w:rFonts w:ascii="Arial" w:hAnsi="Arial" w:cs="Arial"/>
          <w:b/>
          <w:bCs/>
        </w:rPr>
        <w:t>Author contributions</w:t>
      </w:r>
    </w:p>
    <w:p w14:paraId="1AD5B60B" w14:textId="1930A993" w:rsidR="00180203" w:rsidRPr="00180203" w:rsidRDefault="00180203" w:rsidP="00D230CF">
      <w:pPr>
        <w:jc w:val="both"/>
        <w:rPr>
          <w:rFonts w:ascii="Arial" w:hAnsi="Arial" w:cs="Arial"/>
        </w:rPr>
      </w:pPr>
      <w:r w:rsidRPr="00180203">
        <w:rPr>
          <w:rFonts w:ascii="Arial" w:hAnsi="Arial" w:cs="Arial"/>
        </w:rPr>
        <w:t xml:space="preserve">C.G. did the conceptualization, wrote the original </w:t>
      </w:r>
      <w:proofErr w:type="gramStart"/>
      <w:r w:rsidRPr="00180203">
        <w:rPr>
          <w:rFonts w:ascii="Arial" w:hAnsi="Arial" w:cs="Arial"/>
        </w:rPr>
        <w:t>draft</w:t>
      </w:r>
      <w:proofErr w:type="gramEnd"/>
      <w:r w:rsidRPr="00180203">
        <w:rPr>
          <w:rFonts w:ascii="Arial" w:hAnsi="Arial" w:cs="Arial"/>
        </w:rPr>
        <w:t xml:space="preserve"> and analysed the data analyses. M.D. did the methodology and revised the original draft and M.M. also revised the original draft.</w:t>
      </w:r>
    </w:p>
    <w:p w14:paraId="36D16ACE" w14:textId="77777777" w:rsidR="00180203" w:rsidRDefault="00180203" w:rsidP="00D230CF">
      <w:pPr>
        <w:jc w:val="both"/>
        <w:rPr>
          <w:rFonts w:ascii="Arial" w:hAnsi="Arial" w:cs="Arial"/>
          <w:b/>
          <w:bCs/>
        </w:rPr>
      </w:pPr>
    </w:p>
    <w:p w14:paraId="59DA5E17" w14:textId="2829413B" w:rsidR="00A146F7" w:rsidRDefault="00A146F7" w:rsidP="00D230CF">
      <w:pPr>
        <w:jc w:val="both"/>
        <w:rPr>
          <w:rFonts w:ascii="Arial" w:hAnsi="Arial" w:cs="Arial"/>
          <w:b/>
          <w:bCs/>
        </w:rPr>
      </w:pPr>
      <w:r>
        <w:rPr>
          <w:rFonts w:ascii="Arial" w:hAnsi="Arial" w:cs="Arial"/>
          <w:b/>
          <w:bCs/>
        </w:rPr>
        <w:t>Declarations</w:t>
      </w:r>
    </w:p>
    <w:p w14:paraId="51B82B48" w14:textId="77777777" w:rsidR="00A146F7" w:rsidRDefault="00A146F7" w:rsidP="00D230CF">
      <w:pPr>
        <w:jc w:val="both"/>
        <w:rPr>
          <w:rFonts w:ascii="Arial" w:hAnsi="Arial" w:cs="Arial"/>
          <w:b/>
          <w:bCs/>
        </w:rPr>
      </w:pPr>
    </w:p>
    <w:p w14:paraId="64CE0F40" w14:textId="347DCAC3" w:rsidR="00A146F7" w:rsidRDefault="00A146F7" w:rsidP="00D230CF">
      <w:pPr>
        <w:jc w:val="both"/>
        <w:rPr>
          <w:rFonts w:ascii="Arial" w:hAnsi="Arial" w:cs="Arial"/>
          <w:b/>
          <w:bCs/>
        </w:rPr>
      </w:pPr>
      <w:r>
        <w:rPr>
          <w:rFonts w:ascii="Arial" w:hAnsi="Arial" w:cs="Arial"/>
          <w:b/>
          <w:bCs/>
        </w:rPr>
        <w:t>Consent for publication</w:t>
      </w:r>
    </w:p>
    <w:p w14:paraId="58D861CC" w14:textId="5536BAE9" w:rsidR="00A146F7" w:rsidRPr="00A146F7" w:rsidRDefault="00A146F7" w:rsidP="00D230CF">
      <w:pPr>
        <w:jc w:val="both"/>
        <w:rPr>
          <w:rFonts w:ascii="Arial" w:hAnsi="Arial" w:cs="Arial"/>
        </w:rPr>
      </w:pPr>
      <w:r w:rsidRPr="00A146F7">
        <w:rPr>
          <w:rFonts w:ascii="Arial" w:hAnsi="Arial" w:cs="Arial"/>
        </w:rPr>
        <w:t xml:space="preserve">Not applicable </w:t>
      </w:r>
    </w:p>
    <w:p w14:paraId="2FAD5882" w14:textId="77777777" w:rsidR="00A146F7" w:rsidRDefault="00A146F7" w:rsidP="00D230CF">
      <w:pPr>
        <w:jc w:val="both"/>
        <w:rPr>
          <w:rFonts w:ascii="Arial" w:hAnsi="Arial" w:cs="Arial"/>
          <w:b/>
          <w:bCs/>
        </w:rPr>
      </w:pPr>
    </w:p>
    <w:p w14:paraId="4E311EC3" w14:textId="076F74A4" w:rsidR="00B06ED5" w:rsidRDefault="00B06ED5" w:rsidP="00D230CF">
      <w:pPr>
        <w:jc w:val="both"/>
        <w:rPr>
          <w:rFonts w:ascii="Arial" w:hAnsi="Arial" w:cs="Arial"/>
          <w:b/>
          <w:bCs/>
        </w:rPr>
      </w:pPr>
      <w:r>
        <w:rPr>
          <w:rFonts w:ascii="Arial" w:hAnsi="Arial" w:cs="Arial"/>
          <w:b/>
          <w:bCs/>
        </w:rPr>
        <w:t>Competing interests</w:t>
      </w:r>
    </w:p>
    <w:p w14:paraId="2F352F39" w14:textId="0F447F21" w:rsidR="00B06ED5" w:rsidRDefault="00B06ED5" w:rsidP="00D230CF">
      <w:pPr>
        <w:jc w:val="both"/>
        <w:rPr>
          <w:rFonts w:ascii="Arial" w:hAnsi="Arial" w:cs="Arial"/>
        </w:rPr>
      </w:pPr>
      <w:r w:rsidRPr="00B06ED5">
        <w:rPr>
          <w:rFonts w:ascii="Arial" w:hAnsi="Arial" w:cs="Arial"/>
        </w:rPr>
        <w:t xml:space="preserve">The authors declare that they have no competing interests </w:t>
      </w:r>
    </w:p>
    <w:p w14:paraId="51CDC577" w14:textId="77777777" w:rsidR="00B06ED5" w:rsidRPr="00B06ED5" w:rsidRDefault="00B06ED5" w:rsidP="00D230CF">
      <w:pPr>
        <w:jc w:val="both"/>
        <w:rPr>
          <w:rFonts w:ascii="Arial" w:hAnsi="Arial" w:cs="Arial"/>
        </w:rPr>
      </w:pPr>
    </w:p>
    <w:p w14:paraId="5E1D5413" w14:textId="7DF795CF" w:rsidR="00B06ED5" w:rsidRDefault="00B06ED5" w:rsidP="00B06ED5">
      <w:pPr>
        <w:jc w:val="both"/>
        <w:rPr>
          <w:rFonts w:ascii="Arial" w:hAnsi="Arial" w:cs="Arial"/>
          <w:b/>
          <w:bCs/>
        </w:rPr>
      </w:pPr>
      <w:r w:rsidRPr="00984AD7">
        <w:rPr>
          <w:rFonts w:ascii="Arial" w:hAnsi="Arial" w:cs="Arial"/>
          <w:b/>
          <w:bCs/>
        </w:rPr>
        <w:t>The authors consent to publication</w:t>
      </w:r>
    </w:p>
    <w:p w14:paraId="37CBFAB4" w14:textId="77777777" w:rsidR="00B06ED5" w:rsidRDefault="00B06ED5" w:rsidP="00D230CF">
      <w:pPr>
        <w:jc w:val="both"/>
        <w:rPr>
          <w:rFonts w:ascii="Arial" w:hAnsi="Arial" w:cs="Arial"/>
          <w:b/>
          <w:bCs/>
        </w:rPr>
      </w:pPr>
    </w:p>
    <w:p w14:paraId="0074AFAE" w14:textId="3D94EF84" w:rsidR="00D230CF" w:rsidRPr="00984AD7" w:rsidRDefault="00D230CF" w:rsidP="00D230CF">
      <w:pPr>
        <w:jc w:val="both"/>
        <w:rPr>
          <w:rFonts w:ascii="Arial" w:hAnsi="Arial" w:cs="Arial"/>
        </w:rPr>
      </w:pPr>
      <w:r w:rsidRPr="00984AD7">
        <w:rPr>
          <w:rFonts w:ascii="Arial" w:hAnsi="Arial" w:cs="Arial"/>
          <w:b/>
          <w:bCs/>
        </w:rPr>
        <w:t>Ethics approval and consent to participate</w:t>
      </w:r>
    </w:p>
    <w:p w14:paraId="17845472" w14:textId="77777777" w:rsidR="00D230CF" w:rsidRPr="00984AD7" w:rsidRDefault="00D230CF" w:rsidP="00D230CF">
      <w:pPr>
        <w:jc w:val="both"/>
        <w:rPr>
          <w:rFonts w:ascii="Arial" w:hAnsi="Arial" w:cs="Arial"/>
        </w:rPr>
      </w:pPr>
      <w:r w:rsidRPr="00984AD7">
        <w:rPr>
          <w:rFonts w:ascii="Arial" w:hAnsi="Arial" w:cs="Arial"/>
        </w:rPr>
        <w:t xml:space="preserve">Informed consent was obtained from </w:t>
      </w:r>
      <w:r>
        <w:rPr>
          <w:rFonts w:ascii="Arial" w:hAnsi="Arial" w:cs="Arial"/>
        </w:rPr>
        <w:t xml:space="preserve">the </w:t>
      </w:r>
      <w:r w:rsidRPr="00984AD7">
        <w:rPr>
          <w:rFonts w:ascii="Arial" w:hAnsi="Arial" w:cs="Arial"/>
        </w:rPr>
        <w:t>parent</w:t>
      </w:r>
      <w:r>
        <w:rPr>
          <w:rFonts w:ascii="Arial" w:hAnsi="Arial" w:cs="Arial"/>
        </w:rPr>
        <w:t>s</w:t>
      </w:r>
      <w:r w:rsidRPr="00984AD7">
        <w:rPr>
          <w:rFonts w:ascii="Arial" w:hAnsi="Arial" w:cs="Arial"/>
        </w:rPr>
        <w:t xml:space="preserve"> and/or legal guardian</w:t>
      </w:r>
      <w:r>
        <w:rPr>
          <w:rFonts w:ascii="Arial" w:hAnsi="Arial" w:cs="Arial"/>
        </w:rPr>
        <w:t>s of the participants</w:t>
      </w:r>
      <w:r w:rsidRPr="00984AD7">
        <w:rPr>
          <w:rFonts w:ascii="Arial" w:hAnsi="Arial" w:cs="Arial"/>
        </w:rPr>
        <w:t>.</w:t>
      </w:r>
    </w:p>
    <w:p w14:paraId="4AA84FAA" w14:textId="7AE62618" w:rsidR="00D230CF" w:rsidRPr="00457F5A" w:rsidRDefault="00D230CF" w:rsidP="00D230CF">
      <w:pPr>
        <w:jc w:val="both"/>
        <w:rPr>
          <w:rFonts w:ascii="Arial" w:hAnsi="Arial" w:cs="Arial"/>
          <w:b/>
          <w:bCs/>
        </w:rPr>
      </w:pPr>
      <w:r w:rsidRPr="00984AD7">
        <w:rPr>
          <w:rFonts w:ascii="Arial" w:hAnsi="Arial" w:cs="Arial"/>
        </w:rPr>
        <w:t xml:space="preserve">The study was approved by </w:t>
      </w:r>
      <w:r w:rsidRPr="00457F5A">
        <w:rPr>
          <w:rFonts w:ascii="Arial" w:hAnsi="Arial" w:cs="Arial"/>
          <w:b/>
          <w:bCs/>
        </w:rPr>
        <w:t>the Ethics Committee of the San Carlos’ Clinical Hospital of Madrid with the internal code 21/418-0_M_O and met the ethical criteria formulated by the Declaration of Helsinki.</w:t>
      </w:r>
    </w:p>
    <w:p w14:paraId="551083CE" w14:textId="77777777" w:rsidR="00457F5A" w:rsidRDefault="00457F5A" w:rsidP="00D230CF">
      <w:pPr>
        <w:jc w:val="both"/>
        <w:rPr>
          <w:rFonts w:ascii="Arial" w:hAnsi="Arial" w:cs="Arial"/>
        </w:rPr>
      </w:pPr>
    </w:p>
    <w:p w14:paraId="0046E4C7" w14:textId="6A5061AC" w:rsidR="0002691A" w:rsidRPr="0002691A" w:rsidRDefault="0002691A" w:rsidP="00D230CF">
      <w:pPr>
        <w:jc w:val="both"/>
        <w:rPr>
          <w:rFonts w:ascii="Arial" w:hAnsi="Arial" w:cs="Arial"/>
          <w:lang w:val="en-US"/>
        </w:rPr>
      </w:pPr>
      <w:commentRangeStart w:id="0"/>
      <w:r w:rsidRPr="0002691A">
        <w:rPr>
          <w:rFonts w:ascii="Arial" w:hAnsi="Arial" w:cs="Arial"/>
        </w:rPr>
        <w:t xml:space="preserve">This is an </w:t>
      </w:r>
      <w:r w:rsidRPr="0002691A">
        <w:rPr>
          <w:rFonts w:ascii="Arial" w:hAnsi="Arial" w:cs="Arial"/>
          <w:b/>
          <w:bCs/>
        </w:rPr>
        <w:t>observational and analytical study</w:t>
      </w:r>
      <w:r w:rsidRPr="0002691A">
        <w:rPr>
          <w:rFonts w:ascii="Arial" w:hAnsi="Arial" w:cs="Arial"/>
        </w:rPr>
        <w:t xml:space="preserve">, not a clinical trial, </w:t>
      </w:r>
      <w:r w:rsidRPr="009526D2">
        <w:rPr>
          <w:rFonts w:ascii="Arial" w:hAnsi="Arial" w:cs="Arial"/>
          <w:highlight w:val="yellow"/>
        </w:rPr>
        <w:t>therefore there is not a clinical trial number</w:t>
      </w:r>
      <w:r w:rsidRPr="0002691A">
        <w:rPr>
          <w:rFonts w:ascii="Arial" w:hAnsi="Arial" w:cs="Arial"/>
        </w:rPr>
        <w:t>.</w:t>
      </w:r>
      <w:commentRangeEnd w:id="0"/>
      <w:r w:rsidR="00D52DAD">
        <w:rPr>
          <w:rStyle w:val="Refdecomentario"/>
          <w:rFonts w:ascii="Tahoma" w:eastAsiaTheme="minorHAnsi" w:hAnsi="Tahoma" w:cs="Tahoma"/>
          <w:lang w:val="en-US" w:eastAsia="en-US"/>
        </w:rPr>
        <w:commentReference w:id="0"/>
      </w:r>
    </w:p>
    <w:p w14:paraId="1AA232AA" w14:textId="77777777" w:rsidR="00B06ED5" w:rsidRDefault="00B06ED5" w:rsidP="00D230CF">
      <w:pPr>
        <w:jc w:val="both"/>
        <w:rPr>
          <w:rFonts w:ascii="Arial" w:hAnsi="Arial" w:cs="Arial"/>
          <w:b/>
          <w:bCs/>
        </w:rPr>
      </w:pPr>
    </w:p>
    <w:p w14:paraId="189D8DB4" w14:textId="77777777" w:rsidR="00B06ED5" w:rsidRDefault="00B06ED5" w:rsidP="00D230CF">
      <w:pPr>
        <w:jc w:val="both"/>
        <w:rPr>
          <w:rFonts w:ascii="Arial" w:hAnsi="Arial" w:cs="Arial"/>
          <w:b/>
          <w:bCs/>
        </w:rPr>
      </w:pPr>
    </w:p>
    <w:p w14:paraId="1FCF3DA3" w14:textId="5B7E555C" w:rsidR="00D230CF" w:rsidRPr="00984AD7" w:rsidRDefault="00D230CF" w:rsidP="00D230CF">
      <w:pPr>
        <w:jc w:val="both"/>
        <w:rPr>
          <w:rFonts w:ascii="Arial" w:hAnsi="Arial" w:cs="Arial"/>
        </w:rPr>
      </w:pPr>
      <w:r w:rsidRPr="00984AD7">
        <w:rPr>
          <w:rFonts w:ascii="Arial" w:hAnsi="Arial" w:cs="Arial"/>
          <w:b/>
          <w:bCs/>
        </w:rPr>
        <w:t>Author details</w:t>
      </w:r>
    </w:p>
    <w:p w14:paraId="6C7C6ACE" w14:textId="77B78DAF" w:rsidR="00D230CF" w:rsidRPr="00984AD7" w:rsidRDefault="00D230CF" w:rsidP="00D230CF">
      <w:pPr>
        <w:jc w:val="both"/>
        <w:rPr>
          <w:rFonts w:ascii="Arial" w:hAnsi="Arial" w:cs="Arial"/>
          <w:noProof/>
        </w:rPr>
      </w:pPr>
      <w:r w:rsidRPr="00984AD7">
        <w:rPr>
          <w:rFonts w:ascii="Arial" w:hAnsi="Arial" w:cs="Arial"/>
          <w:noProof/>
          <w:vertAlign w:val="superscript"/>
        </w:rPr>
        <w:t>1</w:t>
      </w:r>
      <w:r w:rsidRPr="00984AD7">
        <w:rPr>
          <w:rFonts w:ascii="Arial" w:hAnsi="Arial" w:cs="Arial"/>
          <w:noProof/>
        </w:rPr>
        <w:t>PhD student in Dental Sciences. Complutense University of Madrid, Faculty of Dentistry.</w:t>
      </w:r>
      <w:r w:rsidR="0002691A">
        <w:rPr>
          <w:rFonts w:ascii="Arial" w:hAnsi="Arial" w:cs="Arial"/>
          <w:noProof/>
        </w:rPr>
        <w:t xml:space="preserve"> Madrid – Spain </w:t>
      </w:r>
    </w:p>
    <w:p w14:paraId="7C1A63CF" w14:textId="1DEFA83E" w:rsidR="00D230CF" w:rsidRPr="0046797A" w:rsidRDefault="00D230CF" w:rsidP="00D230CF">
      <w:pPr>
        <w:jc w:val="both"/>
        <w:rPr>
          <w:rFonts w:ascii="Arial" w:hAnsi="Arial" w:cs="Arial"/>
          <w:noProof/>
          <w:lang w:val="es-ES"/>
        </w:rPr>
      </w:pPr>
      <w:r w:rsidRPr="00984AD7">
        <w:rPr>
          <w:rFonts w:ascii="Arial" w:hAnsi="Arial" w:cs="Arial"/>
          <w:noProof/>
          <w:vertAlign w:val="superscript"/>
        </w:rPr>
        <w:t>2</w:t>
      </w:r>
      <w:r w:rsidRPr="00984AD7">
        <w:rPr>
          <w:rFonts w:ascii="Arial" w:hAnsi="Arial" w:cs="Arial"/>
          <w:noProof/>
        </w:rPr>
        <w:t>Professor of Pediatric Dentistry. Complutense University of Madrid, Faculty of Dentistry.</w:t>
      </w:r>
      <w:r w:rsidR="0002691A">
        <w:rPr>
          <w:rFonts w:ascii="Arial" w:hAnsi="Arial" w:cs="Arial"/>
          <w:noProof/>
        </w:rPr>
        <w:t xml:space="preserve"> </w:t>
      </w:r>
      <w:r w:rsidR="0002691A" w:rsidRPr="0046797A">
        <w:rPr>
          <w:rFonts w:ascii="Arial" w:hAnsi="Arial" w:cs="Arial"/>
          <w:noProof/>
          <w:lang w:val="es-ES"/>
        </w:rPr>
        <w:t xml:space="preserve">Madrid – Spain </w:t>
      </w:r>
    </w:p>
    <w:p w14:paraId="1B73E986" w14:textId="77777777" w:rsidR="00D230CF" w:rsidRPr="0046797A" w:rsidRDefault="00D230CF" w:rsidP="00D230CF">
      <w:pPr>
        <w:jc w:val="both"/>
        <w:rPr>
          <w:rFonts w:ascii="Arial" w:hAnsi="Arial" w:cs="Arial"/>
          <w:noProof/>
          <w:lang w:val="es-ES"/>
        </w:rPr>
      </w:pPr>
    </w:p>
    <w:p w14:paraId="0596BE9F" w14:textId="77777777" w:rsidR="004E0A8F" w:rsidRDefault="004E0A8F" w:rsidP="004E0A8F">
      <w:pPr>
        <w:jc w:val="both"/>
        <w:rPr>
          <w:rFonts w:ascii="Arial" w:hAnsi="Arial" w:cs="Arial"/>
          <w:b/>
          <w:bCs/>
          <w:noProof/>
          <w:lang w:val="es-ES"/>
        </w:rPr>
      </w:pPr>
      <w:r w:rsidRPr="002762BE">
        <w:rPr>
          <w:rFonts w:ascii="Arial" w:eastAsia="Arial" w:hAnsi="Arial" w:cs="Arial"/>
          <w:b/>
          <w:bCs/>
          <w:vertAlign w:val="superscript"/>
          <w:lang w:val="es-ES"/>
        </w:rPr>
        <w:t>*</w:t>
      </w:r>
      <w:r w:rsidRPr="002762BE">
        <w:rPr>
          <w:rFonts w:ascii="Arial" w:hAnsi="Arial" w:cs="Arial"/>
          <w:b/>
          <w:bCs/>
          <w:noProof/>
          <w:lang w:val="es-ES"/>
        </w:rPr>
        <w:t>Correspon</w:t>
      </w:r>
      <w:r>
        <w:rPr>
          <w:rFonts w:ascii="Arial" w:hAnsi="Arial" w:cs="Arial"/>
          <w:b/>
          <w:bCs/>
          <w:noProof/>
          <w:lang w:val="es-ES"/>
        </w:rPr>
        <w:t>dence</w:t>
      </w:r>
      <w:r w:rsidRPr="002762BE">
        <w:rPr>
          <w:rFonts w:ascii="Arial" w:hAnsi="Arial" w:cs="Arial"/>
          <w:b/>
          <w:bCs/>
          <w:noProof/>
          <w:lang w:val="es-ES"/>
        </w:rPr>
        <w:t>:</w:t>
      </w:r>
      <w:r>
        <w:rPr>
          <w:rFonts w:ascii="Arial" w:hAnsi="Arial" w:cs="Arial"/>
          <w:b/>
          <w:bCs/>
          <w:noProof/>
          <w:lang w:val="es-ES"/>
        </w:rPr>
        <w:t xml:space="preserve"> </w:t>
      </w:r>
    </w:p>
    <w:p w14:paraId="031B8A05" w14:textId="243473EE" w:rsidR="004E0A8F" w:rsidRPr="00CB625D" w:rsidRDefault="004E0A8F" w:rsidP="004E0A8F">
      <w:pPr>
        <w:jc w:val="both"/>
        <w:rPr>
          <w:rFonts w:ascii="Arial" w:hAnsi="Arial" w:cs="Arial"/>
          <w:noProof/>
          <w:lang w:val="es-ES"/>
        </w:rPr>
      </w:pPr>
      <w:r w:rsidRPr="00DD176B">
        <w:rPr>
          <w:rFonts w:ascii="Arial" w:hAnsi="Arial" w:cs="Arial"/>
          <w:noProof/>
          <w:lang w:val="es-ES"/>
        </w:rPr>
        <w:t xml:space="preserve">Clara Sandibel Garcete Delvalle </w:t>
      </w:r>
      <w:r w:rsidR="009526D2">
        <w:fldChar w:fldCharType="begin"/>
      </w:r>
      <w:r w:rsidR="009526D2" w:rsidRPr="009526D2">
        <w:rPr>
          <w:lang w:val="es-ES"/>
        </w:rPr>
        <w:instrText xml:space="preserve"> HYPERLINK "mailto:cgarcete@ucm.es" </w:instrText>
      </w:r>
      <w:r w:rsidR="009526D2">
        <w:fldChar w:fldCharType="separate"/>
      </w:r>
      <w:r w:rsidRPr="00CB625D">
        <w:rPr>
          <w:rStyle w:val="Hipervnculo"/>
          <w:rFonts w:ascii="Arial" w:hAnsi="Arial" w:cs="Arial"/>
          <w:noProof/>
          <w:lang w:val="es-ES"/>
        </w:rPr>
        <w:t>cgarcete@ucm.es</w:t>
      </w:r>
      <w:r w:rsidR="009526D2">
        <w:rPr>
          <w:rStyle w:val="Hipervnculo"/>
          <w:rFonts w:ascii="Arial" w:hAnsi="Arial" w:cs="Arial"/>
          <w:noProof/>
          <w:lang w:val="es-ES"/>
        </w:rPr>
        <w:fldChar w:fldCharType="end"/>
      </w:r>
    </w:p>
    <w:p w14:paraId="4BC9682B" w14:textId="1180C7CB" w:rsidR="00D230CF" w:rsidRPr="004E0A8F" w:rsidRDefault="00D230CF" w:rsidP="00301232">
      <w:pPr>
        <w:rPr>
          <w:rFonts w:ascii="Arial" w:hAnsi="Arial" w:cs="Arial"/>
          <w:noProof/>
          <w:lang w:val="es-ES"/>
        </w:rPr>
      </w:pPr>
      <w:r w:rsidRPr="004E0A8F">
        <w:rPr>
          <w:rFonts w:ascii="Arial" w:hAnsi="Arial" w:cs="Arial"/>
          <w:noProof/>
          <w:lang w:val="es-ES"/>
        </w:rPr>
        <w:br/>
      </w:r>
    </w:p>
    <w:p w14:paraId="08AE1869" w14:textId="77777777" w:rsidR="00D230CF" w:rsidRPr="0046797A" w:rsidRDefault="00D230CF" w:rsidP="00D230CF">
      <w:pPr>
        <w:spacing w:line="360" w:lineRule="auto"/>
        <w:jc w:val="both"/>
        <w:rPr>
          <w:rFonts w:ascii="Arial" w:hAnsi="Arial" w:cs="Arial"/>
          <w:b/>
          <w:lang w:val="es-ES"/>
        </w:rPr>
      </w:pPr>
      <w:r w:rsidRPr="0046797A">
        <w:rPr>
          <w:rFonts w:ascii="Arial" w:hAnsi="Arial" w:cs="Arial"/>
          <w:b/>
          <w:lang w:val="es-ES"/>
        </w:rPr>
        <w:t>References:</w:t>
      </w:r>
    </w:p>
    <w:p w14:paraId="6C113F4E" w14:textId="77777777" w:rsidR="00D230CF" w:rsidRPr="0046797A" w:rsidRDefault="00D230CF" w:rsidP="00D230CF">
      <w:pPr>
        <w:spacing w:line="360" w:lineRule="auto"/>
        <w:jc w:val="both"/>
        <w:rPr>
          <w:rFonts w:ascii="Arial" w:hAnsi="Arial" w:cs="Arial"/>
          <w:b/>
          <w:lang w:val="es-ES"/>
        </w:rPr>
      </w:pPr>
    </w:p>
    <w:p w14:paraId="3440F5E2" w14:textId="77777777" w:rsidR="00DD176B" w:rsidRPr="00EB26A5" w:rsidRDefault="00DD176B" w:rsidP="00EB26A5">
      <w:pPr>
        <w:pStyle w:val="Bibliografa3"/>
        <w:rPr>
          <w:sz w:val="24"/>
          <w:lang w:val="en-US"/>
        </w:rPr>
      </w:pPr>
      <w:r>
        <w:rPr>
          <w:sz w:val="24"/>
          <w:lang w:val="en-US"/>
        </w:rPr>
        <w:fldChar w:fldCharType="begin"/>
      </w:r>
      <w:r>
        <w:rPr>
          <w:sz w:val="24"/>
          <w:lang w:val="en-US"/>
        </w:rPr>
        <w:instrText xml:space="preserve"> HYPERLINK "</w:instrText>
      </w:r>
      <w:r w:rsidRPr="00EB26A5">
        <w:rPr>
          <w:sz w:val="24"/>
          <w:lang w:val="en-US"/>
        </w:rPr>
        <w:instrText>1. Rauch F, Glorieux FH. Osteogenesis imperfecta. Lancet. 2004;363:1377–85.</w:instrText>
      </w:r>
    </w:p>
    <w:p w14:paraId="3B25BF3C" w14:textId="77777777" w:rsidR="00DD176B" w:rsidRPr="00EB26A5" w:rsidRDefault="00DD176B" w:rsidP="00EB26A5">
      <w:pPr>
        <w:pStyle w:val="Bibliografa3"/>
        <w:rPr>
          <w:sz w:val="24"/>
          <w:lang w:val="en-US"/>
        </w:rPr>
      </w:pPr>
      <w:r w:rsidRPr="00EB26A5">
        <w:rPr>
          <w:sz w:val="24"/>
          <w:lang w:val="en-US"/>
        </w:rPr>
        <w:instrText>2. Marini JC, Blissett AR. New genes in bone development: what’s new in osteogenesis imperfecta. J Clin Endocrinol Metab. 2013;98:3095–103.</w:instrText>
      </w:r>
    </w:p>
    <w:p w14:paraId="32263C5C" w14:textId="77777777" w:rsidR="00DD176B" w:rsidRPr="00EB26A5" w:rsidRDefault="00DD176B" w:rsidP="00EB26A5">
      <w:pPr>
        <w:pStyle w:val="Bibliografa3"/>
        <w:rPr>
          <w:sz w:val="24"/>
          <w:lang w:val="en-US"/>
        </w:rPr>
      </w:pPr>
      <w:r w:rsidRPr="00EB26A5">
        <w:rPr>
          <w:sz w:val="24"/>
          <w:lang w:val="en-US"/>
        </w:rPr>
        <w:instrText>3. Forlino A, Marini JC. Osteogenesis imperfecta. Lancet. 2016;387:1657–71.</w:instrText>
      </w:r>
    </w:p>
    <w:p w14:paraId="7FE66DE9" w14:textId="77777777" w:rsidR="00DD176B" w:rsidRPr="00EB26A5" w:rsidRDefault="00DD176B" w:rsidP="00EB26A5">
      <w:pPr>
        <w:pStyle w:val="Bibliografa3"/>
        <w:rPr>
          <w:sz w:val="24"/>
          <w:lang w:val="en-US"/>
        </w:rPr>
      </w:pPr>
      <w:r w:rsidRPr="00EB26A5">
        <w:rPr>
          <w:sz w:val="24"/>
          <w:lang w:val="en-US"/>
        </w:rPr>
        <w:instrText>4. Malmgren B, Thesleff I, Dahllöf G, Åström E, Tsilingaridis G. Abnormalities in Tooth Formation after Early Bisphosphonate Treatment in Children with Osteogenesis Imperfecta. Calcif Tissue Int. 2021. https://doi.org/10.1007/s00223-021-00835-2.</w:instrText>
      </w:r>
    </w:p>
    <w:p w14:paraId="46137157" w14:textId="77777777" w:rsidR="00DD176B" w:rsidRPr="00EB26A5" w:rsidRDefault="00DD176B" w:rsidP="00EB26A5">
      <w:pPr>
        <w:pStyle w:val="Bibliografa3"/>
        <w:rPr>
          <w:sz w:val="24"/>
          <w:lang w:val="en-US"/>
        </w:rPr>
      </w:pPr>
      <w:r w:rsidRPr="00EB26A5">
        <w:rPr>
          <w:sz w:val="24"/>
          <w:lang w:val="en-US"/>
        </w:rPr>
        <w:instrText>5. Andersson K, Dahllöf G, Lindahl K, Kindmark A, Grigelioniene G, Åström E, et al. Mutations in COL1A1 and COL1A2 and dental aberrations in children and adolescents with osteogenesis imperfecta - A retrospective cohort study. PLoS ONE. 2017;12:e0176466.</w:instrText>
      </w:r>
    </w:p>
    <w:p w14:paraId="72EFED72" w14:textId="77777777" w:rsidR="00DD176B" w:rsidRPr="00EB26A5" w:rsidRDefault="00DD176B" w:rsidP="00EB26A5">
      <w:pPr>
        <w:pStyle w:val="Bibliografa3"/>
        <w:rPr>
          <w:sz w:val="24"/>
          <w:lang w:val="en-US"/>
        </w:rPr>
      </w:pPr>
      <w:r w:rsidRPr="00EB26A5">
        <w:rPr>
          <w:sz w:val="24"/>
          <w:lang w:val="en-US"/>
        </w:rPr>
        <w:instrText>6. Andersson K, Malmgren B, Åström E, Nordgren A, Taylan F, Dahllöf G. Mutations in COL1A1/A2 and CREB3L1 are associated with oligodontia in osteogenesis imperfecta. Orphanet J Rare Dis. 2020;15:80.</w:instrText>
      </w:r>
    </w:p>
    <w:p w14:paraId="79751C41" w14:textId="77777777" w:rsidR="00DD176B" w:rsidRPr="00EB26A5" w:rsidRDefault="00DD176B" w:rsidP="00EB26A5">
      <w:pPr>
        <w:pStyle w:val="Bibliografa3"/>
        <w:rPr>
          <w:sz w:val="24"/>
          <w:lang w:val="en-US"/>
        </w:rPr>
      </w:pPr>
      <w:r w:rsidRPr="00EB26A5">
        <w:rPr>
          <w:sz w:val="24"/>
          <w:lang w:val="en-US"/>
        </w:rPr>
        <w:instrText>7. Malmgren B, Norgren S. Dental aberrations in children and adolescents with osteogenesis imperfecta. Acta Odontol Scand. 2002;60:65–71.</w:instrText>
      </w:r>
    </w:p>
    <w:p w14:paraId="1CC9F4E8" w14:textId="77777777" w:rsidR="00DD176B" w:rsidRPr="00EB26A5" w:rsidRDefault="00DD176B" w:rsidP="00EB26A5">
      <w:pPr>
        <w:pStyle w:val="Bibliografa3"/>
        <w:rPr>
          <w:sz w:val="24"/>
          <w:lang w:val="en-US"/>
        </w:rPr>
      </w:pPr>
      <w:r w:rsidRPr="00EB26A5">
        <w:rPr>
          <w:sz w:val="24"/>
          <w:lang w:val="en-US"/>
        </w:rPr>
        <w:instrText>8. Rizkallah J, Schwartz S, Rauch F, Glorieux F, Vu D-D, Muller K, et al. Evaluation of the severity of malocclusions in children affected by osteogenesis imperfecta with the peer assessment rating and discrepancy indexes. Am J Orthod Dentofacial Orthop. 2013;143:336–41.</w:instrText>
      </w:r>
    </w:p>
    <w:p w14:paraId="0AC53589" w14:textId="77777777" w:rsidR="00DD176B" w:rsidRPr="00EB26A5" w:rsidRDefault="00DD176B" w:rsidP="00EB26A5">
      <w:pPr>
        <w:pStyle w:val="Bibliografa3"/>
        <w:rPr>
          <w:sz w:val="24"/>
          <w:lang w:val="en-US"/>
        </w:rPr>
      </w:pPr>
      <w:r w:rsidRPr="00EB26A5">
        <w:rPr>
          <w:sz w:val="24"/>
          <w:lang w:val="en-US"/>
        </w:rPr>
        <w:instrText>9. Malmgren B, Andersson K, Lindahl K, Kindmark A, Grigelioniene G, Zachariadis V, et al. Tooth agenesis in osteogenesis imperfecta related to mutations in the collagen type I genes. Oral Dis. 2017;23:42–9.</w:instrText>
      </w:r>
    </w:p>
    <w:p w14:paraId="4AA386A9" w14:textId="77777777" w:rsidR="00DD176B" w:rsidRPr="00EB26A5" w:rsidRDefault="00DD176B" w:rsidP="00EB26A5">
      <w:pPr>
        <w:pStyle w:val="Bibliografa3"/>
        <w:rPr>
          <w:sz w:val="24"/>
          <w:lang w:val="en-US"/>
        </w:rPr>
      </w:pPr>
      <w:r w:rsidRPr="00EB26A5">
        <w:rPr>
          <w:sz w:val="24"/>
          <w:lang w:val="en-US"/>
        </w:rPr>
        <w:instrText>10. Lindahl K, Kindmark A, Rubin C-J, Malmgren B, Grigelioniene G, Söderhäll S, et al. Decreased fracture rate, pharmacogenetics and BMD response in 79 Swedish children with osteogenesis imperfecta types I, III and IV treated with Pamidronate. Bone. 2016;87:11–8.</w:instrText>
      </w:r>
    </w:p>
    <w:p w14:paraId="7E71DC94" w14:textId="77777777" w:rsidR="00DD176B" w:rsidRPr="00EB26A5" w:rsidRDefault="00DD176B" w:rsidP="00EB26A5">
      <w:pPr>
        <w:pStyle w:val="Bibliografa3"/>
        <w:rPr>
          <w:sz w:val="24"/>
          <w:lang w:val="en-US"/>
        </w:rPr>
      </w:pPr>
      <w:r w:rsidRPr="00EB26A5">
        <w:rPr>
          <w:sz w:val="24"/>
          <w:lang w:val="en-US"/>
        </w:rPr>
        <w:instrText>11. Aström E, Söderhäll S. Beneficial effect of long term intravenous bisphosphonate treatment of osteogenesis imperfecta. Arch Dis Child. 2002;86:356–64.</w:instrText>
      </w:r>
    </w:p>
    <w:p w14:paraId="71281C23" w14:textId="77777777" w:rsidR="00DD176B" w:rsidRPr="00EB26A5" w:rsidRDefault="00DD176B" w:rsidP="00EB26A5">
      <w:pPr>
        <w:pStyle w:val="Bibliografa3"/>
        <w:rPr>
          <w:sz w:val="24"/>
          <w:lang w:val="en-US"/>
        </w:rPr>
      </w:pPr>
      <w:r w:rsidRPr="00EB26A5">
        <w:rPr>
          <w:sz w:val="24"/>
          <w:lang w:val="en-US"/>
        </w:rPr>
        <w:instrText>12. Dwan K, Phillipi CA, Steiner RD, Basel D. Bisphosphonate therapy for osteogenesis imperfecta. Cochrane Database Syst Rev. 2016;10:CD005088.</w:instrText>
      </w:r>
    </w:p>
    <w:p w14:paraId="2ACC6D04" w14:textId="77777777" w:rsidR="00DD176B" w:rsidRPr="00EB26A5" w:rsidRDefault="00DD176B" w:rsidP="00EB26A5">
      <w:pPr>
        <w:pStyle w:val="Bibliografa3"/>
        <w:rPr>
          <w:sz w:val="24"/>
          <w:lang w:val="en-US"/>
        </w:rPr>
      </w:pPr>
      <w:r w:rsidRPr="00EB26A5">
        <w:rPr>
          <w:sz w:val="24"/>
          <w:lang w:val="en-US"/>
        </w:rPr>
        <w:instrText>13. Phillipi CA, Remmington T, Steiner RD. Bisphosphonate therapy for osteogenesis imperfecta. Cochrane Database Syst Rev. 2008;:CD005088.</w:instrText>
      </w:r>
    </w:p>
    <w:p w14:paraId="7F7F077E" w14:textId="77777777" w:rsidR="00DD176B" w:rsidRPr="00EB26A5" w:rsidRDefault="00DD176B" w:rsidP="00EB26A5">
      <w:pPr>
        <w:pStyle w:val="Bibliografa3"/>
        <w:rPr>
          <w:sz w:val="24"/>
          <w:lang w:val="en-US"/>
        </w:rPr>
      </w:pPr>
      <w:r w:rsidRPr="00EB26A5">
        <w:rPr>
          <w:sz w:val="24"/>
          <w:lang w:val="en-US"/>
        </w:rPr>
        <w:instrText>14. Harokopakis-Hajishengallis E. Physiologic root resorption in primary teeth: molecular and histological events. J Oral Sci. 2007;49:1–12.</w:instrText>
      </w:r>
    </w:p>
    <w:p w14:paraId="474F7332" w14:textId="77777777" w:rsidR="00DD176B" w:rsidRPr="00EB26A5" w:rsidRDefault="00DD176B" w:rsidP="00EB26A5">
      <w:pPr>
        <w:pStyle w:val="Bibliografa3"/>
        <w:rPr>
          <w:sz w:val="24"/>
          <w:lang w:val="en-US"/>
        </w:rPr>
      </w:pPr>
      <w:r w:rsidRPr="00EB26A5">
        <w:rPr>
          <w:sz w:val="24"/>
          <w:lang w:val="en-US"/>
        </w:rPr>
        <w:instrText>15. Marks SC, Gorski JP, Wise GE. The mechanisms and mediators of tooth eruption--models for developmental biologists. Int J Dev Biol. 1995;39:223–30.</w:instrText>
      </w:r>
    </w:p>
    <w:p w14:paraId="4E0319E8" w14:textId="77777777" w:rsidR="00DD176B" w:rsidRPr="00EB26A5" w:rsidRDefault="00DD176B" w:rsidP="00EB26A5">
      <w:pPr>
        <w:pStyle w:val="Bibliografa3"/>
        <w:rPr>
          <w:sz w:val="24"/>
          <w:lang w:val="es-ES_tradnl"/>
        </w:rPr>
      </w:pPr>
      <w:r w:rsidRPr="00EB26A5">
        <w:rPr>
          <w:sz w:val="24"/>
          <w:lang w:val="en-US"/>
        </w:rPr>
        <w:instrText xml:space="preserve">16. Shiyan H, Nanquan R, Shuhao X, Xiaobing L. [Research progress on the cellular and molecular mechanisms of tooth eruption]. </w:instrText>
      </w:r>
      <w:r w:rsidRPr="00EB26A5">
        <w:rPr>
          <w:sz w:val="24"/>
          <w:lang w:val="es-ES_tradnl"/>
        </w:rPr>
        <w:instrText>Hua Xi Kou Qiang Yi Xue Za Zhi. 2016;34:317–21.</w:instrText>
      </w:r>
    </w:p>
    <w:p w14:paraId="6805C3D4" w14:textId="77777777" w:rsidR="00DD176B" w:rsidRPr="00EB26A5" w:rsidRDefault="00DD176B" w:rsidP="00EB26A5">
      <w:pPr>
        <w:pStyle w:val="Bibliografa3"/>
        <w:rPr>
          <w:sz w:val="24"/>
          <w:lang w:val="en-US"/>
        </w:rPr>
      </w:pPr>
      <w:r w:rsidRPr="00EB26A5">
        <w:rPr>
          <w:sz w:val="24"/>
          <w:lang w:val="es-ES_tradnl"/>
        </w:rPr>
        <w:instrText xml:space="preserve">17. Bradaschia-Correa V, Moreira MM, Arana-Chavez VE. </w:instrText>
      </w:r>
      <w:r w:rsidRPr="00EB26A5">
        <w:rPr>
          <w:sz w:val="24"/>
          <w:lang w:val="en-US"/>
        </w:rPr>
        <w:instrText>Reduced RANKL expression impedes osteoclast activation and tooth eruption in alendronate-treated rats. Cell Tissue Res. 2013;353:79–86.</w:instrText>
      </w:r>
    </w:p>
    <w:p w14:paraId="40368118" w14:textId="77777777" w:rsidR="00DD176B" w:rsidRPr="00EB26A5" w:rsidRDefault="00DD176B" w:rsidP="00EB26A5">
      <w:pPr>
        <w:pStyle w:val="Bibliografa3"/>
        <w:rPr>
          <w:sz w:val="24"/>
          <w:lang w:val="en-US"/>
        </w:rPr>
      </w:pPr>
      <w:r w:rsidRPr="00EB26A5">
        <w:rPr>
          <w:sz w:val="24"/>
          <w:lang w:val="en-US"/>
        </w:rPr>
        <w:instrText>18. Bradaschia-Correa V, Massa LF, Arana-Chavez VE. Effects of alendronate on tooth eruption and molar root formation in young growing rats. Cell Tissue Res. 2007;330:475–85.</w:instrText>
      </w:r>
    </w:p>
    <w:p w14:paraId="060350D6" w14:textId="77777777" w:rsidR="00DD176B" w:rsidRPr="00EB26A5" w:rsidRDefault="00DD176B" w:rsidP="00EB26A5">
      <w:pPr>
        <w:pStyle w:val="Bibliografa3"/>
        <w:rPr>
          <w:sz w:val="24"/>
          <w:lang w:val="en-US"/>
        </w:rPr>
      </w:pPr>
      <w:r w:rsidRPr="00EB26A5">
        <w:rPr>
          <w:sz w:val="24"/>
          <w:lang w:val="en-US"/>
        </w:rPr>
        <w:instrText>19. Hiraga T, Ninomiya T, Hosoya A, Nakamura H. Administration of the bisphosphonate zoledronic acid during tooth development inhibits tooth eruption and formation and induces dental abnormalities in rats. Calcif Tissue Int. 2010;86:502–10.</w:instrText>
      </w:r>
    </w:p>
    <w:p w14:paraId="4840D06C" w14:textId="77777777" w:rsidR="00DD176B" w:rsidRPr="00EB26A5" w:rsidRDefault="00DD176B" w:rsidP="00EB26A5">
      <w:pPr>
        <w:pStyle w:val="Bibliografa3"/>
        <w:rPr>
          <w:sz w:val="24"/>
          <w:lang w:val="en-US"/>
        </w:rPr>
      </w:pPr>
      <w:r w:rsidRPr="00EB26A5">
        <w:rPr>
          <w:sz w:val="24"/>
          <w:lang w:val="en-US"/>
        </w:rPr>
        <w:instrText>20. Vuorimies I, Arponen H, Valta H, Tiesalo O, Ekholm M, Ranta H, et al. Timing of dental development in osteogenesis imperfecta patients with and without bisphosphonate treatment. Bone. 2017;94:29–33.</w:instrText>
      </w:r>
    </w:p>
    <w:p w14:paraId="79889F4A" w14:textId="77777777" w:rsidR="00DD176B" w:rsidRPr="00EB26A5" w:rsidRDefault="00DD176B" w:rsidP="00EB26A5">
      <w:pPr>
        <w:pStyle w:val="Bibliografa3"/>
        <w:rPr>
          <w:sz w:val="24"/>
          <w:lang w:val="en-US"/>
        </w:rPr>
      </w:pPr>
      <w:r w:rsidRPr="00EB26A5">
        <w:rPr>
          <w:sz w:val="24"/>
          <w:lang w:val="en-US"/>
        </w:rPr>
        <w:instrText>21. Malmgren B, Tsilingaridis G, Monsef-Johansson N, Qahtani ZHA, Dahllöf G, Åström E. Bisphosphonate Therapy and Tooth Development in Children and Adolescents with Osteogenesis Imperfecta. Calcif Tissue Int. 2020;107:143–50.</w:instrText>
      </w:r>
    </w:p>
    <w:p w14:paraId="0953D4D8" w14:textId="77777777" w:rsidR="00DD176B" w:rsidRPr="00EB26A5" w:rsidRDefault="00DD176B" w:rsidP="00EB26A5">
      <w:pPr>
        <w:pStyle w:val="Bibliografa3"/>
        <w:rPr>
          <w:sz w:val="24"/>
          <w:lang w:val="en-US"/>
        </w:rPr>
      </w:pPr>
      <w:r w:rsidRPr="00EB26A5">
        <w:rPr>
          <w:sz w:val="24"/>
          <w:lang w:val="en-US"/>
        </w:rPr>
        <w:instrText>22. Demirjian A, Goldstein H, Tanner JM. A new system of dental age assessment. Hum Biol. 1973;45:211–27.</w:instrText>
      </w:r>
    </w:p>
    <w:p w14:paraId="701918CA" w14:textId="77777777" w:rsidR="00DD176B" w:rsidRPr="00EB26A5" w:rsidRDefault="00DD176B" w:rsidP="00EB26A5">
      <w:pPr>
        <w:pStyle w:val="Bibliografa3"/>
        <w:rPr>
          <w:sz w:val="24"/>
          <w:lang w:val="en-US"/>
        </w:rPr>
      </w:pPr>
      <w:r w:rsidRPr="00EB26A5">
        <w:rPr>
          <w:sz w:val="24"/>
          <w:lang w:val="en-US"/>
        </w:rPr>
        <w:instrText>23. Haavikko K. The physiological resorption of the roots of deciduous teeth in Helsinki children. Proc Finn Dent Soc. 1973;69:93–8.</w:instrText>
      </w:r>
    </w:p>
    <w:p w14:paraId="0DD8F1AD" w14:textId="77777777" w:rsidR="00DD176B" w:rsidRPr="00EB26A5" w:rsidRDefault="00DD176B" w:rsidP="00EB26A5">
      <w:pPr>
        <w:pStyle w:val="Bibliografa3"/>
        <w:rPr>
          <w:sz w:val="24"/>
          <w:lang w:val="en-US"/>
        </w:rPr>
      </w:pPr>
      <w:r w:rsidRPr="00EB26A5">
        <w:rPr>
          <w:sz w:val="24"/>
          <w:lang w:val="en-US"/>
        </w:rPr>
        <w:instrText>24. Izzetti R, Nisi M, Aringhieri G, Crocetti L, Graziani F, Nardi C. Basic Knowledge and New Advances in Panoramic Radiography Imaging Techniques: A Narrative Review on What Dentists and Radiologists Should Know. Applied Sciences. 2021;11:7858.</w:instrText>
      </w:r>
    </w:p>
    <w:p w14:paraId="56BC29BA" w14:textId="77777777" w:rsidR="00DD176B" w:rsidRPr="00EB26A5" w:rsidRDefault="00DD176B" w:rsidP="00EB26A5">
      <w:pPr>
        <w:pStyle w:val="Bibliografa3"/>
        <w:rPr>
          <w:sz w:val="24"/>
          <w:lang w:val="es-ES_tradnl"/>
        </w:rPr>
      </w:pPr>
      <w:r w:rsidRPr="00EB26A5">
        <w:rPr>
          <w:sz w:val="24"/>
          <w:lang w:val="en-US"/>
        </w:rPr>
        <w:instrText xml:space="preserve">25. Hostiuc S, Edison S-E, Diaconescu I, Negoi I, Isaila O-M. Accuracy of the Demirjian’s method for assessing the age in children, from 1973 to 2020. </w:instrText>
      </w:r>
      <w:r w:rsidRPr="00EB26A5">
        <w:rPr>
          <w:sz w:val="24"/>
          <w:lang w:val="es-ES_tradnl"/>
        </w:rPr>
        <w:instrText>A meta-analysis. Legal Medicine. 2021;52:101901.</w:instrText>
      </w:r>
    </w:p>
    <w:p w14:paraId="0B99A109" w14:textId="77777777" w:rsidR="00DD176B" w:rsidRPr="00EB26A5" w:rsidRDefault="00DD176B" w:rsidP="00EB26A5">
      <w:pPr>
        <w:pStyle w:val="Bibliografa3"/>
        <w:rPr>
          <w:sz w:val="24"/>
          <w:lang w:val="en-US"/>
        </w:rPr>
      </w:pPr>
      <w:r w:rsidRPr="00EB26A5">
        <w:rPr>
          <w:sz w:val="24"/>
          <w:lang w:val="es-ES_tradnl"/>
        </w:rPr>
        <w:instrText xml:space="preserve">26. Moca AE, Ciavoi G, Todor BI, Negruțiu BM, Cuc EA, Dima R, et al. </w:instrText>
      </w:r>
      <w:r w:rsidRPr="00EB26A5">
        <w:rPr>
          <w:sz w:val="24"/>
          <w:lang w:val="en-US"/>
        </w:rPr>
        <w:instrText>Validity of the Demirjian Method for Dental Age Estimation in Romanian Children. 2022.</w:instrText>
      </w:r>
    </w:p>
    <w:p w14:paraId="1FC38F4B" w14:textId="77777777" w:rsidR="00DD176B" w:rsidRPr="00EB26A5" w:rsidRDefault="00DD176B" w:rsidP="00EB26A5">
      <w:pPr>
        <w:pStyle w:val="Bibliografa3"/>
        <w:rPr>
          <w:sz w:val="24"/>
          <w:lang w:val="en-US"/>
        </w:rPr>
      </w:pPr>
      <w:r w:rsidRPr="00EB26A5">
        <w:rPr>
          <w:sz w:val="24"/>
          <w:lang w:val="en-US"/>
        </w:rPr>
        <w:instrText>27. Prove SA, Symons AL, Meyers IA. Physiological root resorption of primary molars. J Clin Pediatr Dent. 1992;16:202–6.</w:instrText>
      </w:r>
    </w:p>
    <w:p w14:paraId="2C5CEC7D" w14:textId="77777777" w:rsidR="00DD176B" w:rsidRPr="00EB26A5" w:rsidRDefault="00DD176B" w:rsidP="00EB26A5">
      <w:pPr>
        <w:pStyle w:val="Bibliografa3"/>
        <w:rPr>
          <w:sz w:val="24"/>
          <w:lang w:val="es-ES_tradnl"/>
        </w:rPr>
      </w:pPr>
      <w:r w:rsidRPr="00EB26A5">
        <w:rPr>
          <w:sz w:val="24"/>
          <w:lang w:val="en-US"/>
        </w:rPr>
        <w:instrText xml:space="preserve">28. Peretz B, Nisan S, Herteanu L, Blumer S. Root resorption patterns of primary mandibular molars and location of the premolar successors: a radiographic evaluation. </w:instrText>
      </w:r>
      <w:r w:rsidRPr="00EB26A5">
        <w:rPr>
          <w:sz w:val="24"/>
          <w:lang w:val="es-ES_tradnl"/>
        </w:rPr>
        <w:instrText>Pediatr Dent. 2013;35:426–9.</w:instrText>
      </w:r>
    </w:p>
    <w:p w14:paraId="03E952C0" w14:textId="77777777" w:rsidR="00DD176B" w:rsidRPr="00EB26A5" w:rsidRDefault="00DD176B" w:rsidP="00EB26A5">
      <w:pPr>
        <w:pStyle w:val="Bibliografa3"/>
        <w:rPr>
          <w:sz w:val="24"/>
          <w:lang w:val="en-US"/>
        </w:rPr>
      </w:pPr>
      <w:r w:rsidRPr="00EB26A5">
        <w:rPr>
          <w:sz w:val="24"/>
          <w:lang w:val="es-ES_tradnl"/>
        </w:rPr>
        <w:instrText xml:space="preserve">29. Del Rio Cantero N, Mourelle Martínez MR, Sagastizabal Cardelús B, De Nova García JM. </w:instrText>
      </w:r>
      <w:r w:rsidRPr="00EB26A5">
        <w:rPr>
          <w:sz w:val="24"/>
          <w:lang w:val="en-US"/>
        </w:rPr>
        <w:instrText>Influence of zoledronic acid and pamidronate on tooth eruption in children with osteogenesis imperfecta. Bone. 2024;182:117069.</w:instrText>
      </w:r>
    </w:p>
    <w:p w14:paraId="29185356" w14:textId="77777777" w:rsidR="00DD176B" w:rsidRPr="00EB26A5" w:rsidRDefault="00DD176B" w:rsidP="00EB26A5">
      <w:pPr>
        <w:pStyle w:val="Bibliografa3"/>
        <w:rPr>
          <w:sz w:val="24"/>
          <w:lang w:val="en-US"/>
        </w:rPr>
      </w:pPr>
      <w:r w:rsidRPr="00EB26A5">
        <w:rPr>
          <w:sz w:val="24"/>
          <w:lang w:val="en-US"/>
        </w:rPr>
        <w:instrText>30. Kamoun-Goldrat A, Ginisty D, Le Merrer M. Effects of bisphosphonates on tooth eruption in children with osteogenesis imperfecta. Eur J Oral Sci. 2008;116:195–8.</w:instrText>
      </w:r>
    </w:p>
    <w:p w14:paraId="2541DDF0" w14:textId="77777777" w:rsidR="00DD176B" w:rsidRPr="00EB26A5" w:rsidRDefault="00DD176B" w:rsidP="00EB26A5">
      <w:pPr>
        <w:pStyle w:val="Bibliografa3"/>
        <w:rPr>
          <w:sz w:val="24"/>
          <w:lang w:val="en-US"/>
        </w:rPr>
      </w:pPr>
      <w:r w:rsidRPr="00EB26A5">
        <w:rPr>
          <w:sz w:val="24"/>
          <w:lang w:val="en-US"/>
        </w:rPr>
        <w:instrText>31. Laganà G. Dental anomalies: prevalence and associations between them in a large sample of non-orthodontic subjects, a cross-sectional study. 2017.</w:instrText>
      </w:r>
    </w:p>
    <w:p w14:paraId="6AEC15E7" w14:textId="77777777" w:rsidR="00DD176B" w:rsidRPr="00EB26A5" w:rsidRDefault="00DD176B" w:rsidP="00EB26A5">
      <w:pPr>
        <w:pStyle w:val="Bibliografa3"/>
        <w:rPr>
          <w:sz w:val="24"/>
          <w:lang w:val="en-US"/>
        </w:rPr>
      </w:pPr>
      <w:r w:rsidRPr="00EB26A5">
        <w:rPr>
          <w:sz w:val="24"/>
          <w:lang w:val="en-US"/>
        </w:rPr>
        <w:instrText>32. Taqi D, Moussa H, Schwinghamer T, Vieira AR, Dagdeviren D, Retrouvey J-M, et al. Missing and unerupted teeth in osteogenesis imperfecta. Bone. 2021;150:116011.</w:instrText>
      </w:r>
    </w:p>
    <w:p w14:paraId="7E113753" w14:textId="77777777" w:rsidR="00DD176B" w:rsidRPr="00EB26A5" w:rsidRDefault="00DD176B" w:rsidP="00EB26A5">
      <w:pPr>
        <w:pStyle w:val="Bibliografa3"/>
        <w:rPr>
          <w:sz w:val="24"/>
          <w:lang w:val="en-US"/>
        </w:rPr>
      </w:pPr>
      <w:r w:rsidRPr="00EB26A5">
        <w:rPr>
          <w:sz w:val="24"/>
          <w:lang w:val="en-US"/>
        </w:rPr>
        <w:instrText>33. Wise GE. Cellular and molecular basis of tooth eruption. Orthod Craniofac Res. 2009;12:67–73.</w:instrText>
      </w:r>
    </w:p>
    <w:p w14:paraId="75846775" w14:textId="77777777" w:rsidR="00DD176B" w:rsidRPr="00EB26A5" w:rsidRDefault="00DD176B" w:rsidP="00EB26A5">
      <w:pPr>
        <w:pStyle w:val="Bibliografa3"/>
        <w:rPr>
          <w:sz w:val="24"/>
          <w:lang w:val="en-US"/>
        </w:rPr>
      </w:pPr>
      <w:r w:rsidRPr="00EB26A5">
        <w:rPr>
          <w:sz w:val="24"/>
          <w:lang w:val="en-US"/>
        </w:rPr>
        <w:instrText>34. Grier RL, Wise GE. Inhibition of tooth eruption in the rat by a bisphosphonate. J Dent Res. 1998;77:8–15.</w:instrText>
      </w:r>
    </w:p>
    <w:p w14:paraId="7381DA87" w14:textId="77777777" w:rsidR="00DD176B" w:rsidRPr="00EB26A5" w:rsidRDefault="00DD176B" w:rsidP="00EB26A5">
      <w:pPr>
        <w:pStyle w:val="Bibliografa3"/>
        <w:rPr>
          <w:sz w:val="24"/>
          <w:lang w:val="en-US"/>
        </w:rPr>
      </w:pPr>
      <w:r w:rsidRPr="00EB26A5">
        <w:rPr>
          <w:sz w:val="24"/>
          <w:lang w:val="en-US"/>
        </w:rPr>
        <w:instrText>35. Brix N, Ernst A, Lauridsen LLB, Parner E, Støvring H, Olsen J, et al. Timing of puberty in boys and girls: A population-based study. Paediatr Perinat Epidemiol. 2019;33:70–8.</w:instrText>
      </w:r>
    </w:p>
    <w:p w14:paraId="57A963F4" w14:textId="77777777" w:rsidR="00DD176B" w:rsidRPr="00EB26A5" w:rsidRDefault="00DD176B" w:rsidP="00EB26A5">
      <w:pPr>
        <w:pStyle w:val="Bibliografa3"/>
        <w:rPr>
          <w:sz w:val="24"/>
          <w:lang w:val="es-ES_tradnl"/>
        </w:rPr>
      </w:pPr>
      <w:r w:rsidRPr="00EB26A5">
        <w:rPr>
          <w:sz w:val="24"/>
          <w:lang w:val="en-US"/>
        </w:rPr>
        <w:instrText xml:space="preserve">36. Rauch F, Glorieux FH. Bisphosphonate treatment in osteogenesis imperfecta: which drug, for whom, for how long? </w:instrText>
      </w:r>
      <w:r w:rsidRPr="00EB26A5">
        <w:rPr>
          <w:sz w:val="24"/>
          <w:lang w:val="es-ES_tradnl"/>
        </w:rPr>
        <w:instrText>Ann Med. 2005;37:295–302.</w:instrText>
      </w:r>
    </w:p>
    <w:p w14:paraId="186C6BAC" w14:textId="77777777" w:rsidR="00DD176B" w:rsidRPr="004B4AD7" w:rsidRDefault="00DD176B" w:rsidP="00EB26A5">
      <w:pPr>
        <w:pStyle w:val="Bibliografa3"/>
        <w:rPr>
          <w:rStyle w:val="Hipervnculo"/>
          <w:sz w:val="24"/>
          <w:lang w:val="en-US"/>
        </w:rPr>
      </w:pPr>
      <w:r w:rsidRPr="00DD176B">
        <w:rPr>
          <w:sz w:val="24"/>
          <w:lang w:val="es-ES"/>
        </w:rPr>
        <w:instrText xml:space="preserve">" </w:instrText>
      </w:r>
      <w:r>
        <w:rPr>
          <w:sz w:val="24"/>
          <w:lang w:val="en-US"/>
        </w:rPr>
        <w:fldChar w:fldCharType="separate"/>
      </w:r>
      <w:r w:rsidRPr="00DD176B">
        <w:rPr>
          <w:rStyle w:val="Hipervnculo"/>
          <w:sz w:val="24"/>
          <w:lang w:val="es-ES"/>
        </w:rPr>
        <w:t xml:space="preserve">1. Rauch F, Glorieux FH. Osteogenesis imperfecta. Lancet. </w:t>
      </w:r>
      <w:proofErr w:type="gramStart"/>
      <w:r w:rsidRPr="004B4AD7">
        <w:rPr>
          <w:rStyle w:val="Hipervnculo"/>
          <w:sz w:val="24"/>
          <w:lang w:val="en-US"/>
        </w:rPr>
        <w:t>2004;363:1377</w:t>
      </w:r>
      <w:proofErr w:type="gramEnd"/>
      <w:r w:rsidRPr="004B4AD7">
        <w:rPr>
          <w:rStyle w:val="Hipervnculo"/>
          <w:sz w:val="24"/>
          <w:lang w:val="en-US"/>
        </w:rPr>
        <w:t>–85.</w:t>
      </w:r>
    </w:p>
    <w:p w14:paraId="126B6BC5"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 Marini JC, Blissett AR. New genes in bone development: what’s new in osteogenesis imperfecta. J Clin Endocrinol Metab. </w:t>
      </w:r>
      <w:proofErr w:type="gramStart"/>
      <w:r w:rsidRPr="004B4AD7">
        <w:rPr>
          <w:rStyle w:val="Hipervnculo"/>
          <w:sz w:val="24"/>
          <w:lang w:val="en-US"/>
        </w:rPr>
        <w:t>2013;98:3095</w:t>
      </w:r>
      <w:proofErr w:type="gramEnd"/>
      <w:r w:rsidRPr="004B4AD7">
        <w:rPr>
          <w:rStyle w:val="Hipervnculo"/>
          <w:sz w:val="24"/>
          <w:lang w:val="en-US"/>
        </w:rPr>
        <w:t>–103.</w:t>
      </w:r>
    </w:p>
    <w:p w14:paraId="3E122694"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3. Forlino A, Marini JC. Osteogenesis imperfecta. Lancet. </w:t>
      </w:r>
      <w:proofErr w:type="gramStart"/>
      <w:r w:rsidRPr="004B4AD7">
        <w:rPr>
          <w:rStyle w:val="Hipervnculo"/>
          <w:sz w:val="24"/>
          <w:lang w:val="en-US"/>
        </w:rPr>
        <w:t>2016;387:1657</w:t>
      </w:r>
      <w:proofErr w:type="gramEnd"/>
      <w:r w:rsidRPr="004B4AD7">
        <w:rPr>
          <w:rStyle w:val="Hipervnculo"/>
          <w:sz w:val="24"/>
          <w:lang w:val="en-US"/>
        </w:rPr>
        <w:t>–71.</w:t>
      </w:r>
    </w:p>
    <w:p w14:paraId="595ED694" w14:textId="77777777" w:rsidR="00DD176B" w:rsidRPr="004B4AD7" w:rsidRDefault="00DD176B" w:rsidP="00EB26A5">
      <w:pPr>
        <w:pStyle w:val="Bibliografa3"/>
        <w:rPr>
          <w:rStyle w:val="Hipervnculo"/>
          <w:sz w:val="24"/>
          <w:lang w:val="en-US"/>
        </w:rPr>
      </w:pPr>
      <w:r w:rsidRPr="004B4AD7">
        <w:rPr>
          <w:rStyle w:val="Hipervnculo"/>
          <w:sz w:val="24"/>
          <w:lang w:val="en-US"/>
        </w:rPr>
        <w:t>4. Malmgren B, Thesleff I, Dahllöf G, Åström E, Tsilingaridis G. Abnormalities in Tooth Formation after Early Bisphosphonate Treatment in Children with Osteogenesis Imperfecta. Calcif Tissue Int. 2021. https://doi.org/10.1007/s00223-021-00835-2.</w:t>
      </w:r>
    </w:p>
    <w:p w14:paraId="265ACB4D" w14:textId="77777777" w:rsidR="00DD176B" w:rsidRPr="004B4AD7" w:rsidRDefault="00DD176B" w:rsidP="00EB26A5">
      <w:pPr>
        <w:pStyle w:val="Bibliografa3"/>
        <w:rPr>
          <w:rStyle w:val="Hipervnculo"/>
          <w:sz w:val="24"/>
          <w:lang w:val="en-US"/>
        </w:rPr>
      </w:pPr>
      <w:r w:rsidRPr="004B4AD7">
        <w:rPr>
          <w:rStyle w:val="Hipervnculo"/>
          <w:sz w:val="24"/>
          <w:lang w:val="en-US"/>
        </w:rPr>
        <w:t>5. Andersson K, Dahllöf G, Lindahl K, Kindmark A, Grigelioniene G, Åström E, et al. Mutations in COL1A1 and COL1A2 and dental aberrations in children and adolescents with osteogenesis imperfecta - A retrospective cohort study. PLoS ONE. 2017;</w:t>
      </w:r>
      <w:proofErr w:type="gramStart"/>
      <w:r w:rsidRPr="004B4AD7">
        <w:rPr>
          <w:rStyle w:val="Hipervnculo"/>
          <w:sz w:val="24"/>
          <w:lang w:val="en-US"/>
        </w:rPr>
        <w:t>12:e</w:t>
      </w:r>
      <w:proofErr w:type="gramEnd"/>
      <w:r w:rsidRPr="004B4AD7">
        <w:rPr>
          <w:rStyle w:val="Hipervnculo"/>
          <w:sz w:val="24"/>
          <w:lang w:val="en-US"/>
        </w:rPr>
        <w:t>0176466.</w:t>
      </w:r>
    </w:p>
    <w:p w14:paraId="04361328" w14:textId="77777777" w:rsidR="00DD176B" w:rsidRPr="004B4AD7" w:rsidRDefault="00DD176B" w:rsidP="00EB26A5">
      <w:pPr>
        <w:pStyle w:val="Bibliografa3"/>
        <w:rPr>
          <w:rStyle w:val="Hipervnculo"/>
          <w:sz w:val="24"/>
          <w:lang w:val="en-US"/>
        </w:rPr>
      </w:pPr>
      <w:r w:rsidRPr="004B4AD7">
        <w:rPr>
          <w:rStyle w:val="Hipervnculo"/>
          <w:sz w:val="24"/>
          <w:lang w:val="en-US"/>
        </w:rPr>
        <w:lastRenderedPageBreak/>
        <w:t xml:space="preserve">6. Andersson K, Malmgren B, Åström E, Nordgren A, Taylan F, Dahllöf G. Mutations in COL1A1/A2 and CREB3L1 are associated with oligodontia in osteogenesis imperfecta. Orphanet J Rare Dis. </w:t>
      </w:r>
      <w:proofErr w:type="gramStart"/>
      <w:r w:rsidRPr="004B4AD7">
        <w:rPr>
          <w:rStyle w:val="Hipervnculo"/>
          <w:sz w:val="24"/>
          <w:lang w:val="en-US"/>
        </w:rPr>
        <w:t>2020;15:80</w:t>
      </w:r>
      <w:proofErr w:type="gramEnd"/>
      <w:r w:rsidRPr="004B4AD7">
        <w:rPr>
          <w:rStyle w:val="Hipervnculo"/>
          <w:sz w:val="24"/>
          <w:lang w:val="en-US"/>
        </w:rPr>
        <w:t>.</w:t>
      </w:r>
    </w:p>
    <w:p w14:paraId="29899244"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7. Malmgren B, Norgren S. Dental aberrations in children and adolescents with osteogenesis imperfecta. Acta Odontol Scand. </w:t>
      </w:r>
      <w:proofErr w:type="gramStart"/>
      <w:r w:rsidRPr="004B4AD7">
        <w:rPr>
          <w:rStyle w:val="Hipervnculo"/>
          <w:sz w:val="24"/>
          <w:lang w:val="en-US"/>
        </w:rPr>
        <w:t>2002;60:65</w:t>
      </w:r>
      <w:proofErr w:type="gramEnd"/>
      <w:r w:rsidRPr="004B4AD7">
        <w:rPr>
          <w:rStyle w:val="Hipervnculo"/>
          <w:sz w:val="24"/>
          <w:lang w:val="en-US"/>
        </w:rPr>
        <w:t>–71.</w:t>
      </w:r>
    </w:p>
    <w:p w14:paraId="1DBCFF0A"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8. Rizkallah J, Schwartz S, Rauch F, Glorieux F, Vu D-D, Muller K, et al. Evaluation of the severity of malocclusions in children affected by osteogenesis imperfecta with the peer assessment rating and discrepancy indexes. Am J Orthod Dentofacial Orthop. </w:t>
      </w:r>
      <w:proofErr w:type="gramStart"/>
      <w:r w:rsidRPr="004B4AD7">
        <w:rPr>
          <w:rStyle w:val="Hipervnculo"/>
          <w:sz w:val="24"/>
          <w:lang w:val="en-US"/>
        </w:rPr>
        <w:t>2013;143:336</w:t>
      </w:r>
      <w:proofErr w:type="gramEnd"/>
      <w:r w:rsidRPr="004B4AD7">
        <w:rPr>
          <w:rStyle w:val="Hipervnculo"/>
          <w:sz w:val="24"/>
          <w:lang w:val="en-US"/>
        </w:rPr>
        <w:t>–41.</w:t>
      </w:r>
    </w:p>
    <w:p w14:paraId="7690EF48"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9. Malmgren B, Andersson K, Lindahl K, Kindmark A, Grigelioniene G, Zachariadis V, et al. Tooth agenesis in osteogenesis imperfecta related to mutations in the collagen type I genes. Oral Dis. </w:t>
      </w:r>
      <w:proofErr w:type="gramStart"/>
      <w:r w:rsidRPr="004B4AD7">
        <w:rPr>
          <w:rStyle w:val="Hipervnculo"/>
          <w:sz w:val="24"/>
          <w:lang w:val="en-US"/>
        </w:rPr>
        <w:t>2017;23:42</w:t>
      </w:r>
      <w:proofErr w:type="gramEnd"/>
      <w:r w:rsidRPr="004B4AD7">
        <w:rPr>
          <w:rStyle w:val="Hipervnculo"/>
          <w:sz w:val="24"/>
          <w:lang w:val="en-US"/>
        </w:rPr>
        <w:t>–9.</w:t>
      </w:r>
    </w:p>
    <w:p w14:paraId="31389664"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10. Lindahl K, Kindmark A, Rubin C-J, Malmgren B, Grigelioniene G, Söderhäll S, et al. Decreased fracture rate, </w:t>
      </w:r>
      <w:proofErr w:type="gramStart"/>
      <w:r w:rsidRPr="004B4AD7">
        <w:rPr>
          <w:rStyle w:val="Hipervnculo"/>
          <w:sz w:val="24"/>
          <w:lang w:val="en-US"/>
        </w:rPr>
        <w:t>pharmacogenetics</w:t>
      </w:r>
      <w:proofErr w:type="gramEnd"/>
      <w:r w:rsidRPr="004B4AD7">
        <w:rPr>
          <w:rStyle w:val="Hipervnculo"/>
          <w:sz w:val="24"/>
          <w:lang w:val="en-US"/>
        </w:rPr>
        <w:t xml:space="preserve"> and BMD response in 79 Swedish children with osteogenesis imperfecta types I, III and IV treated with Pamidronate. Bone. </w:t>
      </w:r>
      <w:proofErr w:type="gramStart"/>
      <w:r w:rsidRPr="004B4AD7">
        <w:rPr>
          <w:rStyle w:val="Hipervnculo"/>
          <w:sz w:val="24"/>
          <w:lang w:val="en-US"/>
        </w:rPr>
        <w:t>2016;87:11</w:t>
      </w:r>
      <w:proofErr w:type="gramEnd"/>
      <w:r w:rsidRPr="004B4AD7">
        <w:rPr>
          <w:rStyle w:val="Hipervnculo"/>
          <w:sz w:val="24"/>
          <w:lang w:val="en-US"/>
        </w:rPr>
        <w:t>–8.</w:t>
      </w:r>
    </w:p>
    <w:p w14:paraId="62EE5045"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11. Aström E, Söderhäll S. Beneficial effect of </w:t>
      </w:r>
      <w:proofErr w:type="gramStart"/>
      <w:r w:rsidRPr="004B4AD7">
        <w:rPr>
          <w:rStyle w:val="Hipervnculo"/>
          <w:sz w:val="24"/>
          <w:lang w:val="en-US"/>
        </w:rPr>
        <w:t>long term</w:t>
      </w:r>
      <w:proofErr w:type="gramEnd"/>
      <w:r w:rsidRPr="004B4AD7">
        <w:rPr>
          <w:rStyle w:val="Hipervnculo"/>
          <w:sz w:val="24"/>
          <w:lang w:val="en-US"/>
        </w:rPr>
        <w:t xml:space="preserve"> intravenous bisphosphonate treatment of osteogenesis imperfecta. Arch Dis Child. </w:t>
      </w:r>
      <w:proofErr w:type="gramStart"/>
      <w:r w:rsidRPr="004B4AD7">
        <w:rPr>
          <w:rStyle w:val="Hipervnculo"/>
          <w:sz w:val="24"/>
          <w:lang w:val="en-US"/>
        </w:rPr>
        <w:t>2002;86:356</w:t>
      </w:r>
      <w:proofErr w:type="gramEnd"/>
      <w:r w:rsidRPr="004B4AD7">
        <w:rPr>
          <w:rStyle w:val="Hipervnculo"/>
          <w:sz w:val="24"/>
          <w:lang w:val="en-US"/>
        </w:rPr>
        <w:t>–64.</w:t>
      </w:r>
    </w:p>
    <w:p w14:paraId="6B8A4E04" w14:textId="77777777" w:rsidR="00DD176B" w:rsidRPr="004B4AD7" w:rsidRDefault="00DD176B" w:rsidP="00EB26A5">
      <w:pPr>
        <w:pStyle w:val="Bibliografa3"/>
        <w:rPr>
          <w:rStyle w:val="Hipervnculo"/>
          <w:sz w:val="24"/>
          <w:lang w:val="en-US"/>
        </w:rPr>
      </w:pPr>
      <w:r w:rsidRPr="004B4AD7">
        <w:rPr>
          <w:rStyle w:val="Hipervnculo"/>
          <w:sz w:val="24"/>
          <w:lang w:val="en-US"/>
        </w:rPr>
        <w:t>12. Dwan K, Phillipi CA, Steiner RD, Basel D. Bisphosphonate therapy for osteogenesis imperfecta. Cochrane Database Syst Rev. 2016;10:CD005088.</w:t>
      </w:r>
    </w:p>
    <w:p w14:paraId="33DFDF52"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13. Phillipi CA, Remmington T, Steiner RD. Bisphosphonate therapy for osteogenesis imperfecta. Cochrane Database Syst Rev. </w:t>
      </w:r>
      <w:proofErr w:type="gramStart"/>
      <w:r w:rsidRPr="004B4AD7">
        <w:rPr>
          <w:rStyle w:val="Hipervnculo"/>
          <w:sz w:val="24"/>
          <w:lang w:val="en-US"/>
        </w:rPr>
        <w:t>2008;:</w:t>
      </w:r>
      <w:proofErr w:type="gramEnd"/>
      <w:r w:rsidRPr="004B4AD7">
        <w:rPr>
          <w:rStyle w:val="Hipervnculo"/>
          <w:sz w:val="24"/>
          <w:lang w:val="en-US"/>
        </w:rPr>
        <w:t>CD005088.</w:t>
      </w:r>
    </w:p>
    <w:p w14:paraId="2E872DF9"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14. Harokopakis-Hajishengallis E. Physiologic root resorption in primary teeth: molecular and histological events. J Oral Sci. </w:t>
      </w:r>
      <w:proofErr w:type="gramStart"/>
      <w:r w:rsidRPr="004B4AD7">
        <w:rPr>
          <w:rStyle w:val="Hipervnculo"/>
          <w:sz w:val="24"/>
          <w:lang w:val="en-US"/>
        </w:rPr>
        <w:t>2007;49:1</w:t>
      </w:r>
      <w:proofErr w:type="gramEnd"/>
      <w:r w:rsidRPr="004B4AD7">
        <w:rPr>
          <w:rStyle w:val="Hipervnculo"/>
          <w:sz w:val="24"/>
          <w:lang w:val="en-US"/>
        </w:rPr>
        <w:t>–12.</w:t>
      </w:r>
    </w:p>
    <w:p w14:paraId="12FB737D"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15. Marks SC, Gorski JP, Wise GE. The mechanisms and mediators of tooth eruption--models for developmental biologists. Int J Dev Biol. </w:t>
      </w:r>
      <w:proofErr w:type="gramStart"/>
      <w:r w:rsidRPr="004B4AD7">
        <w:rPr>
          <w:rStyle w:val="Hipervnculo"/>
          <w:sz w:val="24"/>
          <w:lang w:val="en-US"/>
        </w:rPr>
        <w:t>1995;39:223</w:t>
      </w:r>
      <w:proofErr w:type="gramEnd"/>
      <w:r w:rsidRPr="004B4AD7">
        <w:rPr>
          <w:rStyle w:val="Hipervnculo"/>
          <w:sz w:val="24"/>
          <w:lang w:val="en-US"/>
        </w:rPr>
        <w:t>–30.</w:t>
      </w:r>
    </w:p>
    <w:p w14:paraId="538A4791" w14:textId="77777777" w:rsidR="00DD176B" w:rsidRPr="004B4AD7" w:rsidRDefault="00DD176B" w:rsidP="00EB26A5">
      <w:pPr>
        <w:pStyle w:val="Bibliografa3"/>
        <w:rPr>
          <w:rStyle w:val="Hipervnculo"/>
          <w:sz w:val="24"/>
          <w:lang w:val="es-ES_tradnl"/>
        </w:rPr>
      </w:pPr>
      <w:r w:rsidRPr="004B4AD7">
        <w:rPr>
          <w:rStyle w:val="Hipervnculo"/>
          <w:sz w:val="24"/>
          <w:lang w:val="en-US"/>
        </w:rPr>
        <w:t xml:space="preserve">16. Shiyan H, Nanquan R, Shuhao X, Xiaobing L. [Research progress on the cellular and molecular mechanisms of tooth eruption]. </w:t>
      </w:r>
      <w:r w:rsidRPr="004B4AD7">
        <w:rPr>
          <w:rStyle w:val="Hipervnculo"/>
          <w:sz w:val="24"/>
          <w:lang w:val="es-ES_tradnl"/>
        </w:rPr>
        <w:t xml:space="preserve">Hua Xi Kou Qiang Yi Xue Za Zhi. </w:t>
      </w:r>
      <w:proofErr w:type="gramStart"/>
      <w:r w:rsidRPr="004B4AD7">
        <w:rPr>
          <w:rStyle w:val="Hipervnculo"/>
          <w:sz w:val="24"/>
          <w:lang w:val="es-ES_tradnl"/>
        </w:rPr>
        <w:t>2016;34:317</w:t>
      </w:r>
      <w:proofErr w:type="gramEnd"/>
      <w:r w:rsidRPr="004B4AD7">
        <w:rPr>
          <w:rStyle w:val="Hipervnculo"/>
          <w:sz w:val="24"/>
          <w:lang w:val="es-ES_tradnl"/>
        </w:rPr>
        <w:t>–21.</w:t>
      </w:r>
    </w:p>
    <w:p w14:paraId="7AE8789D" w14:textId="77777777" w:rsidR="00DD176B" w:rsidRPr="004B4AD7" w:rsidRDefault="00DD176B" w:rsidP="00EB26A5">
      <w:pPr>
        <w:pStyle w:val="Bibliografa3"/>
        <w:rPr>
          <w:rStyle w:val="Hipervnculo"/>
          <w:sz w:val="24"/>
          <w:lang w:val="en-US"/>
        </w:rPr>
      </w:pPr>
      <w:r w:rsidRPr="004B4AD7">
        <w:rPr>
          <w:rStyle w:val="Hipervnculo"/>
          <w:sz w:val="24"/>
          <w:lang w:val="es-ES_tradnl"/>
        </w:rPr>
        <w:t xml:space="preserve">17. Bradaschia-Correa V, Moreira MM, Arana-Chavez VE. </w:t>
      </w:r>
      <w:r w:rsidRPr="004B4AD7">
        <w:rPr>
          <w:rStyle w:val="Hipervnculo"/>
          <w:sz w:val="24"/>
          <w:lang w:val="en-US"/>
        </w:rPr>
        <w:t xml:space="preserve">Reduced RANKL expression impedes osteoclast activation and tooth eruption in alendronate-treated rats. Cell Tissue Res. </w:t>
      </w:r>
      <w:proofErr w:type="gramStart"/>
      <w:r w:rsidRPr="004B4AD7">
        <w:rPr>
          <w:rStyle w:val="Hipervnculo"/>
          <w:sz w:val="24"/>
          <w:lang w:val="en-US"/>
        </w:rPr>
        <w:t>2013;353:79</w:t>
      </w:r>
      <w:proofErr w:type="gramEnd"/>
      <w:r w:rsidRPr="004B4AD7">
        <w:rPr>
          <w:rStyle w:val="Hipervnculo"/>
          <w:sz w:val="24"/>
          <w:lang w:val="en-US"/>
        </w:rPr>
        <w:t>–86.</w:t>
      </w:r>
    </w:p>
    <w:p w14:paraId="4368114D"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18. Bradaschia-Correa V, Massa LF, Arana-Chavez VE. Effects of alendronate on tooth eruption and molar root formation in young growing rats. Cell Tissue Res. </w:t>
      </w:r>
      <w:proofErr w:type="gramStart"/>
      <w:r w:rsidRPr="004B4AD7">
        <w:rPr>
          <w:rStyle w:val="Hipervnculo"/>
          <w:sz w:val="24"/>
          <w:lang w:val="en-US"/>
        </w:rPr>
        <w:t>2007;330:475</w:t>
      </w:r>
      <w:proofErr w:type="gramEnd"/>
      <w:r w:rsidRPr="004B4AD7">
        <w:rPr>
          <w:rStyle w:val="Hipervnculo"/>
          <w:sz w:val="24"/>
          <w:lang w:val="en-US"/>
        </w:rPr>
        <w:t>–85.</w:t>
      </w:r>
    </w:p>
    <w:p w14:paraId="0A6C90F7"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19. Hiraga T, Ninomiya T, Hosoya A, Nakamura H. Administration of the bisphosphonate zoledronic acid during tooth development inhibits tooth </w:t>
      </w:r>
      <w:r w:rsidRPr="004B4AD7">
        <w:rPr>
          <w:rStyle w:val="Hipervnculo"/>
          <w:sz w:val="24"/>
          <w:lang w:val="en-US"/>
        </w:rPr>
        <w:lastRenderedPageBreak/>
        <w:t xml:space="preserve">eruption and formation and induces dental abnormalities in rats. Calcif Tissue Int. </w:t>
      </w:r>
      <w:proofErr w:type="gramStart"/>
      <w:r w:rsidRPr="004B4AD7">
        <w:rPr>
          <w:rStyle w:val="Hipervnculo"/>
          <w:sz w:val="24"/>
          <w:lang w:val="en-US"/>
        </w:rPr>
        <w:t>2010;86:502</w:t>
      </w:r>
      <w:proofErr w:type="gramEnd"/>
      <w:r w:rsidRPr="004B4AD7">
        <w:rPr>
          <w:rStyle w:val="Hipervnculo"/>
          <w:sz w:val="24"/>
          <w:lang w:val="en-US"/>
        </w:rPr>
        <w:t>–10.</w:t>
      </w:r>
    </w:p>
    <w:p w14:paraId="02020CFB"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20. Vuorimies I, Arponen H, Valta H, Tiesalo O, Ekholm M, Ranta H, et al. Timing of dental development in osteogenesis imperfecta patients with and without bisphosphonate treatment. Bone. </w:t>
      </w:r>
      <w:proofErr w:type="gramStart"/>
      <w:r w:rsidRPr="004B4AD7">
        <w:rPr>
          <w:rStyle w:val="Hipervnculo"/>
          <w:sz w:val="24"/>
          <w:lang w:val="en-US"/>
        </w:rPr>
        <w:t>2017;94:29</w:t>
      </w:r>
      <w:proofErr w:type="gramEnd"/>
      <w:r w:rsidRPr="004B4AD7">
        <w:rPr>
          <w:rStyle w:val="Hipervnculo"/>
          <w:sz w:val="24"/>
          <w:lang w:val="en-US"/>
        </w:rPr>
        <w:t>–33.</w:t>
      </w:r>
    </w:p>
    <w:p w14:paraId="23B8A3F8"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21. Malmgren B, Tsilingaridis G, Monsef-Johansson N, Qahtani ZHA, Dahllöf G, Åström E. Bisphosphonate Therapy and Tooth Development in Children and Adolescents with Osteogenesis Imperfecta. Calcif Tissue Int. </w:t>
      </w:r>
      <w:proofErr w:type="gramStart"/>
      <w:r w:rsidRPr="004B4AD7">
        <w:rPr>
          <w:rStyle w:val="Hipervnculo"/>
          <w:sz w:val="24"/>
          <w:lang w:val="en-US"/>
        </w:rPr>
        <w:t>2020;107:143</w:t>
      </w:r>
      <w:proofErr w:type="gramEnd"/>
      <w:r w:rsidRPr="004B4AD7">
        <w:rPr>
          <w:rStyle w:val="Hipervnculo"/>
          <w:sz w:val="24"/>
          <w:lang w:val="en-US"/>
        </w:rPr>
        <w:t>–50.</w:t>
      </w:r>
    </w:p>
    <w:p w14:paraId="7D773011"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22. Demirjian A, Goldstein H, Tanner JM. A new system of dental age assessment. Hum Biol. </w:t>
      </w:r>
      <w:proofErr w:type="gramStart"/>
      <w:r w:rsidRPr="004B4AD7">
        <w:rPr>
          <w:rStyle w:val="Hipervnculo"/>
          <w:sz w:val="24"/>
          <w:lang w:val="en-US"/>
        </w:rPr>
        <w:t>1973;45:211</w:t>
      </w:r>
      <w:proofErr w:type="gramEnd"/>
      <w:r w:rsidRPr="004B4AD7">
        <w:rPr>
          <w:rStyle w:val="Hipervnculo"/>
          <w:sz w:val="24"/>
          <w:lang w:val="en-US"/>
        </w:rPr>
        <w:t>–27.</w:t>
      </w:r>
    </w:p>
    <w:p w14:paraId="607BFE40"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23. Haavikko K. The physiological resorption of the roots of deciduous teeth in Helsinki children. Proc Finn Dent Soc. </w:t>
      </w:r>
      <w:proofErr w:type="gramStart"/>
      <w:r w:rsidRPr="004B4AD7">
        <w:rPr>
          <w:rStyle w:val="Hipervnculo"/>
          <w:sz w:val="24"/>
          <w:lang w:val="en-US"/>
        </w:rPr>
        <w:t>1973;69:93</w:t>
      </w:r>
      <w:proofErr w:type="gramEnd"/>
      <w:r w:rsidRPr="004B4AD7">
        <w:rPr>
          <w:rStyle w:val="Hipervnculo"/>
          <w:sz w:val="24"/>
          <w:lang w:val="en-US"/>
        </w:rPr>
        <w:t>–8.</w:t>
      </w:r>
    </w:p>
    <w:p w14:paraId="0FD5C3AE"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24. Izzetti R, Nisi M, Aringhieri G, Crocetti L, Graziani F, Nardi C. Basic Knowledge and New Advances in Panoramic Radiography Imaging Techniques: A Narrative Review on What Dentists and Radiologists Should Know. Applied Sciences. </w:t>
      </w:r>
      <w:proofErr w:type="gramStart"/>
      <w:r w:rsidRPr="004B4AD7">
        <w:rPr>
          <w:rStyle w:val="Hipervnculo"/>
          <w:sz w:val="24"/>
          <w:lang w:val="en-US"/>
        </w:rPr>
        <w:t>2021;11:7858</w:t>
      </w:r>
      <w:proofErr w:type="gramEnd"/>
      <w:r w:rsidRPr="004B4AD7">
        <w:rPr>
          <w:rStyle w:val="Hipervnculo"/>
          <w:sz w:val="24"/>
          <w:lang w:val="en-US"/>
        </w:rPr>
        <w:t>.</w:t>
      </w:r>
    </w:p>
    <w:p w14:paraId="16C0A94E" w14:textId="77777777" w:rsidR="00DD176B" w:rsidRPr="004B4AD7" w:rsidRDefault="00DD176B" w:rsidP="00EB26A5">
      <w:pPr>
        <w:pStyle w:val="Bibliografa3"/>
        <w:rPr>
          <w:rStyle w:val="Hipervnculo"/>
          <w:sz w:val="24"/>
          <w:lang w:val="es-ES_tradnl"/>
        </w:rPr>
      </w:pPr>
      <w:r w:rsidRPr="004B4AD7">
        <w:rPr>
          <w:rStyle w:val="Hipervnculo"/>
          <w:sz w:val="24"/>
          <w:lang w:val="en-US"/>
        </w:rPr>
        <w:t xml:space="preserve">25. Hostiuc S, Edison S-E, Diaconescu I, Negoi I, Isaila O-M. Accuracy of the Demirjian’s method for assessing the age in children, from 1973 to 2020. </w:t>
      </w:r>
      <w:r w:rsidRPr="004B4AD7">
        <w:rPr>
          <w:rStyle w:val="Hipervnculo"/>
          <w:sz w:val="24"/>
          <w:lang w:val="es-ES_tradnl"/>
        </w:rPr>
        <w:t xml:space="preserve">A meta-analysis. Legal Medicine. </w:t>
      </w:r>
      <w:proofErr w:type="gramStart"/>
      <w:r w:rsidRPr="004B4AD7">
        <w:rPr>
          <w:rStyle w:val="Hipervnculo"/>
          <w:sz w:val="24"/>
          <w:lang w:val="es-ES_tradnl"/>
        </w:rPr>
        <w:t>2021;52:101901</w:t>
      </w:r>
      <w:proofErr w:type="gramEnd"/>
      <w:r w:rsidRPr="004B4AD7">
        <w:rPr>
          <w:rStyle w:val="Hipervnculo"/>
          <w:sz w:val="24"/>
          <w:lang w:val="es-ES_tradnl"/>
        </w:rPr>
        <w:t>.</w:t>
      </w:r>
    </w:p>
    <w:p w14:paraId="782BC690" w14:textId="77777777" w:rsidR="00DD176B" w:rsidRPr="004B4AD7" w:rsidRDefault="00DD176B" w:rsidP="00EB26A5">
      <w:pPr>
        <w:pStyle w:val="Bibliografa3"/>
        <w:rPr>
          <w:rStyle w:val="Hipervnculo"/>
          <w:sz w:val="24"/>
          <w:lang w:val="en-US"/>
        </w:rPr>
      </w:pPr>
      <w:r w:rsidRPr="004B4AD7">
        <w:rPr>
          <w:rStyle w:val="Hipervnculo"/>
          <w:sz w:val="24"/>
          <w:lang w:val="es-ES_tradnl"/>
        </w:rPr>
        <w:t xml:space="preserve">26. Moca AE, Ciavoi G, Todor BI, Negruțiu BM, Cuc EA, Dima R, et al. </w:t>
      </w:r>
      <w:r w:rsidRPr="004B4AD7">
        <w:rPr>
          <w:rStyle w:val="Hipervnculo"/>
          <w:sz w:val="24"/>
          <w:lang w:val="en-US"/>
        </w:rPr>
        <w:t>Validity of the Demirjian Method for Dental Age Estimation in Romanian Children. 2022.</w:t>
      </w:r>
    </w:p>
    <w:p w14:paraId="426D691D"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27. Prove SA, Symons AL, Meyers IA. Physiological root resorption of primary molars. J Clin Pediatr Dent. </w:t>
      </w:r>
      <w:proofErr w:type="gramStart"/>
      <w:r w:rsidRPr="004B4AD7">
        <w:rPr>
          <w:rStyle w:val="Hipervnculo"/>
          <w:sz w:val="24"/>
          <w:lang w:val="en-US"/>
        </w:rPr>
        <w:t>1992;16:202</w:t>
      </w:r>
      <w:proofErr w:type="gramEnd"/>
      <w:r w:rsidRPr="004B4AD7">
        <w:rPr>
          <w:rStyle w:val="Hipervnculo"/>
          <w:sz w:val="24"/>
          <w:lang w:val="en-US"/>
        </w:rPr>
        <w:t>–6.</w:t>
      </w:r>
    </w:p>
    <w:p w14:paraId="7A665F77" w14:textId="77777777" w:rsidR="00DD176B" w:rsidRPr="004B4AD7" w:rsidRDefault="00DD176B" w:rsidP="00EB26A5">
      <w:pPr>
        <w:pStyle w:val="Bibliografa3"/>
        <w:rPr>
          <w:rStyle w:val="Hipervnculo"/>
          <w:sz w:val="24"/>
          <w:lang w:val="es-ES_tradnl"/>
        </w:rPr>
      </w:pPr>
      <w:r w:rsidRPr="004B4AD7">
        <w:rPr>
          <w:rStyle w:val="Hipervnculo"/>
          <w:sz w:val="24"/>
          <w:lang w:val="en-US"/>
        </w:rPr>
        <w:t xml:space="preserve">28. Peretz B, Nisan S, Herteanu L, Blumer S. Root resorption patterns of primary mandibular molars and location of the premolar successors: a radiographic evaluation. </w:t>
      </w:r>
      <w:r w:rsidRPr="004B4AD7">
        <w:rPr>
          <w:rStyle w:val="Hipervnculo"/>
          <w:sz w:val="24"/>
          <w:lang w:val="es-ES_tradnl"/>
        </w:rPr>
        <w:t xml:space="preserve">Pediatr Dent. </w:t>
      </w:r>
      <w:proofErr w:type="gramStart"/>
      <w:r w:rsidRPr="004B4AD7">
        <w:rPr>
          <w:rStyle w:val="Hipervnculo"/>
          <w:sz w:val="24"/>
          <w:lang w:val="es-ES_tradnl"/>
        </w:rPr>
        <w:t>2013;35:426</w:t>
      </w:r>
      <w:proofErr w:type="gramEnd"/>
      <w:r w:rsidRPr="004B4AD7">
        <w:rPr>
          <w:rStyle w:val="Hipervnculo"/>
          <w:sz w:val="24"/>
          <w:lang w:val="es-ES_tradnl"/>
        </w:rPr>
        <w:t>–9.</w:t>
      </w:r>
    </w:p>
    <w:p w14:paraId="44694194" w14:textId="77777777" w:rsidR="00DD176B" w:rsidRPr="004B4AD7" w:rsidRDefault="00DD176B" w:rsidP="00EB26A5">
      <w:pPr>
        <w:pStyle w:val="Bibliografa3"/>
        <w:rPr>
          <w:rStyle w:val="Hipervnculo"/>
          <w:sz w:val="24"/>
          <w:lang w:val="en-US"/>
        </w:rPr>
      </w:pPr>
      <w:r w:rsidRPr="004B4AD7">
        <w:rPr>
          <w:rStyle w:val="Hipervnculo"/>
          <w:sz w:val="24"/>
          <w:lang w:val="es-ES_tradnl"/>
        </w:rPr>
        <w:t xml:space="preserve">29. Del Rio Cantero N, Mourelle Martínez MR, Sagastizabal Cardelús B, De Nova García JM. </w:t>
      </w:r>
      <w:r w:rsidRPr="004B4AD7">
        <w:rPr>
          <w:rStyle w:val="Hipervnculo"/>
          <w:sz w:val="24"/>
          <w:lang w:val="en-US"/>
        </w:rPr>
        <w:t xml:space="preserve">Influence of zoledronic acid and pamidronate on tooth eruption in children with osteogenesis imperfecta. Bone. </w:t>
      </w:r>
      <w:proofErr w:type="gramStart"/>
      <w:r w:rsidRPr="004B4AD7">
        <w:rPr>
          <w:rStyle w:val="Hipervnculo"/>
          <w:sz w:val="24"/>
          <w:lang w:val="en-US"/>
        </w:rPr>
        <w:t>2024;182:117069</w:t>
      </w:r>
      <w:proofErr w:type="gramEnd"/>
      <w:r w:rsidRPr="004B4AD7">
        <w:rPr>
          <w:rStyle w:val="Hipervnculo"/>
          <w:sz w:val="24"/>
          <w:lang w:val="en-US"/>
        </w:rPr>
        <w:t>.</w:t>
      </w:r>
    </w:p>
    <w:p w14:paraId="1505B398"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30. Kamoun-Goldrat A, Ginisty D, Le Merrer M. Effects of bisphosphonates on tooth eruption in children with osteogenesis imperfecta. Eur J Oral Sci. </w:t>
      </w:r>
      <w:proofErr w:type="gramStart"/>
      <w:r w:rsidRPr="004B4AD7">
        <w:rPr>
          <w:rStyle w:val="Hipervnculo"/>
          <w:sz w:val="24"/>
          <w:lang w:val="en-US"/>
        </w:rPr>
        <w:t>2008;116:195</w:t>
      </w:r>
      <w:proofErr w:type="gramEnd"/>
      <w:r w:rsidRPr="004B4AD7">
        <w:rPr>
          <w:rStyle w:val="Hipervnculo"/>
          <w:sz w:val="24"/>
          <w:lang w:val="en-US"/>
        </w:rPr>
        <w:t>–8.</w:t>
      </w:r>
    </w:p>
    <w:p w14:paraId="16C7861E" w14:textId="77777777" w:rsidR="00DD176B" w:rsidRPr="004B4AD7" w:rsidRDefault="00DD176B" w:rsidP="00EB26A5">
      <w:pPr>
        <w:pStyle w:val="Bibliografa3"/>
        <w:rPr>
          <w:rStyle w:val="Hipervnculo"/>
          <w:sz w:val="24"/>
          <w:lang w:val="en-US"/>
        </w:rPr>
      </w:pPr>
      <w:r w:rsidRPr="004B4AD7">
        <w:rPr>
          <w:rStyle w:val="Hipervnculo"/>
          <w:sz w:val="24"/>
          <w:lang w:val="en-US"/>
        </w:rPr>
        <w:t>31. Laganà G. Dental anomalies: prevalence and associations between them in a large sample of non-orthodontic subjects, a cross-sectional study. 2017.</w:t>
      </w:r>
    </w:p>
    <w:p w14:paraId="7F70F3B4" w14:textId="77777777" w:rsidR="00DD176B" w:rsidRPr="004B4AD7" w:rsidRDefault="00DD176B" w:rsidP="00EB26A5">
      <w:pPr>
        <w:pStyle w:val="Bibliografa3"/>
        <w:rPr>
          <w:rStyle w:val="Hipervnculo"/>
          <w:sz w:val="24"/>
          <w:lang w:val="en-US"/>
        </w:rPr>
      </w:pPr>
      <w:r w:rsidRPr="004B4AD7">
        <w:rPr>
          <w:rStyle w:val="Hipervnculo"/>
          <w:sz w:val="24"/>
          <w:lang w:val="en-US"/>
        </w:rPr>
        <w:lastRenderedPageBreak/>
        <w:t xml:space="preserve">32. Taqi D, Moussa H, Schwinghamer T, Vieira AR, Dagdeviren D, Retrouvey J-M, et al. Missing and unerupted teeth in osteogenesis imperfecta. Bone. </w:t>
      </w:r>
      <w:proofErr w:type="gramStart"/>
      <w:r w:rsidRPr="004B4AD7">
        <w:rPr>
          <w:rStyle w:val="Hipervnculo"/>
          <w:sz w:val="24"/>
          <w:lang w:val="en-US"/>
        </w:rPr>
        <w:t>2021;150:116011</w:t>
      </w:r>
      <w:proofErr w:type="gramEnd"/>
      <w:r w:rsidRPr="004B4AD7">
        <w:rPr>
          <w:rStyle w:val="Hipervnculo"/>
          <w:sz w:val="24"/>
          <w:lang w:val="en-US"/>
        </w:rPr>
        <w:t>.</w:t>
      </w:r>
    </w:p>
    <w:p w14:paraId="2B42332F"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33. Wise GE. Cellular and molecular basis of tooth eruption. Orthod Craniofac Res. </w:t>
      </w:r>
      <w:proofErr w:type="gramStart"/>
      <w:r w:rsidRPr="004B4AD7">
        <w:rPr>
          <w:rStyle w:val="Hipervnculo"/>
          <w:sz w:val="24"/>
          <w:lang w:val="en-US"/>
        </w:rPr>
        <w:t>2009;12:67</w:t>
      </w:r>
      <w:proofErr w:type="gramEnd"/>
      <w:r w:rsidRPr="004B4AD7">
        <w:rPr>
          <w:rStyle w:val="Hipervnculo"/>
          <w:sz w:val="24"/>
          <w:lang w:val="en-US"/>
        </w:rPr>
        <w:t>–73.</w:t>
      </w:r>
    </w:p>
    <w:p w14:paraId="25B2500B"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34. Grier RL, Wise GE. Inhibition of tooth eruption in the rat by a bisphosphonate. J Dent Res. </w:t>
      </w:r>
      <w:proofErr w:type="gramStart"/>
      <w:r w:rsidRPr="004B4AD7">
        <w:rPr>
          <w:rStyle w:val="Hipervnculo"/>
          <w:sz w:val="24"/>
          <w:lang w:val="en-US"/>
        </w:rPr>
        <w:t>1998;77:8</w:t>
      </w:r>
      <w:proofErr w:type="gramEnd"/>
      <w:r w:rsidRPr="004B4AD7">
        <w:rPr>
          <w:rStyle w:val="Hipervnculo"/>
          <w:sz w:val="24"/>
          <w:lang w:val="en-US"/>
        </w:rPr>
        <w:t>–15.</w:t>
      </w:r>
    </w:p>
    <w:p w14:paraId="44B571CA" w14:textId="77777777" w:rsidR="00DD176B" w:rsidRPr="004B4AD7" w:rsidRDefault="00DD176B" w:rsidP="00EB26A5">
      <w:pPr>
        <w:pStyle w:val="Bibliografa3"/>
        <w:rPr>
          <w:rStyle w:val="Hipervnculo"/>
          <w:sz w:val="24"/>
          <w:lang w:val="en-US"/>
        </w:rPr>
      </w:pPr>
      <w:r w:rsidRPr="004B4AD7">
        <w:rPr>
          <w:rStyle w:val="Hipervnculo"/>
          <w:sz w:val="24"/>
          <w:lang w:val="en-US"/>
        </w:rPr>
        <w:t xml:space="preserve">35. Brix N, Ernst A, Lauridsen LLB, Parner E, Støvring H, Olsen J, et al. Timing of puberty in boys and girls: A population-based study. Paediatr Perinat Epidemiol. </w:t>
      </w:r>
      <w:proofErr w:type="gramStart"/>
      <w:r w:rsidRPr="004B4AD7">
        <w:rPr>
          <w:rStyle w:val="Hipervnculo"/>
          <w:sz w:val="24"/>
          <w:lang w:val="en-US"/>
        </w:rPr>
        <w:t>2019;33:70</w:t>
      </w:r>
      <w:proofErr w:type="gramEnd"/>
      <w:r w:rsidRPr="004B4AD7">
        <w:rPr>
          <w:rStyle w:val="Hipervnculo"/>
          <w:sz w:val="24"/>
          <w:lang w:val="en-US"/>
        </w:rPr>
        <w:t>–8.</w:t>
      </w:r>
    </w:p>
    <w:p w14:paraId="7FDB2A45" w14:textId="77777777" w:rsidR="00DD176B" w:rsidRPr="004B4AD7" w:rsidRDefault="00DD176B" w:rsidP="00EB26A5">
      <w:pPr>
        <w:pStyle w:val="Bibliografa3"/>
        <w:rPr>
          <w:rStyle w:val="Hipervnculo"/>
          <w:sz w:val="24"/>
          <w:lang w:val="es-ES_tradnl"/>
        </w:rPr>
      </w:pPr>
      <w:r w:rsidRPr="004B4AD7">
        <w:rPr>
          <w:rStyle w:val="Hipervnculo"/>
          <w:sz w:val="24"/>
          <w:lang w:val="en-US"/>
        </w:rPr>
        <w:t xml:space="preserve">36. Rauch F, Glorieux FH. Bisphosphonate treatment in osteogenesis imperfecta: which drug, for whom, for how long? </w:t>
      </w:r>
      <w:r w:rsidRPr="004B4AD7">
        <w:rPr>
          <w:rStyle w:val="Hipervnculo"/>
          <w:sz w:val="24"/>
          <w:lang w:val="es-ES_tradnl"/>
        </w:rPr>
        <w:t xml:space="preserve">Ann Med. </w:t>
      </w:r>
      <w:proofErr w:type="gramStart"/>
      <w:r w:rsidRPr="004B4AD7">
        <w:rPr>
          <w:rStyle w:val="Hipervnculo"/>
          <w:sz w:val="24"/>
          <w:lang w:val="es-ES_tradnl"/>
        </w:rPr>
        <w:t>2005;37:295</w:t>
      </w:r>
      <w:proofErr w:type="gramEnd"/>
      <w:r w:rsidRPr="004B4AD7">
        <w:rPr>
          <w:rStyle w:val="Hipervnculo"/>
          <w:sz w:val="24"/>
          <w:lang w:val="es-ES_tradnl"/>
        </w:rPr>
        <w:t>–302.</w:t>
      </w:r>
    </w:p>
    <w:p w14:paraId="42383BAA" w14:textId="15F19BBF" w:rsidR="00D230CF" w:rsidRPr="00984AD7" w:rsidRDefault="00DD176B" w:rsidP="00D230CF">
      <w:pPr>
        <w:spacing w:line="360" w:lineRule="auto"/>
        <w:jc w:val="both"/>
        <w:rPr>
          <w:rFonts w:ascii="Arial" w:hAnsi="Arial" w:cs="Arial"/>
          <w:noProof/>
        </w:rPr>
      </w:pPr>
      <w:r>
        <w:rPr>
          <w:lang w:val="en-US"/>
        </w:rPr>
        <w:fldChar w:fldCharType="end"/>
      </w:r>
    </w:p>
    <w:p w14:paraId="0255C3BA" w14:textId="77777777" w:rsidR="00D230CF" w:rsidRPr="00984AD7" w:rsidRDefault="00D230CF" w:rsidP="00D230CF">
      <w:pPr>
        <w:spacing w:line="360" w:lineRule="auto"/>
        <w:jc w:val="both"/>
        <w:rPr>
          <w:rFonts w:ascii="Arial" w:hAnsi="Arial" w:cs="Arial"/>
          <w:noProof/>
        </w:rPr>
      </w:pPr>
    </w:p>
    <w:p w14:paraId="32475BDF" w14:textId="77777777" w:rsidR="00D230CF" w:rsidRDefault="00D230CF"/>
    <w:sectPr w:rsidR="00D230CF">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lara Garcete Delvalle" w:date="2024-06-30T19:29:00Z" w:initials="CGD">
    <w:p w14:paraId="31E59030" w14:textId="465677BB" w:rsidR="00D52DAD" w:rsidRDefault="00D52DAD" w:rsidP="00D52DAD">
      <w:pPr>
        <w:jc w:val="both"/>
        <w:rPr>
          <w:rFonts w:ascii="Arial" w:hAnsi="Arial" w:cs="Arial"/>
          <w:noProof/>
          <w:sz w:val="13"/>
          <w:szCs w:val="13"/>
        </w:rPr>
      </w:pPr>
      <w:r>
        <w:rPr>
          <w:rStyle w:val="Refdecomentario"/>
        </w:rPr>
        <w:annotationRef/>
      </w:r>
      <w:r w:rsidRPr="00D52DAD">
        <w:rPr>
          <w:rFonts w:ascii="Arial" w:hAnsi="Arial" w:cs="Arial"/>
          <w:sz w:val="13"/>
          <w:szCs w:val="13"/>
        </w:rPr>
        <w:t xml:space="preserve">This is an </w:t>
      </w:r>
      <w:r w:rsidRPr="00D52DAD">
        <w:rPr>
          <w:rFonts w:ascii="Arial" w:hAnsi="Arial" w:cs="Arial"/>
          <w:b/>
          <w:bCs/>
          <w:sz w:val="13"/>
          <w:szCs w:val="13"/>
        </w:rPr>
        <w:t>observational and analytical study</w:t>
      </w:r>
      <w:r w:rsidRPr="00D52DAD">
        <w:rPr>
          <w:rFonts w:ascii="Arial" w:hAnsi="Arial" w:cs="Arial"/>
          <w:sz w:val="13"/>
          <w:szCs w:val="13"/>
        </w:rPr>
        <w:t>, not a clinical trial, therefore there is not a clinical trial number.</w:t>
      </w:r>
      <w:r w:rsidRPr="00D52DAD">
        <w:rPr>
          <w:rStyle w:val="Refdecomentario"/>
          <w:rFonts w:ascii="Tahoma" w:eastAsiaTheme="minorHAnsi" w:hAnsi="Tahoma" w:cs="Tahoma"/>
          <w:sz w:val="4"/>
          <w:szCs w:val="4"/>
          <w:lang w:val="en-US" w:eastAsia="en-US"/>
        </w:rPr>
        <w:annotationRef/>
      </w:r>
    </w:p>
    <w:p w14:paraId="7E3C1380" w14:textId="77777777" w:rsidR="00D52DAD" w:rsidRPr="00D52DAD" w:rsidRDefault="00D52DAD" w:rsidP="00D52DAD">
      <w:pPr>
        <w:jc w:val="both"/>
        <w:rPr>
          <w:rFonts w:ascii="Arial" w:hAnsi="Arial" w:cs="Arial"/>
          <w:sz w:val="13"/>
          <w:szCs w:val="13"/>
          <w:lang w:val="en-US"/>
        </w:rPr>
      </w:pPr>
    </w:p>
    <w:p w14:paraId="5D7F7378" w14:textId="77777777" w:rsidR="00D52DAD" w:rsidRPr="00D52DAD" w:rsidRDefault="00D52DAD" w:rsidP="00D52DAD">
      <w:pPr>
        <w:rPr>
          <w:b/>
          <w:bCs/>
          <w:sz w:val="11"/>
          <w:szCs w:val="11"/>
          <w:lang w:val="en-US"/>
        </w:rPr>
      </w:pPr>
      <w:r w:rsidRPr="00D52DAD">
        <w:rPr>
          <w:rFonts w:ascii="Verdana" w:hAnsi="Verdana"/>
          <w:b/>
          <w:bCs/>
          <w:color w:val="000000"/>
          <w:sz w:val="11"/>
          <w:szCs w:val="11"/>
          <w:lang w:val="en-US"/>
        </w:rPr>
        <w:t>w</w:t>
      </w:r>
      <w:r w:rsidRPr="00D52DAD">
        <w:rPr>
          <w:rFonts w:ascii="Verdana" w:hAnsi="Verdana"/>
          <w:b/>
          <w:bCs/>
          <w:color w:val="000000"/>
          <w:sz w:val="11"/>
          <w:szCs w:val="11"/>
        </w:rPr>
        <w:t>e only accessed the clinical history database and the panoramic radiograph</w:t>
      </w:r>
    </w:p>
    <w:p w14:paraId="3624479B" w14:textId="4ED94912" w:rsidR="00D52DAD" w:rsidRDefault="00D52DAD">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2447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C3090" w16cex:dateUtc="2024-06-30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24479B" w16cid:durableId="2A2C309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Noto Sans">
    <w:panose1 w:val="020B0502040504020204"/>
    <w:charset w:val="00"/>
    <w:family w:val="swiss"/>
    <w:pitch w:val="variable"/>
    <w:sig w:usb0="E00082FF" w:usb1="400078FF" w:usb2="00000021" w:usb3="00000000" w:csb0="0000019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9458DC"/>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D3E229A8"/>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8556A5A2"/>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57B41088"/>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586EE53E"/>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54C8AA"/>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2E0E16"/>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308C0C"/>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A6CD0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1BA87D3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B40E7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6C61F7"/>
    <w:multiLevelType w:val="multilevel"/>
    <w:tmpl w:val="04090023"/>
    <w:styleLink w:val="ArtculoSeccin"/>
    <w:lvl w:ilvl="0">
      <w:start w:val="1"/>
      <w:numFmt w:val="upperRoman"/>
      <w:pStyle w:val="Ttulo1"/>
      <w:lvlText w:val="Article %1."/>
      <w:lvlJc w:val="left"/>
      <w:pPr>
        <w:ind w:left="0" w:firstLine="0"/>
      </w:pPr>
    </w:lvl>
    <w:lvl w:ilvl="1">
      <w:start w:val="1"/>
      <w:numFmt w:val="decimalZero"/>
      <w:pStyle w:val="Ttulo2"/>
      <w:isLgl/>
      <w:lvlText w:val="Sectio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12" w15:restartNumberingAfterBreak="0">
    <w:nsid w:val="411C039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ra Garcete Delvalle">
    <w15:presenceInfo w15:providerId="Windows Live" w15:userId="de88a60b2f9fe8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CF"/>
    <w:rsid w:val="000143D4"/>
    <w:rsid w:val="0002691A"/>
    <w:rsid w:val="000866DF"/>
    <w:rsid w:val="000A5D8E"/>
    <w:rsid w:val="00180203"/>
    <w:rsid w:val="002762BE"/>
    <w:rsid w:val="00301232"/>
    <w:rsid w:val="003340BE"/>
    <w:rsid w:val="00397878"/>
    <w:rsid w:val="003C603E"/>
    <w:rsid w:val="00457F5A"/>
    <w:rsid w:val="0046797A"/>
    <w:rsid w:val="00481976"/>
    <w:rsid w:val="004E0A8F"/>
    <w:rsid w:val="00505B45"/>
    <w:rsid w:val="00581AE4"/>
    <w:rsid w:val="0062547E"/>
    <w:rsid w:val="0066300E"/>
    <w:rsid w:val="006B0D49"/>
    <w:rsid w:val="006E361D"/>
    <w:rsid w:val="007508CC"/>
    <w:rsid w:val="007A17F8"/>
    <w:rsid w:val="007C1C6A"/>
    <w:rsid w:val="008846D4"/>
    <w:rsid w:val="008C4315"/>
    <w:rsid w:val="00915121"/>
    <w:rsid w:val="00915BE0"/>
    <w:rsid w:val="009526D2"/>
    <w:rsid w:val="009B788F"/>
    <w:rsid w:val="00A146F7"/>
    <w:rsid w:val="00A33968"/>
    <w:rsid w:val="00B06ED5"/>
    <w:rsid w:val="00C53728"/>
    <w:rsid w:val="00C5465F"/>
    <w:rsid w:val="00C663B4"/>
    <w:rsid w:val="00C75624"/>
    <w:rsid w:val="00CB625D"/>
    <w:rsid w:val="00D230CF"/>
    <w:rsid w:val="00D52DAD"/>
    <w:rsid w:val="00D97B56"/>
    <w:rsid w:val="00DA4A55"/>
    <w:rsid w:val="00DD176B"/>
    <w:rsid w:val="00DD4121"/>
    <w:rsid w:val="00EB26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24A51E8"/>
  <w15:chartTrackingRefBased/>
  <w15:docId w15:val="{6FBF87E0-D962-974C-8562-7EA57933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CF"/>
    <w:rPr>
      <w:rFonts w:ascii="Times New Roman" w:eastAsia="Times New Roman" w:hAnsi="Times New Roman" w:cs="Times New Roman"/>
      <w:lang w:val="en-GB" w:eastAsia="es-ES_tradnl"/>
    </w:rPr>
  </w:style>
  <w:style w:type="paragraph" w:styleId="Ttulo1">
    <w:name w:val="heading 1"/>
    <w:basedOn w:val="Normal"/>
    <w:next w:val="Normal"/>
    <w:link w:val="Ttulo1Car"/>
    <w:uiPriority w:val="9"/>
    <w:qFormat/>
    <w:rsid w:val="00D230CF"/>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D230CF"/>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D230CF"/>
    <w:pPr>
      <w:keepNext/>
      <w:keepLines/>
      <w:numPr>
        <w:ilvl w:val="2"/>
        <w:numId w:val="3"/>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230CF"/>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230CF"/>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D230CF"/>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D230CF"/>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230C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230C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30CF"/>
    <w:rPr>
      <w:rFonts w:asciiTheme="majorHAnsi" w:eastAsiaTheme="majorEastAsia" w:hAnsiTheme="majorHAnsi" w:cstheme="majorBidi"/>
      <w:color w:val="2F5496" w:themeColor="accent1" w:themeShade="BF"/>
      <w:sz w:val="32"/>
      <w:szCs w:val="32"/>
      <w:lang w:val="en-GB" w:eastAsia="es-ES_tradnl"/>
    </w:rPr>
  </w:style>
  <w:style w:type="character" w:customStyle="1" w:styleId="Ttulo2Car">
    <w:name w:val="Título 2 Car"/>
    <w:basedOn w:val="Fuentedeprrafopredeter"/>
    <w:link w:val="Ttulo2"/>
    <w:uiPriority w:val="9"/>
    <w:semiHidden/>
    <w:rsid w:val="00D230CF"/>
    <w:rPr>
      <w:rFonts w:asciiTheme="majorHAnsi" w:eastAsiaTheme="majorEastAsia" w:hAnsiTheme="majorHAnsi" w:cstheme="majorBidi"/>
      <w:color w:val="2F5496" w:themeColor="accent1" w:themeShade="BF"/>
      <w:sz w:val="26"/>
      <w:szCs w:val="26"/>
      <w:lang w:val="en-GB" w:eastAsia="es-ES_tradnl"/>
    </w:rPr>
  </w:style>
  <w:style w:type="character" w:customStyle="1" w:styleId="Ttulo3Car">
    <w:name w:val="Título 3 Car"/>
    <w:basedOn w:val="Fuentedeprrafopredeter"/>
    <w:link w:val="Ttulo3"/>
    <w:uiPriority w:val="9"/>
    <w:semiHidden/>
    <w:rsid w:val="00D230CF"/>
    <w:rPr>
      <w:rFonts w:asciiTheme="majorHAnsi" w:eastAsiaTheme="majorEastAsia" w:hAnsiTheme="majorHAnsi" w:cstheme="majorBidi"/>
      <w:color w:val="1F3763" w:themeColor="accent1" w:themeShade="7F"/>
      <w:lang w:val="en-GB" w:eastAsia="es-ES_tradnl"/>
    </w:rPr>
  </w:style>
  <w:style w:type="character" w:customStyle="1" w:styleId="Ttulo4Car">
    <w:name w:val="Título 4 Car"/>
    <w:basedOn w:val="Fuentedeprrafopredeter"/>
    <w:link w:val="Ttulo4"/>
    <w:uiPriority w:val="9"/>
    <w:semiHidden/>
    <w:rsid w:val="00D230CF"/>
    <w:rPr>
      <w:rFonts w:asciiTheme="majorHAnsi" w:eastAsiaTheme="majorEastAsia" w:hAnsiTheme="majorHAnsi" w:cstheme="majorBidi"/>
      <w:i/>
      <w:iCs/>
      <w:color w:val="2F5496" w:themeColor="accent1" w:themeShade="BF"/>
      <w:lang w:val="en-GB" w:eastAsia="es-ES_tradnl"/>
    </w:rPr>
  </w:style>
  <w:style w:type="character" w:customStyle="1" w:styleId="Ttulo5Car">
    <w:name w:val="Título 5 Car"/>
    <w:basedOn w:val="Fuentedeprrafopredeter"/>
    <w:link w:val="Ttulo5"/>
    <w:uiPriority w:val="9"/>
    <w:semiHidden/>
    <w:rsid w:val="00D230CF"/>
    <w:rPr>
      <w:rFonts w:asciiTheme="majorHAnsi" w:eastAsiaTheme="majorEastAsia" w:hAnsiTheme="majorHAnsi" w:cstheme="majorBidi"/>
      <w:color w:val="2F5496" w:themeColor="accent1" w:themeShade="BF"/>
      <w:lang w:val="en-GB" w:eastAsia="es-ES_tradnl"/>
    </w:rPr>
  </w:style>
  <w:style w:type="character" w:customStyle="1" w:styleId="Ttulo6Car">
    <w:name w:val="Título 6 Car"/>
    <w:basedOn w:val="Fuentedeprrafopredeter"/>
    <w:link w:val="Ttulo6"/>
    <w:uiPriority w:val="9"/>
    <w:semiHidden/>
    <w:rsid w:val="00D230CF"/>
    <w:rPr>
      <w:rFonts w:asciiTheme="majorHAnsi" w:eastAsiaTheme="majorEastAsia" w:hAnsiTheme="majorHAnsi" w:cstheme="majorBidi"/>
      <w:color w:val="1F3763" w:themeColor="accent1" w:themeShade="7F"/>
      <w:lang w:val="en-GB" w:eastAsia="es-ES_tradnl"/>
    </w:rPr>
  </w:style>
  <w:style w:type="character" w:customStyle="1" w:styleId="Ttulo7Car">
    <w:name w:val="Título 7 Car"/>
    <w:basedOn w:val="Fuentedeprrafopredeter"/>
    <w:link w:val="Ttulo7"/>
    <w:uiPriority w:val="9"/>
    <w:semiHidden/>
    <w:rsid w:val="00D230CF"/>
    <w:rPr>
      <w:rFonts w:asciiTheme="majorHAnsi" w:eastAsiaTheme="majorEastAsia" w:hAnsiTheme="majorHAnsi" w:cstheme="majorBidi"/>
      <w:i/>
      <w:iCs/>
      <w:color w:val="1F3763" w:themeColor="accent1" w:themeShade="7F"/>
      <w:lang w:val="en-GB" w:eastAsia="es-ES_tradnl"/>
    </w:rPr>
  </w:style>
  <w:style w:type="character" w:customStyle="1" w:styleId="Ttulo8Car">
    <w:name w:val="Título 8 Car"/>
    <w:basedOn w:val="Fuentedeprrafopredeter"/>
    <w:link w:val="Ttulo8"/>
    <w:uiPriority w:val="9"/>
    <w:semiHidden/>
    <w:rsid w:val="00D230CF"/>
    <w:rPr>
      <w:rFonts w:asciiTheme="majorHAnsi" w:eastAsiaTheme="majorEastAsia" w:hAnsiTheme="majorHAnsi" w:cstheme="majorBidi"/>
      <w:color w:val="272727" w:themeColor="text1" w:themeTint="D8"/>
      <w:sz w:val="21"/>
      <w:szCs w:val="21"/>
      <w:lang w:val="en-GB" w:eastAsia="es-ES_tradnl"/>
    </w:rPr>
  </w:style>
  <w:style w:type="character" w:customStyle="1" w:styleId="Ttulo9Car">
    <w:name w:val="Título 9 Car"/>
    <w:basedOn w:val="Fuentedeprrafopredeter"/>
    <w:link w:val="Ttulo9"/>
    <w:uiPriority w:val="9"/>
    <w:semiHidden/>
    <w:rsid w:val="00D230CF"/>
    <w:rPr>
      <w:rFonts w:asciiTheme="majorHAnsi" w:eastAsiaTheme="majorEastAsia" w:hAnsiTheme="majorHAnsi" w:cstheme="majorBidi"/>
      <w:i/>
      <w:iCs/>
      <w:color w:val="272727" w:themeColor="text1" w:themeTint="D8"/>
      <w:sz w:val="21"/>
      <w:szCs w:val="21"/>
      <w:lang w:val="en-GB" w:eastAsia="es-ES_tradnl"/>
    </w:rPr>
  </w:style>
  <w:style w:type="character" w:styleId="Refdecomentario">
    <w:name w:val="annotation reference"/>
    <w:basedOn w:val="Fuentedeprrafopredeter"/>
    <w:uiPriority w:val="99"/>
    <w:semiHidden/>
    <w:unhideWhenUsed/>
    <w:rsid w:val="00D230CF"/>
    <w:rPr>
      <w:sz w:val="16"/>
      <w:szCs w:val="16"/>
    </w:rPr>
  </w:style>
  <w:style w:type="paragraph" w:styleId="Textocomentario">
    <w:name w:val="annotation text"/>
    <w:basedOn w:val="Normal"/>
    <w:link w:val="TextocomentarioCar"/>
    <w:uiPriority w:val="99"/>
    <w:semiHidden/>
    <w:unhideWhenUsed/>
    <w:rsid w:val="00D230CF"/>
    <w:pPr>
      <w:spacing w:after="160"/>
    </w:pPr>
    <w:rPr>
      <w:rFonts w:ascii="Tahoma" w:eastAsiaTheme="minorHAnsi" w:hAnsi="Tahoma" w:cs="Tahoma"/>
      <w:sz w:val="16"/>
      <w:szCs w:val="20"/>
      <w:lang w:val="en-US" w:eastAsia="en-US"/>
    </w:rPr>
  </w:style>
  <w:style w:type="character" w:customStyle="1" w:styleId="TextocomentarioCar">
    <w:name w:val="Texto comentario Car"/>
    <w:basedOn w:val="Fuentedeprrafopredeter"/>
    <w:link w:val="Textocomentario"/>
    <w:uiPriority w:val="99"/>
    <w:semiHidden/>
    <w:rsid w:val="00D230CF"/>
    <w:rPr>
      <w:rFonts w:ascii="Tahoma" w:hAnsi="Tahoma" w:cs="Tahoma"/>
      <w:sz w:val="16"/>
      <w:szCs w:val="20"/>
      <w:lang w:val="en-US"/>
    </w:rPr>
  </w:style>
  <w:style w:type="paragraph" w:styleId="Asuntodelcomentario">
    <w:name w:val="annotation subject"/>
    <w:basedOn w:val="Textocomentario"/>
    <w:next w:val="Textocomentario"/>
    <w:link w:val="AsuntodelcomentarioCar"/>
    <w:uiPriority w:val="99"/>
    <w:semiHidden/>
    <w:unhideWhenUsed/>
    <w:rsid w:val="00D230CF"/>
    <w:rPr>
      <w:b/>
      <w:bCs/>
    </w:rPr>
  </w:style>
  <w:style w:type="character" w:customStyle="1" w:styleId="AsuntodelcomentarioCar">
    <w:name w:val="Asunto del comentario Car"/>
    <w:basedOn w:val="TextocomentarioCar"/>
    <w:link w:val="Asuntodelcomentario"/>
    <w:uiPriority w:val="99"/>
    <w:semiHidden/>
    <w:rsid w:val="00D230CF"/>
    <w:rPr>
      <w:rFonts w:ascii="Tahoma" w:hAnsi="Tahoma" w:cs="Tahoma"/>
      <w:b/>
      <w:bCs/>
      <w:sz w:val="16"/>
      <w:szCs w:val="20"/>
      <w:lang w:val="en-US"/>
    </w:rPr>
  </w:style>
  <w:style w:type="paragraph" w:styleId="Textodeglobo">
    <w:name w:val="Balloon Text"/>
    <w:basedOn w:val="Normal"/>
    <w:link w:val="TextodegloboCar"/>
    <w:uiPriority w:val="99"/>
    <w:semiHidden/>
    <w:unhideWhenUsed/>
    <w:rsid w:val="00D230CF"/>
    <w:rPr>
      <w:rFonts w:ascii="Tahoma" w:eastAsiaTheme="minorHAnsi" w:hAnsi="Tahoma" w:cs="Tahoma"/>
      <w:sz w:val="16"/>
      <w:szCs w:val="18"/>
      <w:lang w:val="en-US" w:eastAsia="en-US"/>
    </w:rPr>
  </w:style>
  <w:style w:type="character" w:customStyle="1" w:styleId="TextodegloboCar">
    <w:name w:val="Texto de globo Car"/>
    <w:basedOn w:val="Fuentedeprrafopredeter"/>
    <w:link w:val="Textodeglobo"/>
    <w:uiPriority w:val="99"/>
    <w:semiHidden/>
    <w:rsid w:val="00D230CF"/>
    <w:rPr>
      <w:rFonts w:ascii="Tahoma" w:hAnsi="Tahoma" w:cs="Tahoma"/>
      <w:sz w:val="16"/>
      <w:szCs w:val="18"/>
      <w:lang w:val="en-US"/>
    </w:rPr>
  </w:style>
  <w:style w:type="table" w:styleId="Tablaconcuadrcula1clara">
    <w:name w:val="Grid Table 1 Light"/>
    <w:basedOn w:val="Tablanormal"/>
    <w:uiPriority w:val="46"/>
    <w:rsid w:val="00D230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D230CF"/>
    <w:pPr>
      <w:spacing w:after="200" w:line="252" w:lineRule="auto"/>
    </w:pPr>
    <w:rPr>
      <w:rFonts w:asciiTheme="majorHAnsi" w:eastAsiaTheme="majorEastAsia" w:hAnsiTheme="majorHAnsi" w:cstheme="maj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30CF"/>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NormalWeb">
    <w:name w:val="Normal (Web)"/>
    <w:basedOn w:val="Normal"/>
    <w:uiPriority w:val="99"/>
    <w:semiHidden/>
    <w:unhideWhenUsed/>
    <w:rsid w:val="00D230CF"/>
    <w:pPr>
      <w:spacing w:after="160" w:line="259" w:lineRule="auto"/>
    </w:pPr>
    <w:rPr>
      <w:rFonts w:eastAsiaTheme="minorHAnsi"/>
      <w:lang w:val="en-US" w:eastAsia="en-US"/>
    </w:rPr>
  </w:style>
  <w:style w:type="character" w:styleId="Hipervnculo">
    <w:name w:val="Hyperlink"/>
    <w:basedOn w:val="Fuentedeprrafopredeter"/>
    <w:uiPriority w:val="99"/>
    <w:unhideWhenUsed/>
    <w:rsid w:val="00D230CF"/>
    <w:rPr>
      <w:color w:val="0563C1" w:themeColor="hyperlink"/>
      <w:u w:val="single"/>
    </w:rPr>
  </w:style>
  <w:style w:type="character" w:styleId="Mencinsinresolver">
    <w:name w:val="Unresolved Mention"/>
    <w:basedOn w:val="Fuentedeprrafopredeter"/>
    <w:uiPriority w:val="99"/>
    <w:semiHidden/>
    <w:unhideWhenUsed/>
    <w:rsid w:val="00D230CF"/>
    <w:rPr>
      <w:color w:val="605E5C"/>
      <w:shd w:val="clear" w:color="auto" w:fill="E1DFDD"/>
    </w:rPr>
  </w:style>
  <w:style w:type="paragraph" w:styleId="Revisin">
    <w:name w:val="Revision"/>
    <w:hidden/>
    <w:uiPriority w:val="99"/>
    <w:semiHidden/>
    <w:rsid w:val="00D230CF"/>
    <w:rPr>
      <w:sz w:val="22"/>
      <w:szCs w:val="22"/>
      <w:lang w:val="en-US"/>
    </w:rPr>
  </w:style>
  <w:style w:type="paragraph" w:styleId="HTMLconformatoprevio">
    <w:name w:val="HTML Preformatted"/>
    <w:basedOn w:val="Normal"/>
    <w:link w:val="HTMLconformatoprevioCar"/>
    <w:uiPriority w:val="99"/>
    <w:semiHidden/>
    <w:unhideWhenUsed/>
    <w:rsid w:val="00D23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230CF"/>
    <w:rPr>
      <w:rFonts w:ascii="Courier New" w:eastAsia="Times New Roman" w:hAnsi="Courier New" w:cs="Courier New"/>
      <w:sz w:val="20"/>
      <w:szCs w:val="20"/>
      <w:lang w:val="en-GB" w:eastAsia="es-ES_tradnl"/>
    </w:rPr>
  </w:style>
  <w:style w:type="character" w:customStyle="1" w:styleId="y2iqfc">
    <w:name w:val="y2iqfc"/>
    <w:basedOn w:val="Fuentedeprrafopredeter"/>
    <w:rsid w:val="00D230CF"/>
  </w:style>
  <w:style w:type="paragraph" w:customStyle="1" w:styleId="Bibliografa1">
    <w:name w:val="Bibliografía1"/>
    <w:basedOn w:val="Normal"/>
    <w:link w:val="BibliographyCar"/>
    <w:rsid w:val="00D230CF"/>
    <w:pPr>
      <w:tabs>
        <w:tab w:val="left" w:pos="380"/>
      </w:tabs>
      <w:spacing w:line="480" w:lineRule="auto"/>
      <w:ind w:left="384" w:hanging="384"/>
      <w:jc w:val="both"/>
    </w:pPr>
    <w:rPr>
      <w:rFonts w:ascii="Arial" w:eastAsiaTheme="minorHAnsi" w:hAnsi="Arial" w:cs="Arial"/>
      <w:lang w:val="en-US" w:eastAsia="en-US"/>
    </w:rPr>
  </w:style>
  <w:style w:type="character" w:customStyle="1" w:styleId="BibliographyCar">
    <w:name w:val="Bibliography Car"/>
    <w:basedOn w:val="Fuentedeprrafopredeter"/>
    <w:link w:val="Bibliografa1"/>
    <w:rsid w:val="00D230CF"/>
    <w:rPr>
      <w:rFonts w:ascii="Arial" w:hAnsi="Arial" w:cs="Arial"/>
      <w:lang w:val="en-US"/>
    </w:rPr>
  </w:style>
  <w:style w:type="character" w:customStyle="1" w:styleId="anchor-text">
    <w:name w:val="anchor-text"/>
    <w:basedOn w:val="Fuentedeprrafopredeter"/>
    <w:rsid w:val="00D230CF"/>
  </w:style>
  <w:style w:type="numbering" w:styleId="111111">
    <w:name w:val="Outline List 2"/>
    <w:basedOn w:val="Sinlista"/>
    <w:uiPriority w:val="99"/>
    <w:semiHidden/>
    <w:unhideWhenUsed/>
    <w:rsid w:val="00D230CF"/>
    <w:pPr>
      <w:numPr>
        <w:numId w:val="1"/>
      </w:numPr>
    </w:pPr>
  </w:style>
  <w:style w:type="numbering" w:styleId="1ai">
    <w:name w:val="Outline List 1"/>
    <w:basedOn w:val="Sinlista"/>
    <w:uiPriority w:val="99"/>
    <w:semiHidden/>
    <w:unhideWhenUsed/>
    <w:rsid w:val="00D230CF"/>
    <w:pPr>
      <w:numPr>
        <w:numId w:val="2"/>
      </w:numPr>
    </w:pPr>
  </w:style>
  <w:style w:type="numbering" w:styleId="ArtculoSeccin">
    <w:name w:val="Outline List 3"/>
    <w:basedOn w:val="Sinlista"/>
    <w:uiPriority w:val="99"/>
    <w:semiHidden/>
    <w:unhideWhenUsed/>
    <w:rsid w:val="00D230CF"/>
    <w:pPr>
      <w:numPr>
        <w:numId w:val="3"/>
      </w:numPr>
    </w:pPr>
  </w:style>
  <w:style w:type="paragraph" w:styleId="Bibliografa">
    <w:name w:val="Bibliography"/>
    <w:basedOn w:val="Normal"/>
    <w:next w:val="Normal"/>
    <w:uiPriority w:val="37"/>
    <w:semiHidden/>
    <w:unhideWhenUsed/>
    <w:rsid w:val="00D230CF"/>
  </w:style>
  <w:style w:type="paragraph" w:styleId="Textodebloque">
    <w:name w:val="Block Text"/>
    <w:basedOn w:val="Normal"/>
    <w:uiPriority w:val="99"/>
    <w:semiHidden/>
    <w:unhideWhenUsed/>
    <w:rsid w:val="00D230C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oindependiente">
    <w:name w:val="Body Text"/>
    <w:basedOn w:val="Normal"/>
    <w:link w:val="TextoindependienteCar"/>
    <w:uiPriority w:val="99"/>
    <w:semiHidden/>
    <w:unhideWhenUsed/>
    <w:rsid w:val="00D230CF"/>
    <w:pPr>
      <w:spacing w:after="120"/>
    </w:pPr>
  </w:style>
  <w:style w:type="character" w:customStyle="1" w:styleId="TextoindependienteCar">
    <w:name w:val="Texto independiente Car"/>
    <w:basedOn w:val="Fuentedeprrafopredeter"/>
    <w:link w:val="Textoindependiente"/>
    <w:uiPriority w:val="99"/>
    <w:semiHidden/>
    <w:rsid w:val="00D230CF"/>
    <w:rPr>
      <w:rFonts w:ascii="Times New Roman" w:eastAsia="Times New Roman" w:hAnsi="Times New Roman" w:cs="Times New Roman"/>
      <w:lang w:val="en-GB" w:eastAsia="es-ES_tradnl"/>
    </w:rPr>
  </w:style>
  <w:style w:type="paragraph" w:styleId="Textoindependiente2">
    <w:name w:val="Body Text 2"/>
    <w:basedOn w:val="Normal"/>
    <w:link w:val="Textoindependiente2Car"/>
    <w:uiPriority w:val="99"/>
    <w:semiHidden/>
    <w:unhideWhenUsed/>
    <w:rsid w:val="00D230CF"/>
    <w:pPr>
      <w:spacing w:after="120" w:line="480" w:lineRule="auto"/>
    </w:pPr>
  </w:style>
  <w:style w:type="character" w:customStyle="1" w:styleId="Textoindependiente2Car">
    <w:name w:val="Texto independiente 2 Car"/>
    <w:basedOn w:val="Fuentedeprrafopredeter"/>
    <w:link w:val="Textoindependiente2"/>
    <w:uiPriority w:val="99"/>
    <w:semiHidden/>
    <w:rsid w:val="00D230CF"/>
    <w:rPr>
      <w:rFonts w:ascii="Times New Roman" w:eastAsia="Times New Roman" w:hAnsi="Times New Roman" w:cs="Times New Roman"/>
      <w:lang w:val="en-GB" w:eastAsia="es-ES_tradnl"/>
    </w:rPr>
  </w:style>
  <w:style w:type="paragraph" w:styleId="Textoindependiente3">
    <w:name w:val="Body Text 3"/>
    <w:basedOn w:val="Normal"/>
    <w:link w:val="Textoindependiente3Car"/>
    <w:uiPriority w:val="99"/>
    <w:semiHidden/>
    <w:unhideWhenUsed/>
    <w:rsid w:val="00D230C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230CF"/>
    <w:rPr>
      <w:rFonts w:ascii="Times New Roman" w:eastAsia="Times New Roman" w:hAnsi="Times New Roman" w:cs="Times New Roman"/>
      <w:sz w:val="16"/>
      <w:szCs w:val="16"/>
      <w:lang w:val="en-GB" w:eastAsia="es-ES_tradnl"/>
    </w:rPr>
  </w:style>
  <w:style w:type="paragraph" w:styleId="Textoindependienteprimerasangra">
    <w:name w:val="Body Text First Indent"/>
    <w:basedOn w:val="Textoindependiente"/>
    <w:link w:val="TextoindependienteprimerasangraCar"/>
    <w:uiPriority w:val="99"/>
    <w:semiHidden/>
    <w:unhideWhenUsed/>
    <w:rsid w:val="00D230C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D230CF"/>
    <w:rPr>
      <w:rFonts w:ascii="Times New Roman" w:eastAsia="Times New Roman" w:hAnsi="Times New Roman" w:cs="Times New Roman"/>
      <w:lang w:val="en-GB" w:eastAsia="es-ES_tradnl"/>
    </w:rPr>
  </w:style>
  <w:style w:type="paragraph" w:styleId="Sangradetextonormal">
    <w:name w:val="Body Text Indent"/>
    <w:basedOn w:val="Normal"/>
    <w:link w:val="SangradetextonormalCar"/>
    <w:uiPriority w:val="99"/>
    <w:semiHidden/>
    <w:unhideWhenUsed/>
    <w:rsid w:val="00D230CF"/>
    <w:pPr>
      <w:spacing w:after="120"/>
      <w:ind w:left="360"/>
    </w:pPr>
  </w:style>
  <w:style w:type="character" w:customStyle="1" w:styleId="SangradetextonormalCar">
    <w:name w:val="Sangría de texto normal Car"/>
    <w:basedOn w:val="Fuentedeprrafopredeter"/>
    <w:link w:val="Sangradetextonormal"/>
    <w:uiPriority w:val="99"/>
    <w:semiHidden/>
    <w:rsid w:val="00D230CF"/>
    <w:rPr>
      <w:rFonts w:ascii="Times New Roman" w:eastAsia="Times New Roman" w:hAnsi="Times New Roman" w:cs="Times New Roman"/>
      <w:lang w:val="en-GB" w:eastAsia="es-ES_tradnl"/>
    </w:rPr>
  </w:style>
  <w:style w:type="paragraph" w:styleId="Textoindependienteprimerasangra2">
    <w:name w:val="Body Text First Indent 2"/>
    <w:basedOn w:val="Sangradetextonormal"/>
    <w:link w:val="Textoindependienteprimerasangra2Car"/>
    <w:uiPriority w:val="99"/>
    <w:semiHidden/>
    <w:unhideWhenUsed/>
    <w:rsid w:val="00D230CF"/>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230CF"/>
    <w:rPr>
      <w:rFonts w:ascii="Times New Roman" w:eastAsia="Times New Roman" w:hAnsi="Times New Roman" w:cs="Times New Roman"/>
      <w:lang w:val="en-GB" w:eastAsia="es-ES_tradnl"/>
    </w:rPr>
  </w:style>
  <w:style w:type="paragraph" w:styleId="Sangra2detindependiente">
    <w:name w:val="Body Text Indent 2"/>
    <w:basedOn w:val="Normal"/>
    <w:link w:val="Sangra2detindependienteCar"/>
    <w:uiPriority w:val="99"/>
    <w:semiHidden/>
    <w:unhideWhenUsed/>
    <w:rsid w:val="00D230CF"/>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D230CF"/>
    <w:rPr>
      <w:rFonts w:ascii="Times New Roman" w:eastAsia="Times New Roman" w:hAnsi="Times New Roman" w:cs="Times New Roman"/>
      <w:lang w:val="en-GB" w:eastAsia="es-ES_tradnl"/>
    </w:rPr>
  </w:style>
  <w:style w:type="paragraph" w:styleId="Sangra3detindependiente">
    <w:name w:val="Body Text Indent 3"/>
    <w:basedOn w:val="Normal"/>
    <w:link w:val="Sangra3detindependienteCar"/>
    <w:uiPriority w:val="99"/>
    <w:semiHidden/>
    <w:unhideWhenUsed/>
    <w:rsid w:val="00D230CF"/>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D230CF"/>
    <w:rPr>
      <w:rFonts w:ascii="Times New Roman" w:eastAsia="Times New Roman" w:hAnsi="Times New Roman" w:cs="Times New Roman"/>
      <w:sz w:val="16"/>
      <w:szCs w:val="16"/>
      <w:lang w:val="en-GB" w:eastAsia="es-ES_tradnl"/>
    </w:rPr>
  </w:style>
  <w:style w:type="character" w:styleId="Ttulodellibro">
    <w:name w:val="Book Title"/>
    <w:basedOn w:val="Fuentedeprrafopredeter"/>
    <w:uiPriority w:val="33"/>
    <w:qFormat/>
    <w:rsid w:val="00D230CF"/>
    <w:rPr>
      <w:b/>
      <w:bCs/>
      <w:i/>
      <w:iCs/>
      <w:spacing w:val="5"/>
    </w:rPr>
  </w:style>
  <w:style w:type="paragraph" w:styleId="Descripcin">
    <w:name w:val="caption"/>
    <w:basedOn w:val="Normal"/>
    <w:next w:val="Normal"/>
    <w:uiPriority w:val="35"/>
    <w:semiHidden/>
    <w:unhideWhenUsed/>
    <w:qFormat/>
    <w:rsid w:val="00D230CF"/>
    <w:pPr>
      <w:spacing w:after="200"/>
    </w:pPr>
    <w:rPr>
      <w:i/>
      <w:iCs/>
      <w:color w:val="44546A" w:themeColor="text2"/>
      <w:sz w:val="18"/>
      <w:szCs w:val="18"/>
    </w:rPr>
  </w:style>
  <w:style w:type="paragraph" w:styleId="Cierre">
    <w:name w:val="Closing"/>
    <w:basedOn w:val="Normal"/>
    <w:link w:val="CierreCar"/>
    <w:uiPriority w:val="99"/>
    <w:semiHidden/>
    <w:unhideWhenUsed/>
    <w:rsid w:val="00D230CF"/>
    <w:pPr>
      <w:ind w:left="4320"/>
    </w:pPr>
  </w:style>
  <w:style w:type="character" w:customStyle="1" w:styleId="CierreCar">
    <w:name w:val="Cierre Car"/>
    <w:basedOn w:val="Fuentedeprrafopredeter"/>
    <w:link w:val="Cierre"/>
    <w:uiPriority w:val="99"/>
    <w:semiHidden/>
    <w:rsid w:val="00D230CF"/>
    <w:rPr>
      <w:rFonts w:ascii="Times New Roman" w:eastAsia="Times New Roman" w:hAnsi="Times New Roman" w:cs="Times New Roman"/>
      <w:lang w:val="en-GB" w:eastAsia="es-ES_tradnl"/>
    </w:rPr>
  </w:style>
  <w:style w:type="table" w:styleId="Cuadrculavistosa">
    <w:name w:val="Colorful Grid"/>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semiHidden/>
    <w:unhideWhenUsed/>
    <w:rsid w:val="00D230CF"/>
    <w:rPr>
      <w:color w:val="000000" w:themeColor="text1"/>
      <w:sz w:val="22"/>
      <w:szCs w:val="22"/>
      <w:lang w:val="es-PR"/>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vistosa">
    <w:name w:val="Colorful List"/>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semiHidden/>
    <w:unhideWhenUsed/>
    <w:rsid w:val="00D230CF"/>
    <w:rPr>
      <w:color w:val="000000" w:themeColor="text1"/>
      <w:sz w:val="22"/>
      <w:szCs w:val="22"/>
      <w:lang w:val="es-PR"/>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vistoso">
    <w:name w:val="Colorful Shading"/>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D230CF"/>
    <w:rPr>
      <w:color w:val="000000" w:themeColor="text1"/>
      <w:sz w:val="22"/>
      <w:szCs w:val="22"/>
      <w:lang w:val="es-PR"/>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semiHidden/>
    <w:unhideWhenUsed/>
    <w:rsid w:val="00D230CF"/>
    <w:rPr>
      <w:color w:val="FFFFFF" w:themeColor="background1"/>
      <w:sz w:val="22"/>
      <w:szCs w:val="22"/>
      <w:lang w:val="es-PR"/>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Fecha">
    <w:name w:val="Date"/>
    <w:basedOn w:val="Normal"/>
    <w:next w:val="Normal"/>
    <w:link w:val="FechaCar"/>
    <w:uiPriority w:val="99"/>
    <w:semiHidden/>
    <w:unhideWhenUsed/>
    <w:rsid w:val="00D230CF"/>
  </w:style>
  <w:style w:type="character" w:customStyle="1" w:styleId="FechaCar">
    <w:name w:val="Fecha Car"/>
    <w:basedOn w:val="Fuentedeprrafopredeter"/>
    <w:link w:val="Fecha"/>
    <w:uiPriority w:val="99"/>
    <w:semiHidden/>
    <w:rsid w:val="00D230CF"/>
    <w:rPr>
      <w:rFonts w:ascii="Times New Roman" w:eastAsia="Times New Roman" w:hAnsi="Times New Roman" w:cs="Times New Roman"/>
      <w:lang w:val="en-GB" w:eastAsia="es-ES_tradnl"/>
    </w:rPr>
  </w:style>
  <w:style w:type="paragraph" w:styleId="Mapadeldocumento">
    <w:name w:val="Document Map"/>
    <w:basedOn w:val="Normal"/>
    <w:link w:val="MapadeldocumentoCar"/>
    <w:uiPriority w:val="99"/>
    <w:semiHidden/>
    <w:unhideWhenUsed/>
    <w:rsid w:val="00D230CF"/>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D230CF"/>
    <w:rPr>
      <w:rFonts w:ascii="Segoe UI" w:eastAsia="Times New Roman" w:hAnsi="Segoe UI" w:cs="Segoe UI"/>
      <w:sz w:val="16"/>
      <w:szCs w:val="16"/>
      <w:lang w:val="en-GB" w:eastAsia="es-ES_tradnl"/>
    </w:rPr>
  </w:style>
  <w:style w:type="paragraph" w:styleId="Firmadecorreoelectrnico">
    <w:name w:val="E-mail Signature"/>
    <w:basedOn w:val="Normal"/>
    <w:link w:val="FirmadecorreoelectrnicoCar"/>
    <w:uiPriority w:val="99"/>
    <w:semiHidden/>
    <w:unhideWhenUsed/>
    <w:rsid w:val="00D230CF"/>
  </w:style>
  <w:style w:type="character" w:customStyle="1" w:styleId="FirmadecorreoelectrnicoCar">
    <w:name w:val="Firma de correo electrónico Car"/>
    <w:basedOn w:val="Fuentedeprrafopredeter"/>
    <w:link w:val="Firmadecorreoelectrnico"/>
    <w:uiPriority w:val="99"/>
    <w:semiHidden/>
    <w:rsid w:val="00D230CF"/>
    <w:rPr>
      <w:rFonts w:ascii="Times New Roman" w:eastAsia="Times New Roman" w:hAnsi="Times New Roman" w:cs="Times New Roman"/>
      <w:lang w:val="en-GB" w:eastAsia="es-ES_tradnl"/>
    </w:rPr>
  </w:style>
  <w:style w:type="character" w:styleId="nfasis">
    <w:name w:val="Emphasis"/>
    <w:basedOn w:val="Fuentedeprrafopredeter"/>
    <w:uiPriority w:val="20"/>
    <w:qFormat/>
    <w:rsid w:val="00D230CF"/>
    <w:rPr>
      <w:i/>
      <w:iCs/>
    </w:rPr>
  </w:style>
  <w:style w:type="character" w:styleId="Refdenotaalfinal">
    <w:name w:val="endnote reference"/>
    <w:basedOn w:val="Fuentedeprrafopredeter"/>
    <w:uiPriority w:val="99"/>
    <w:semiHidden/>
    <w:unhideWhenUsed/>
    <w:rsid w:val="00D230CF"/>
    <w:rPr>
      <w:vertAlign w:val="superscript"/>
    </w:rPr>
  </w:style>
  <w:style w:type="paragraph" w:styleId="Textonotaalfinal">
    <w:name w:val="endnote text"/>
    <w:basedOn w:val="Normal"/>
    <w:link w:val="TextonotaalfinalCar"/>
    <w:uiPriority w:val="99"/>
    <w:semiHidden/>
    <w:unhideWhenUsed/>
    <w:rsid w:val="00D230CF"/>
    <w:rPr>
      <w:sz w:val="20"/>
      <w:szCs w:val="20"/>
    </w:rPr>
  </w:style>
  <w:style w:type="character" w:customStyle="1" w:styleId="TextonotaalfinalCar">
    <w:name w:val="Texto nota al final Car"/>
    <w:basedOn w:val="Fuentedeprrafopredeter"/>
    <w:link w:val="Textonotaalfinal"/>
    <w:uiPriority w:val="99"/>
    <w:semiHidden/>
    <w:rsid w:val="00D230CF"/>
    <w:rPr>
      <w:rFonts w:ascii="Times New Roman" w:eastAsia="Times New Roman" w:hAnsi="Times New Roman" w:cs="Times New Roman"/>
      <w:sz w:val="20"/>
      <w:szCs w:val="20"/>
      <w:lang w:val="en-GB" w:eastAsia="es-ES_tradnl"/>
    </w:rPr>
  </w:style>
  <w:style w:type="paragraph" w:styleId="Direccinsobre">
    <w:name w:val="envelope address"/>
    <w:basedOn w:val="Normal"/>
    <w:uiPriority w:val="99"/>
    <w:semiHidden/>
    <w:unhideWhenUsed/>
    <w:rsid w:val="00D230CF"/>
    <w:pPr>
      <w:framePr w:w="7920" w:h="1980" w:hRule="exact" w:hSpace="180" w:wrap="auto" w:hAnchor="page" w:xAlign="center" w:yAlign="bottom"/>
      <w:ind w:left="2880"/>
    </w:pPr>
    <w:rPr>
      <w:rFonts w:asciiTheme="majorHAnsi" w:eastAsiaTheme="majorEastAsia" w:hAnsiTheme="majorHAnsi" w:cstheme="majorBidi"/>
    </w:rPr>
  </w:style>
  <w:style w:type="paragraph" w:styleId="Remitedesobre">
    <w:name w:val="envelope return"/>
    <w:basedOn w:val="Normal"/>
    <w:uiPriority w:val="99"/>
    <w:semiHidden/>
    <w:unhideWhenUsed/>
    <w:rsid w:val="00D230CF"/>
    <w:rPr>
      <w:rFonts w:asciiTheme="majorHAnsi" w:eastAsiaTheme="majorEastAsia" w:hAnsiTheme="majorHAnsi" w:cstheme="majorBidi"/>
      <w:sz w:val="20"/>
      <w:szCs w:val="20"/>
    </w:rPr>
  </w:style>
  <w:style w:type="character" w:styleId="Hipervnculovisitado">
    <w:name w:val="FollowedHyperlink"/>
    <w:basedOn w:val="Fuentedeprrafopredeter"/>
    <w:uiPriority w:val="99"/>
    <w:semiHidden/>
    <w:unhideWhenUsed/>
    <w:rsid w:val="00D230CF"/>
    <w:rPr>
      <w:color w:val="954F72" w:themeColor="followedHyperlink"/>
      <w:u w:val="single"/>
    </w:rPr>
  </w:style>
  <w:style w:type="paragraph" w:styleId="Piedepgina">
    <w:name w:val="footer"/>
    <w:basedOn w:val="Normal"/>
    <w:link w:val="PiedepginaCar"/>
    <w:uiPriority w:val="99"/>
    <w:semiHidden/>
    <w:unhideWhenUsed/>
    <w:rsid w:val="00D230CF"/>
    <w:pPr>
      <w:tabs>
        <w:tab w:val="center" w:pos="4680"/>
        <w:tab w:val="right" w:pos="9360"/>
      </w:tabs>
    </w:pPr>
  </w:style>
  <w:style w:type="character" w:customStyle="1" w:styleId="PiedepginaCar">
    <w:name w:val="Pie de página Car"/>
    <w:basedOn w:val="Fuentedeprrafopredeter"/>
    <w:link w:val="Piedepgina"/>
    <w:uiPriority w:val="99"/>
    <w:semiHidden/>
    <w:rsid w:val="00D230CF"/>
    <w:rPr>
      <w:rFonts w:ascii="Times New Roman" w:eastAsia="Times New Roman" w:hAnsi="Times New Roman" w:cs="Times New Roman"/>
      <w:lang w:val="en-GB" w:eastAsia="es-ES_tradnl"/>
    </w:rPr>
  </w:style>
  <w:style w:type="character" w:styleId="Refdenotaalpie">
    <w:name w:val="footnote reference"/>
    <w:basedOn w:val="Fuentedeprrafopredeter"/>
    <w:uiPriority w:val="99"/>
    <w:semiHidden/>
    <w:unhideWhenUsed/>
    <w:rsid w:val="00D230CF"/>
    <w:rPr>
      <w:vertAlign w:val="superscript"/>
    </w:rPr>
  </w:style>
  <w:style w:type="paragraph" w:styleId="Textonotapie">
    <w:name w:val="footnote text"/>
    <w:basedOn w:val="Normal"/>
    <w:link w:val="TextonotapieCar"/>
    <w:uiPriority w:val="99"/>
    <w:semiHidden/>
    <w:unhideWhenUsed/>
    <w:rsid w:val="00D230CF"/>
    <w:rPr>
      <w:sz w:val="20"/>
      <w:szCs w:val="20"/>
    </w:rPr>
  </w:style>
  <w:style w:type="character" w:customStyle="1" w:styleId="TextonotapieCar">
    <w:name w:val="Texto nota pie Car"/>
    <w:basedOn w:val="Fuentedeprrafopredeter"/>
    <w:link w:val="Textonotapie"/>
    <w:uiPriority w:val="99"/>
    <w:semiHidden/>
    <w:rsid w:val="00D230CF"/>
    <w:rPr>
      <w:rFonts w:ascii="Times New Roman" w:eastAsia="Times New Roman" w:hAnsi="Times New Roman" w:cs="Times New Roman"/>
      <w:sz w:val="20"/>
      <w:szCs w:val="20"/>
      <w:lang w:val="en-GB" w:eastAsia="es-ES_tradnl"/>
    </w:rPr>
  </w:style>
  <w:style w:type="table" w:styleId="Tablaconcuadrcula1clara-nfasis1">
    <w:name w:val="Grid Table 1 Light Accent 1"/>
    <w:basedOn w:val="Tablanormal"/>
    <w:uiPriority w:val="46"/>
    <w:rsid w:val="00D230CF"/>
    <w:rPr>
      <w:sz w:val="22"/>
      <w:szCs w:val="22"/>
      <w:lang w:val="es-P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D230CF"/>
    <w:rPr>
      <w:sz w:val="22"/>
      <w:szCs w:val="22"/>
      <w:lang w:val="es-PR"/>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D230CF"/>
    <w:rPr>
      <w:sz w:val="22"/>
      <w:szCs w:val="22"/>
      <w:lang w:val="es-PR"/>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D230CF"/>
    <w:rPr>
      <w:sz w:val="22"/>
      <w:szCs w:val="22"/>
      <w:lang w:val="es-PR"/>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D230CF"/>
    <w:rPr>
      <w:sz w:val="22"/>
      <w:szCs w:val="22"/>
      <w:lang w:val="es-PR"/>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D230CF"/>
    <w:rPr>
      <w:sz w:val="22"/>
      <w:szCs w:val="22"/>
      <w:lang w:val="es-PR"/>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D230CF"/>
    <w:rPr>
      <w:sz w:val="22"/>
      <w:szCs w:val="22"/>
      <w:lang w:val="es-PR"/>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D230CF"/>
    <w:rPr>
      <w:sz w:val="22"/>
      <w:szCs w:val="22"/>
      <w:lang w:val="es-PR"/>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2">
    <w:name w:val="Grid Table 2 Accent 2"/>
    <w:basedOn w:val="Tablanormal"/>
    <w:uiPriority w:val="47"/>
    <w:rsid w:val="00D230CF"/>
    <w:rPr>
      <w:sz w:val="22"/>
      <w:szCs w:val="22"/>
      <w:lang w:val="es-PR"/>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3">
    <w:name w:val="Grid Table 2 Accent 3"/>
    <w:basedOn w:val="Tablanormal"/>
    <w:uiPriority w:val="47"/>
    <w:rsid w:val="00D230CF"/>
    <w:rPr>
      <w:sz w:val="22"/>
      <w:szCs w:val="22"/>
      <w:lang w:val="es-PR"/>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4">
    <w:name w:val="Grid Table 2 Accent 4"/>
    <w:basedOn w:val="Tablanormal"/>
    <w:uiPriority w:val="47"/>
    <w:rsid w:val="00D230CF"/>
    <w:rPr>
      <w:sz w:val="22"/>
      <w:szCs w:val="22"/>
      <w:lang w:val="es-PR"/>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D230CF"/>
    <w:rPr>
      <w:sz w:val="22"/>
      <w:szCs w:val="22"/>
      <w:lang w:val="es-PR"/>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6">
    <w:name w:val="Grid Table 2 Accent 6"/>
    <w:basedOn w:val="Tablanormal"/>
    <w:uiPriority w:val="47"/>
    <w:rsid w:val="00D230CF"/>
    <w:rPr>
      <w:sz w:val="22"/>
      <w:szCs w:val="22"/>
      <w:lang w:val="es-PR"/>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D230CF"/>
    <w:rPr>
      <w:sz w:val="22"/>
      <w:szCs w:val="22"/>
      <w:lang w:val="es-P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D230CF"/>
    <w:rPr>
      <w:sz w:val="22"/>
      <w:szCs w:val="22"/>
      <w:lang w:val="es-P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3-nfasis2">
    <w:name w:val="Grid Table 3 Accent 2"/>
    <w:basedOn w:val="Tablanormal"/>
    <w:uiPriority w:val="48"/>
    <w:rsid w:val="00D230CF"/>
    <w:rPr>
      <w:sz w:val="22"/>
      <w:szCs w:val="22"/>
      <w:lang w:val="es-P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3">
    <w:name w:val="Grid Table 3 Accent 3"/>
    <w:basedOn w:val="Tablanormal"/>
    <w:uiPriority w:val="48"/>
    <w:rsid w:val="00D230CF"/>
    <w:rPr>
      <w:sz w:val="22"/>
      <w:szCs w:val="22"/>
      <w:lang w:val="es-P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D230CF"/>
    <w:rPr>
      <w:sz w:val="22"/>
      <w:szCs w:val="22"/>
      <w:lang w:val="es-P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D230CF"/>
    <w:rPr>
      <w:sz w:val="22"/>
      <w:szCs w:val="22"/>
      <w:lang w:val="es-P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3-nfasis6">
    <w:name w:val="Grid Table 3 Accent 6"/>
    <w:basedOn w:val="Tablanormal"/>
    <w:uiPriority w:val="48"/>
    <w:rsid w:val="00D230CF"/>
    <w:rPr>
      <w:sz w:val="22"/>
      <w:szCs w:val="22"/>
      <w:lang w:val="es-P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D230CF"/>
    <w:rPr>
      <w:sz w:val="22"/>
      <w:szCs w:val="22"/>
      <w:lang w:val="es-P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D230CF"/>
    <w:rPr>
      <w:sz w:val="22"/>
      <w:szCs w:val="22"/>
      <w:lang w:val="es-P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D230CF"/>
    <w:rPr>
      <w:sz w:val="22"/>
      <w:szCs w:val="22"/>
      <w:lang w:val="es-P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D230CF"/>
    <w:rPr>
      <w:sz w:val="22"/>
      <w:szCs w:val="22"/>
      <w:lang w:val="es-P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D230CF"/>
    <w:rPr>
      <w:sz w:val="22"/>
      <w:szCs w:val="22"/>
      <w:lang w:val="es-P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D230CF"/>
    <w:rPr>
      <w:sz w:val="22"/>
      <w:szCs w:val="22"/>
      <w:lang w:val="es-P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D230CF"/>
    <w:rPr>
      <w:sz w:val="22"/>
      <w:szCs w:val="22"/>
      <w:lang w:val="es-P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2">
    <w:name w:val="Grid Table 5 Dark Accent 2"/>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4">
    <w:name w:val="Grid Table 5 Dark Accent 4"/>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6">
    <w:name w:val="Grid Table 5 Dark Accent 6"/>
    <w:basedOn w:val="Tablanormal"/>
    <w:uiPriority w:val="50"/>
    <w:rsid w:val="00D230CF"/>
    <w:rPr>
      <w:sz w:val="22"/>
      <w:szCs w:val="22"/>
      <w:lang w:val="es-P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
    <w:name w:val="Grid Table 6 Colorful"/>
    <w:basedOn w:val="Tablanormal"/>
    <w:uiPriority w:val="51"/>
    <w:rsid w:val="00D230CF"/>
    <w:rPr>
      <w:color w:val="000000" w:themeColor="text1"/>
      <w:sz w:val="22"/>
      <w:szCs w:val="22"/>
      <w:lang w:val="es-P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D230CF"/>
    <w:rPr>
      <w:color w:val="2F5496" w:themeColor="accent1" w:themeShade="BF"/>
      <w:sz w:val="22"/>
      <w:szCs w:val="22"/>
      <w:lang w:val="es-P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2">
    <w:name w:val="Grid Table 6 Colorful Accent 2"/>
    <w:basedOn w:val="Tablanormal"/>
    <w:uiPriority w:val="51"/>
    <w:rsid w:val="00D230CF"/>
    <w:rPr>
      <w:color w:val="C45911" w:themeColor="accent2" w:themeShade="BF"/>
      <w:sz w:val="22"/>
      <w:szCs w:val="22"/>
      <w:lang w:val="es-P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D230CF"/>
    <w:rPr>
      <w:color w:val="7B7B7B" w:themeColor="accent3" w:themeShade="BF"/>
      <w:sz w:val="22"/>
      <w:szCs w:val="22"/>
      <w:lang w:val="es-P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4">
    <w:name w:val="Grid Table 6 Colorful Accent 4"/>
    <w:basedOn w:val="Tablanormal"/>
    <w:uiPriority w:val="51"/>
    <w:rsid w:val="00D230CF"/>
    <w:rPr>
      <w:color w:val="BF8F00" w:themeColor="accent4" w:themeShade="BF"/>
      <w:sz w:val="22"/>
      <w:szCs w:val="22"/>
      <w:lang w:val="es-P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5">
    <w:name w:val="Grid Table 6 Colorful Accent 5"/>
    <w:basedOn w:val="Tablanormal"/>
    <w:uiPriority w:val="51"/>
    <w:rsid w:val="00D230CF"/>
    <w:rPr>
      <w:color w:val="2E74B5" w:themeColor="accent5" w:themeShade="BF"/>
      <w:sz w:val="22"/>
      <w:szCs w:val="22"/>
      <w:lang w:val="es-P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D230CF"/>
    <w:rPr>
      <w:color w:val="538135" w:themeColor="accent6" w:themeShade="BF"/>
      <w:sz w:val="22"/>
      <w:szCs w:val="22"/>
      <w:lang w:val="es-P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
    <w:name w:val="Grid Table 7 Colorful"/>
    <w:basedOn w:val="Tablanormal"/>
    <w:uiPriority w:val="52"/>
    <w:rsid w:val="00D230CF"/>
    <w:rPr>
      <w:color w:val="000000" w:themeColor="text1"/>
      <w:sz w:val="22"/>
      <w:szCs w:val="22"/>
      <w:lang w:val="es-P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D230CF"/>
    <w:rPr>
      <w:color w:val="2F5496" w:themeColor="accent1" w:themeShade="BF"/>
      <w:sz w:val="22"/>
      <w:szCs w:val="22"/>
      <w:lang w:val="es-P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7concolores-nfasis2">
    <w:name w:val="Grid Table 7 Colorful Accent 2"/>
    <w:basedOn w:val="Tablanormal"/>
    <w:uiPriority w:val="52"/>
    <w:rsid w:val="00D230CF"/>
    <w:rPr>
      <w:color w:val="C45911" w:themeColor="accent2" w:themeShade="BF"/>
      <w:sz w:val="22"/>
      <w:szCs w:val="22"/>
      <w:lang w:val="es-P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7concolores-nfasis3">
    <w:name w:val="Grid Table 7 Colorful Accent 3"/>
    <w:basedOn w:val="Tablanormal"/>
    <w:uiPriority w:val="52"/>
    <w:rsid w:val="00D230CF"/>
    <w:rPr>
      <w:color w:val="7B7B7B" w:themeColor="accent3" w:themeShade="BF"/>
      <w:sz w:val="22"/>
      <w:szCs w:val="22"/>
      <w:lang w:val="es-P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7concolores-nfasis4">
    <w:name w:val="Grid Table 7 Colorful Accent 4"/>
    <w:basedOn w:val="Tablanormal"/>
    <w:uiPriority w:val="52"/>
    <w:rsid w:val="00D230CF"/>
    <w:rPr>
      <w:color w:val="BF8F00" w:themeColor="accent4" w:themeShade="BF"/>
      <w:sz w:val="22"/>
      <w:szCs w:val="22"/>
      <w:lang w:val="es-P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7concolores-nfasis5">
    <w:name w:val="Grid Table 7 Colorful Accent 5"/>
    <w:basedOn w:val="Tablanormal"/>
    <w:uiPriority w:val="52"/>
    <w:rsid w:val="00D230CF"/>
    <w:rPr>
      <w:color w:val="2E74B5" w:themeColor="accent5" w:themeShade="BF"/>
      <w:sz w:val="22"/>
      <w:szCs w:val="22"/>
      <w:lang w:val="es-P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7concolores-nfasis6">
    <w:name w:val="Grid Table 7 Colorful Accent 6"/>
    <w:basedOn w:val="Tablanormal"/>
    <w:uiPriority w:val="52"/>
    <w:rsid w:val="00D230CF"/>
    <w:rPr>
      <w:color w:val="538135" w:themeColor="accent6" w:themeShade="BF"/>
      <w:sz w:val="22"/>
      <w:szCs w:val="22"/>
      <w:lang w:val="es-P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Fuentedeprrafopredeter"/>
    <w:uiPriority w:val="99"/>
    <w:semiHidden/>
    <w:unhideWhenUsed/>
    <w:rsid w:val="00D230CF"/>
    <w:rPr>
      <w:color w:val="2B579A"/>
      <w:shd w:val="clear" w:color="auto" w:fill="E1DFDD"/>
    </w:rPr>
  </w:style>
  <w:style w:type="paragraph" w:styleId="Encabezado">
    <w:name w:val="header"/>
    <w:basedOn w:val="Normal"/>
    <w:link w:val="EncabezadoCar"/>
    <w:uiPriority w:val="99"/>
    <w:semiHidden/>
    <w:unhideWhenUsed/>
    <w:rsid w:val="00D230CF"/>
    <w:pPr>
      <w:tabs>
        <w:tab w:val="center" w:pos="4680"/>
        <w:tab w:val="right" w:pos="9360"/>
      </w:tabs>
    </w:pPr>
  </w:style>
  <w:style w:type="character" w:customStyle="1" w:styleId="EncabezadoCar">
    <w:name w:val="Encabezado Car"/>
    <w:basedOn w:val="Fuentedeprrafopredeter"/>
    <w:link w:val="Encabezado"/>
    <w:uiPriority w:val="99"/>
    <w:semiHidden/>
    <w:rsid w:val="00D230CF"/>
    <w:rPr>
      <w:rFonts w:ascii="Times New Roman" w:eastAsia="Times New Roman" w:hAnsi="Times New Roman" w:cs="Times New Roman"/>
      <w:lang w:val="en-GB" w:eastAsia="es-ES_tradnl"/>
    </w:rPr>
  </w:style>
  <w:style w:type="character" w:styleId="AcrnimoHTML">
    <w:name w:val="HTML Acronym"/>
    <w:basedOn w:val="Fuentedeprrafopredeter"/>
    <w:uiPriority w:val="99"/>
    <w:semiHidden/>
    <w:unhideWhenUsed/>
    <w:rsid w:val="00D230CF"/>
  </w:style>
  <w:style w:type="paragraph" w:styleId="DireccinHTML">
    <w:name w:val="HTML Address"/>
    <w:basedOn w:val="Normal"/>
    <w:link w:val="DireccinHTMLCar"/>
    <w:uiPriority w:val="99"/>
    <w:semiHidden/>
    <w:unhideWhenUsed/>
    <w:rsid w:val="00D230CF"/>
    <w:rPr>
      <w:i/>
      <w:iCs/>
    </w:rPr>
  </w:style>
  <w:style w:type="character" w:customStyle="1" w:styleId="DireccinHTMLCar">
    <w:name w:val="Dirección HTML Car"/>
    <w:basedOn w:val="Fuentedeprrafopredeter"/>
    <w:link w:val="DireccinHTML"/>
    <w:uiPriority w:val="99"/>
    <w:semiHidden/>
    <w:rsid w:val="00D230CF"/>
    <w:rPr>
      <w:rFonts w:ascii="Times New Roman" w:eastAsia="Times New Roman" w:hAnsi="Times New Roman" w:cs="Times New Roman"/>
      <w:i/>
      <w:iCs/>
      <w:lang w:val="en-GB" w:eastAsia="es-ES_tradnl"/>
    </w:rPr>
  </w:style>
  <w:style w:type="character" w:styleId="CitaHTML">
    <w:name w:val="HTML Cite"/>
    <w:basedOn w:val="Fuentedeprrafopredeter"/>
    <w:uiPriority w:val="99"/>
    <w:semiHidden/>
    <w:unhideWhenUsed/>
    <w:rsid w:val="00D230CF"/>
    <w:rPr>
      <w:i/>
      <w:iCs/>
    </w:rPr>
  </w:style>
  <w:style w:type="character" w:styleId="CdigoHTML">
    <w:name w:val="HTML Code"/>
    <w:basedOn w:val="Fuentedeprrafopredeter"/>
    <w:uiPriority w:val="99"/>
    <w:semiHidden/>
    <w:unhideWhenUsed/>
    <w:rsid w:val="00D230CF"/>
    <w:rPr>
      <w:rFonts w:ascii="Consolas" w:hAnsi="Consolas"/>
      <w:sz w:val="20"/>
      <w:szCs w:val="20"/>
    </w:rPr>
  </w:style>
  <w:style w:type="character" w:styleId="DefinicinHTML">
    <w:name w:val="HTML Definition"/>
    <w:basedOn w:val="Fuentedeprrafopredeter"/>
    <w:uiPriority w:val="99"/>
    <w:semiHidden/>
    <w:unhideWhenUsed/>
    <w:rsid w:val="00D230CF"/>
    <w:rPr>
      <w:i/>
      <w:iCs/>
    </w:rPr>
  </w:style>
  <w:style w:type="character" w:styleId="TecladoHTML">
    <w:name w:val="HTML Keyboard"/>
    <w:basedOn w:val="Fuentedeprrafopredeter"/>
    <w:uiPriority w:val="99"/>
    <w:semiHidden/>
    <w:unhideWhenUsed/>
    <w:rsid w:val="00D230CF"/>
    <w:rPr>
      <w:rFonts w:ascii="Consolas" w:hAnsi="Consolas"/>
      <w:sz w:val="20"/>
      <w:szCs w:val="20"/>
    </w:rPr>
  </w:style>
  <w:style w:type="character" w:styleId="EjemplodeHTML">
    <w:name w:val="HTML Sample"/>
    <w:basedOn w:val="Fuentedeprrafopredeter"/>
    <w:uiPriority w:val="99"/>
    <w:semiHidden/>
    <w:unhideWhenUsed/>
    <w:rsid w:val="00D230CF"/>
    <w:rPr>
      <w:rFonts w:ascii="Consolas" w:hAnsi="Consolas"/>
      <w:sz w:val="24"/>
      <w:szCs w:val="24"/>
    </w:rPr>
  </w:style>
  <w:style w:type="character" w:styleId="MquinadeescribirHTML">
    <w:name w:val="HTML Typewriter"/>
    <w:basedOn w:val="Fuentedeprrafopredeter"/>
    <w:uiPriority w:val="99"/>
    <w:semiHidden/>
    <w:unhideWhenUsed/>
    <w:rsid w:val="00D230CF"/>
    <w:rPr>
      <w:rFonts w:ascii="Consolas" w:hAnsi="Consolas"/>
      <w:sz w:val="20"/>
      <w:szCs w:val="20"/>
    </w:rPr>
  </w:style>
  <w:style w:type="character" w:styleId="VariableHTML">
    <w:name w:val="HTML Variable"/>
    <w:basedOn w:val="Fuentedeprrafopredeter"/>
    <w:uiPriority w:val="99"/>
    <w:semiHidden/>
    <w:unhideWhenUsed/>
    <w:rsid w:val="00D230CF"/>
    <w:rPr>
      <w:i/>
      <w:iCs/>
    </w:rPr>
  </w:style>
  <w:style w:type="paragraph" w:styleId="ndice1">
    <w:name w:val="index 1"/>
    <w:basedOn w:val="Normal"/>
    <w:next w:val="Normal"/>
    <w:uiPriority w:val="99"/>
    <w:semiHidden/>
    <w:unhideWhenUsed/>
    <w:rsid w:val="00D230CF"/>
    <w:pPr>
      <w:ind w:left="240" w:hanging="240"/>
    </w:pPr>
  </w:style>
  <w:style w:type="paragraph" w:styleId="ndice2">
    <w:name w:val="index 2"/>
    <w:basedOn w:val="Normal"/>
    <w:next w:val="Normal"/>
    <w:uiPriority w:val="99"/>
    <w:semiHidden/>
    <w:unhideWhenUsed/>
    <w:rsid w:val="00D230CF"/>
    <w:pPr>
      <w:ind w:left="480" w:hanging="240"/>
    </w:pPr>
  </w:style>
  <w:style w:type="paragraph" w:styleId="ndice3">
    <w:name w:val="index 3"/>
    <w:basedOn w:val="Normal"/>
    <w:next w:val="Normal"/>
    <w:uiPriority w:val="99"/>
    <w:semiHidden/>
    <w:unhideWhenUsed/>
    <w:rsid w:val="00D230CF"/>
    <w:pPr>
      <w:ind w:left="720" w:hanging="240"/>
    </w:pPr>
  </w:style>
  <w:style w:type="paragraph" w:styleId="ndice4">
    <w:name w:val="index 4"/>
    <w:basedOn w:val="Normal"/>
    <w:next w:val="Normal"/>
    <w:uiPriority w:val="99"/>
    <w:semiHidden/>
    <w:unhideWhenUsed/>
    <w:rsid w:val="00D230CF"/>
    <w:pPr>
      <w:ind w:left="960" w:hanging="240"/>
    </w:pPr>
  </w:style>
  <w:style w:type="paragraph" w:styleId="ndice5">
    <w:name w:val="index 5"/>
    <w:basedOn w:val="Normal"/>
    <w:next w:val="Normal"/>
    <w:uiPriority w:val="99"/>
    <w:semiHidden/>
    <w:unhideWhenUsed/>
    <w:rsid w:val="00D230CF"/>
    <w:pPr>
      <w:ind w:left="1200" w:hanging="240"/>
    </w:pPr>
  </w:style>
  <w:style w:type="paragraph" w:styleId="ndice6">
    <w:name w:val="index 6"/>
    <w:basedOn w:val="Normal"/>
    <w:next w:val="Normal"/>
    <w:uiPriority w:val="99"/>
    <w:semiHidden/>
    <w:unhideWhenUsed/>
    <w:rsid w:val="00D230CF"/>
    <w:pPr>
      <w:ind w:left="1440" w:hanging="240"/>
    </w:pPr>
  </w:style>
  <w:style w:type="paragraph" w:styleId="ndice7">
    <w:name w:val="index 7"/>
    <w:basedOn w:val="Normal"/>
    <w:next w:val="Normal"/>
    <w:uiPriority w:val="99"/>
    <w:semiHidden/>
    <w:unhideWhenUsed/>
    <w:rsid w:val="00D230CF"/>
    <w:pPr>
      <w:ind w:left="1680" w:hanging="240"/>
    </w:pPr>
  </w:style>
  <w:style w:type="paragraph" w:styleId="ndice8">
    <w:name w:val="index 8"/>
    <w:basedOn w:val="Normal"/>
    <w:next w:val="Normal"/>
    <w:uiPriority w:val="99"/>
    <w:semiHidden/>
    <w:unhideWhenUsed/>
    <w:rsid w:val="00D230CF"/>
    <w:pPr>
      <w:ind w:left="1920" w:hanging="240"/>
    </w:pPr>
  </w:style>
  <w:style w:type="paragraph" w:styleId="ndice9">
    <w:name w:val="index 9"/>
    <w:basedOn w:val="Normal"/>
    <w:next w:val="Normal"/>
    <w:uiPriority w:val="99"/>
    <w:semiHidden/>
    <w:unhideWhenUsed/>
    <w:rsid w:val="00D230CF"/>
    <w:pPr>
      <w:ind w:left="2160" w:hanging="240"/>
    </w:pPr>
  </w:style>
  <w:style w:type="paragraph" w:styleId="Ttulodendice">
    <w:name w:val="index heading"/>
    <w:basedOn w:val="Normal"/>
    <w:next w:val="ndice1"/>
    <w:uiPriority w:val="99"/>
    <w:semiHidden/>
    <w:unhideWhenUsed/>
    <w:rsid w:val="00D230CF"/>
    <w:rPr>
      <w:rFonts w:asciiTheme="majorHAnsi" w:eastAsiaTheme="majorEastAsia" w:hAnsiTheme="majorHAnsi" w:cstheme="majorBidi"/>
      <w:b/>
      <w:bCs/>
    </w:rPr>
  </w:style>
  <w:style w:type="character" w:styleId="nfasisintenso">
    <w:name w:val="Intense Emphasis"/>
    <w:basedOn w:val="Fuentedeprrafopredeter"/>
    <w:uiPriority w:val="21"/>
    <w:qFormat/>
    <w:rsid w:val="00D230CF"/>
    <w:rPr>
      <w:i/>
      <w:iCs/>
      <w:color w:val="4472C4" w:themeColor="accent1"/>
    </w:rPr>
  </w:style>
  <w:style w:type="paragraph" w:styleId="Citadestacada">
    <w:name w:val="Intense Quote"/>
    <w:basedOn w:val="Normal"/>
    <w:next w:val="Normal"/>
    <w:link w:val="CitadestacadaCar"/>
    <w:uiPriority w:val="30"/>
    <w:qFormat/>
    <w:rsid w:val="00D230C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230CF"/>
    <w:rPr>
      <w:rFonts w:ascii="Times New Roman" w:eastAsia="Times New Roman" w:hAnsi="Times New Roman" w:cs="Times New Roman"/>
      <w:i/>
      <w:iCs/>
      <w:color w:val="4472C4" w:themeColor="accent1"/>
      <w:lang w:val="en-GB" w:eastAsia="es-ES_tradnl"/>
    </w:rPr>
  </w:style>
  <w:style w:type="character" w:styleId="Referenciaintensa">
    <w:name w:val="Intense Reference"/>
    <w:basedOn w:val="Fuentedeprrafopredeter"/>
    <w:uiPriority w:val="32"/>
    <w:qFormat/>
    <w:rsid w:val="00D230CF"/>
    <w:rPr>
      <w:b/>
      <w:bCs/>
      <w:smallCaps/>
      <w:color w:val="4472C4" w:themeColor="accent1"/>
      <w:spacing w:val="5"/>
    </w:rPr>
  </w:style>
  <w:style w:type="table" w:styleId="Cuadrculaclara">
    <w:name w:val="Light Grid"/>
    <w:basedOn w:val="Tablanormal"/>
    <w:uiPriority w:val="62"/>
    <w:semiHidden/>
    <w:unhideWhenUsed/>
    <w:rsid w:val="00D230CF"/>
    <w:rPr>
      <w:sz w:val="22"/>
      <w:szCs w:val="22"/>
      <w:lang w:val="es-P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D230CF"/>
    <w:rPr>
      <w:sz w:val="22"/>
      <w:szCs w:val="22"/>
      <w:lang w:val="es-P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semiHidden/>
    <w:unhideWhenUsed/>
    <w:rsid w:val="00D230CF"/>
    <w:rPr>
      <w:sz w:val="22"/>
      <w:szCs w:val="22"/>
      <w:lang w:val="es-P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D230CF"/>
    <w:rPr>
      <w:sz w:val="22"/>
      <w:szCs w:val="22"/>
      <w:lang w:val="es-P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D230CF"/>
    <w:rPr>
      <w:sz w:val="22"/>
      <w:szCs w:val="22"/>
      <w:lang w:val="es-PR"/>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D230CF"/>
    <w:rPr>
      <w:sz w:val="22"/>
      <w:szCs w:val="22"/>
      <w:lang w:val="es-P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semiHidden/>
    <w:unhideWhenUsed/>
    <w:rsid w:val="00D230CF"/>
    <w:rPr>
      <w:sz w:val="22"/>
      <w:szCs w:val="22"/>
      <w:lang w:val="es-P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lanormal"/>
    <w:uiPriority w:val="61"/>
    <w:semiHidden/>
    <w:unhideWhenUsed/>
    <w:rsid w:val="00D230CF"/>
    <w:rPr>
      <w:sz w:val="22"/>
      <w:szCs w:val="22"/>
      <w:lang w:val="es-P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D230CF"/>
    <w:rPr>
      <w:sz w:val="22"/>
      <w:szCs w:val="22"/>
      <w:lang w:val="es-P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semiHidden/>
    <w:unhideWhenUsed/>
    <w:rsid w:val="00D230CF"/>
    <w:rPr>
      <w:sz w:val="22"/>
      <w:szCs w:val="22"/>
      <w:lang w:val="es-P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D230CF"/>
    <w:rPr>
      <w:sz w:val="22"/>
      <w:szCs w:val="22"/>
      <w:lang w:val="es-P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D230CF"/>
    <w:rPr>
      <w:sz w:val="22"/>
      <w:szCs w:val="22"/>
      <w:lang w:val="es-PR"/>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D230CF"/>
    <w:rPr>
      <w:sz w:val="22"/>
      <w:szCs w:val="22"/>
      <w:lang w:val="es-P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semiHidden/>
    <w:unhideWhenUsed/>
    <w:rsid w:val="00D230CF"/>
    <w:rPr>
      <w:sz w:val="22"/>
      <w:szCs w:val="22"/>
      <w:lang w:val="es-P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60"/>
    <w:semiHidden/>
    <w:unhideWhenUsed/>
    <w:rsid w:val="00D230CF"/>
    <w:rPr>
      <w:color w:val="000000" w:themeColor="text1" w:themeShade="BF"/>
      <w:sz w:val="22"/>
      <w:szCs w:val="22"/>
      <w:lang w:val="es-P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D230CF"/>
    <w:rPr>
      <w:color w:val="2F5496" w:themeColor="accent1" w:themeShade="BF"/>
      <w:sz w:val="22"/>
      <w:szCs w:val="22"/>
      <w:lang w:val="es-P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semiHidden/>
    <w:unhideWhenUsed/>
    <w:rsid w:val="00D230CF"/>
    <w:rPr>
      <w:color w:val="C45911" w:themeColor="accent2" w:themeShade="BF"/>
      <w:sz w:val="22"/>
      <w:szCs w:val="22"/>
      <w:lang w:val="es-P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D230CF"/>
    <w:rPr>
      <w:color w:val="7B7B7B" w:themeColor="accent3" w:themeShade="BF"/>
      <w:sz w:val="22"/>
      <w:szCs w:val="22"/>
      <w:lang w:val="es-PR"/>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D230CF"/>
    <w:rPr>
      <w:color w:val="BF8F00" w:themeColor="accent4" w:themeShade="BF"/>
      <w:sz w:val="22"/>
      <w:szCs w:val="22"/>
      <w:lang w:val="es-PR"/>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D230CF"/>
    <w:rPr>
      <w:color w:val="2E74B5" w:themeColor="accent5" w:themeShade="BF"/>
      <w:sz w:val="22"/>
      <w:szCs w:val="22"/>
      <w:lang w:val="es-PR"/>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semiHidden/>
    <w:unhideWhenUsed/>
    <w:rsid w:val="00D230CF"/>
    <w:rPr>
      <w:color w:val="538135" w:themeColor="accent6" w:themeShade="BF"/>
      <w:sz w:val="22"/>
      <w:szCs w:val="22"/>
      <w:lang w:val="es-PR"/>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nea">
    <w:name w:val="line number"/>
    <w:basedOn w:val="Fuentedeprrafopredeter"/>
    <w:uiPriority w:val="99"/>
    <w:semiHidden/>
    <w:unhideWhenUsed/>
    <w:rsid w:val="00D230CF"/>
  </w:style>
  <w:style w:type="paragraph" w:styleId="Lista">
    <w:name w:val="List"/>
    <w:basedOn w:val="Normal"/>
    <w:uiPriority w:val="99"/>
    <w:semiHidden/>
    <w:unhideWhenUsed/>
    <w:rsid w:val="00D230CF"/>
    <w:pPr>
      <w:ind w:left="360" w:hanging="360"/>
      <w:contextualSpacing/>
    </w:pPr>
  </w:style>
  <w:style w:type="paragraph" w:styleId="Lista2">
    <w:name w:val="List 2"/>
    <w:basedOn w:val="Normal"/>
    <w:uiPriority w:val="99"/>
    <w:semiHidden/>
    <w:unhideWhenUsed/>
    <w:rsid w:val="00D230CF"/>
    <w:pPr>
      <w:ind w:left="720" w:hanging="360"/>
      <w:contextualSpacing/>
    </w:pPr>
  </w:style>
  <w:style w:type="paragraph" w:styleId="Lista3">
    <w:name w:val="List 3"/>
    <w:basedOn w:val="Normal"/>
    <w:uiPriority w:val="99"/>
    <w:semiHidden/>
    <w:unhideWhenUsed/>
    <w:rsid w:val="00D230CF"/>
    <w:pPr>
      <w:ind w:left="1080" w:hanging="360"/>
      <w:contextualSpacing/>
    </w:pPr>
  </w:style>
  <w:style w:type="paragraph" w:styleId="Lista4">
    <w:name w:val="List 4"/>
    <w:basedOn w:val="Normal"/>
    <w:uiPriority w:val="99"/>
    <w:semiHidden/>
    <w:unhideWhenUsed/>
    <w:rsid w:val="00D230CF"/>
    <w:pPr>
      <w:ind w:left="1440" w:hanging="360"/>
      <w:contextualSpacing/>
    </w:pPr>
  </w:style>
  <w:style w:type="paragraph" w:styleId="Lista5">
    <w:name w:val="List 5"/>
    <w:basedOn w:val="Normal"/>
    <w:uiPriority w:val="99"/>
    <w:semiHidden/>
    <w:unhideWhenUsed/>
    <w:rsid w:val="00D230CF"/>
    <w:pPr>
      <w:ind w:left="1800" w:hanging="360"/>
      <w:contextualSpacing/>
    </w:pPr>
  </w:style>
  <w:style w:type="paragraph" w:styleId="Listaconvietas">
    <w:name w:val="List Bullet"/>
    <w:basedOn w:val="Normal"/>
    <w:uiPriority w:val="99"/>
    <w:semiHidden/>
    <w:unhideWhenUsed/>
    <w:rsid w:val="00D230CF"/>
    <w:pPr>
      <w:numPr>
        <w:numId w:val="4"/>
      </w:numPr>
      <w:contextualSpacing/>
    </w:pPr>
  </w:style>
  <w:style w:type="paragraph" w:styleId="Listaconvietas2">
    <w:name w:val="List Bullet 2"/>
    <w:basedOn w:val="Normal"/>
    <w:uiPriority w:val="99"/>
    <w:semiHidden/>
    <w:unhideWhenUsed/>
    <w:rsid w:val="00D230CF"/>
    <w:pPr>
      <w:numPr>
        <w:numId w:val="5"/>
      </w:numPr>
      <w:contextualSpacing/>
    </w:pPr>
  </w:style>
  <w:style w:type="paragraph" w:styleId="Listaconvietas3">
    <w:name w:val="List Bullet 3"/>
    <w:basedOn w:val="Normal"/>
    <w:uiPriority w:val="99"/>
    <w:semiHidden/>
    <w:unhideWhenUsed/>
    <w:rsid w:val="00D230CF"/>
    <w:pPr>
      <w:numPr>
        <w:numId w:val="6"/>
      </w:numPr>
      <w:contextualSpacing/>
    </w:pPr>
  </w:style>
  <w:style w:type="paragraph" w:styleId="Listaconvietas4">
    <w:name w:val="List Bullet 4"/>
    <w:basedOn w:val="Normal"/>
    <w:uiPriority w:val="99"/>
    <w:semiHidden/>
    <w:unhideWhenUsed/>
    <w:rsid w:val="00D230CF"/>
    <w:pPr>
      <w:numPr>
        <w:numId w:val="7"/>
      </w:numPr>
      <w:contextualSpacing/>
    </w:pPr>
  </w:style>
  <w:style w:type="paragraph" w:styleId="Listaconvietas5">
    <w:name w:val="List Bullet 5"/>
    <w:basedOn w:val="Normal"/>
    <w:uiPriority w:val="99"/>
    <w:semiHidden/>
    <w:unhideWhenUsed/>
    <w:rsid w:val="00D230CF"/>
    <w:pPr>
      <w:numPr>
        <w:numId w:val="8"/>
      </w:numPr>
      <w:contextualSpacing/>
    </w:pPr>
  </w:style>
  <w:style w:type="paragraph" w:styleId="Continuarlista">
    <w:name w:val="List Continue"/>
    <w:basedOn w:val="Normal"/>
    <w:uiPriority w:val="99"/>
    <w:semiHidden/>
    <w:unhideWhenUsed/>
    <w:rsid w:val="00D230CF"/>
    <w:pPr>
      <w:spacing w:after="120"/>
      <w:ind w:left="360"/>
      <w:contextualSpacing/>
    </w:pPr>
  </w:style>
  <w:style w:type="paragraph" w:styleId="Continuarlista2">
    <w:name w:val="List Continue 2"/>
    <w:basedOn w:val="Normal"/>
    <w:uiPriority w:val="99"/>
    <w:semiHidden/>
    <w:unhideWhenUsed/>
    <w:rsid w:val="00D230CF"/>
    <w:pPr>
      <w:spacing w:after="120"/>
      <w:ind w:left="720"/>
      <w:contextualSpacing/>
    </w:pPr>
  </w:style>
  <w:style w:type="paragraph" w:styleId="Continuarlista3">
    <w:name w:val="List Continue 3"/>
    <w:basedOn w:val="Normal"/>
    <w:uiPriority w:val="99"/>
    <w:semiHidden/>
    <w:unhideWhenUsed/>
    <w:rsid w:val="00D230CF"/>
    <w:pPr>
      <w:spacing w:after="120"/>
      <w:ind w:left="1080"/>
      <w:contextualSpacing/>
    </w:pPr>
  </w:style>
  <w:style w:type="paragraph" w:styleId="Continuarlista4">
    <w:name w:val="List Continue 4"/>
    <w:basedOn w:val="Normal"/>
    <w:uiPriority w:val="99"/>
    <w:semiHidden/>
    <w:unhideWhenUsed/>
    <w:rsid w:val="00D230CF"/>
    <w:pPr>
      <w:spacing w:after="120"/>
      <w:ind w:left="1440"/>
      <w:contextualSpacing/>
    </w:pPr>
  </w:style>
  <w:style w:type="paragraph" w:styleId="Continuarlista5">
    <w:name w:val="List Continue 5"/>
    <w:basedOn w:val="Normal"/>
    <w:uiPriority w:val="99"/>
    <w:semiHidden/>
    <w:unhideWhenUsed/>
    <w:rsid w:val="00D230CF"/>
    <w:pPr>
      <w:spacing w:after="120"/>
      <w:ind w:left="1800"/>
      <w:contextualSpacing/>
    </w:pPr>
  </w:style>
  <w:style w:type="paragraph" w:styleId="Listaconnmeros">
    <w:name w:val="List Number"/>
    <w:basedOn w:val="Normal"/>
    <w:uiPriority w:val="99"/>
    <w:semiHidden/>
    <w:unhideWhenUsed/>
    <w:rsid w:val="00D230CF"/>
    <w:pPr>
      <w:numPr>
        <w:numId w:val="9"/>
      </w:numPr>
      <w:contextualSpacing/>
    </w:pPr>
  </w:style>
  <w:style w:type="paragraph" w:styleId="Listaconnmeros2">
    <w:name w:val="List Number 2"/>
    <w:basedOn w:val="Normal"/>
    <w:uiPriority w:val="99"/>
    <w:semiHidden/>
    <w:unhideWhenUsed/>
    <w:rsid w:val="00D230CF"/>
    <w:pPr>
      <w:numPr>
        <w:numId w:val="10"/>
      </w:numPr>
      <w:contextualSpacing/>
    </w:pPr>
  </w:style>
  <w:style w:type="paragraph" w:styleId="Listaconnmeros3">
    <w:name w:val="List Number 3"/>
    <w:basedOn w:val="Normal"/>
    <w:uiPriority w:val="99"/>
    <w:semiHidden/>
    <w:unhideWhenUsed/>
    <w:rsid w:val="00D230CF"/>
    <w:pPr>
      <w:numPr>
        <w:numId w:val="11"/>
      </w:numPr>
      <w:contextualSpacing/>
    </w:pPr>
  </w:style>
  <w:style w:type="paragraph" w:styleId="Listaconnmeros4">
    <w:name w:val="List Number 4"/>
    <w:basedOn w:val="Normal"/>
    <w:uiPriority w:val="99"/>
    <w:semiHidden/>
    <w:unhideWhenUsed/>
    <w:rsid w:val="00D230CF"/>
    <w:pPr>
      <w:numPr>
        <w:numId w:val="12"/>
      </w:numPr>
      <w:contextualSpacing/>
    </w:pPr>
  </w:style>
  <w:style w:type="paragraph" w:styleId="Listaconnmeros5">
    <w:name w:val="List Number 5"/>
    <w:basedOn w:val="Normal"/>
    <w:uiPriority w:val="99"/>
    <w:semiHidden/>
    <w:unhideWhenUsed/>
    <w:rsid w:val="00D230CF"/>
    <w:pPr>
      <w:numPr>
        <w:numId w:val="13"/>
      </w:numPr>
      <w:contextualSpacing/>
    </w:pPr>
  </w:style>
  <w:style w:type="table" w:styleId="Tabladelista1clara">
    <w:name w:val="List Table 1 Light"/>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2">
    <w:name w:val="List Table 1 Light Accent 2"/>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1clara-nfasis6">
    <w:name w:val="List Table 1 Light Accent 6"/>
    <w:basedOn w:val="Tablanormal"/>
    <w:uiPriority w:val="46"/>
    <w:rsid w:val="00D230CF"/>
    <w:rPr>
      <w:sz w:val="22"/>
      <w:szCs w:val="22"/>
      <w:lang w:val="es-PR"/>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D230CF"/>
    <w:rPr>
      <w:sz w:val="22"/>
      <w:szCs w:val="22"/>
      <w:lang w:val="es-PR"/>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D230CF"/>
    <w:rPr>
      <w:sz w:val="22"/>
      <w:szCs w:val="22"/>
      <w:lang w:val="es-PR"/>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2">
    <w:name w:val="List Table 2 Accent 2"/>
    <w:basedOn w:val="Tablanormal"/>
    <w:uiPriority w:val="47"/>
    <w:rsid w:val="00D230CF"/>
    <w:rPr>
      <w:sz w:val="22"/>
      <w:szCs w:val="22"/>
      <w:lang w:val="es-PR"/>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D230CF"/>
    <w:rPr>
      <w:sz w:val="22"/>
      <w:szCs w:val="22"/>
      <w:lang w:val="es-PR"/>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D230CF"/>
    <w:rPr>
      <w:sz w:val="22"/>
      <w:szCs w:val="22"/>
      <w:lang w:val="es-PR"/>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D230CF"/>
    <w:rPr>
      <w:sz w:val="22"/>
      <w:szCs w:val="22"/>
      <w:lang w:val="es-PR"/>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6">
    <w:name w:val="List Table 2 Accent 6"/>
    <w:basedOn w:val="Tablanormal"/>
    <w:uiPriority w:val="47"/>
    <w:rsid w:val="00D230CF"/>
    <w:rPr>
      <w:sz w:val="22"/>
      <w:szCs w:val="22"/>
      <w:lang w:val="es-PR"/>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D230CF"/>
    <w:rPr>
      <w:sz w:val="22"/>
      <w:szCs w:val="22"/>
      <w:lang w:val="es-PR"/>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D230CF"/>
    <w:rPr>
      <w:sz w:val="22"/>
      <w:szCs w:val="22"/>
      <w:lang w:val="es-PR"/>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2">
    <w:name w:val="List Table 3 Accent 2"/>
    <w:basedOn w:val="Tablanormal"/>
    <w:uiPriority w:val="48"/>
    <w:rsid w:val="00D230CF"/>
    <w:rPr>
      <w:sz w:val="22"/>
      <w:szCs w:val="22"/>
      <w:lang w:val="es-PR"/>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D230CF"/>
    <w:rPr>
      <w:sz w:val="22"/>
      <w:szCs w:val="22"/>
      <w:lang w:val="es-P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D230CF"/>
    <w:rPr>
      <w:sz w:val="22"/>
      <w:szCs w:val="22"/>
      <w:lang w:val="es-P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D230CF"/>
    <w:rPr>
      <w:sz w:val="22"/>
      <w:szCs w:val="22"/>
      <w:lang w:val="es-PR"/>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6">
    <w:name w:val="List Table 3 Accent 6"/>
    <w:basedOn w:val="Tablanormal"/>
    <w:uiPriority w:val="48"/>
    <w:rsid w:val="00D230CF"/>
    <w:rPr>
      <w:sz w:val="22"/>
      <w:szCs w:val="22"/>
      <w:lang w:val="es-PR"/>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D230CF"/>
    <w:rPr>
      <w:sz w:val="22"/>
      <w:szCs w:val="22"/>
      <w:lang w:val="es-P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D230CF"/>
    <w:rPr>
      <w:sz w:val="22"/>
      <w:szCs w:val="22"/>
      <w:lang w:val="es-P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2">
    <w:name w:val="List Table 4 Accent 2"/>
    <w:basedOn w:val="Tablanormal"/>
    <w:uiPriority w:val="49"/>
    <w:rsid w:val="00D230CF"/>
    <w:rPr>
      <w:sz w:val="22"/>
      <w:szCs w:val="22"/>
      <w:lang w:val="es-P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3">
    <w:name w:val="List Table 4 Accent 3"/>
    <w:basedOn w:val="Tablanormal"/>
    <w:uiPriority w:val="49"/>
    <w:rsid w:val="00D230CF"/>
    <w:rPr>
      <w:sz w:val="22"/>
      <w:szCs w:val="22"/>
      <w:lang w:val="es-P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4">
    <w:name w:val="List Table 4 Accent 4"/>
    <w:basedOn w:val="Tablanormal"/>
    <w:uiPriority w:val="49"/>
    <w:rsid w:val="00D230CF"/>
    <w:rPr>
      <w:sz w:val="22"/>
      <w:szCs w:val="22"/>
      <w:lang w:val="es-P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D230CF"/>
    <w:rPr>
      <w:sz w:val="22"/>
      <w:szCs w:val="22"/>
      <w:lang w:val="es-P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6">
    <w:name w:val="List Table 4 Accent 6"/>
    <w:basedOn w:val="Tablanormal"/>
    <w:uiPriority w:val="49"/>
    <w:rsid w:val="00D230CF"/>
    <w:rPr>
      <w:sz w:val="22"/>
      <w:szCs w:val="22"/>
      <w:lang w:val="es-P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D230CF"/>
    <w:rPr>
      <w:color w:val="FFFFFF" w:themeColor="background1"/>
      <w:sz w:val="22"/>
      <w:szCs w:val="22"/>
      <w:lang w:val="es-PR"/>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D230CF"/>
    <w:rPr>
      <w:color w:val="FFFFFF" w:themeColor="background1"/>
      <w:sz w:val="22"/>
      <w:szCs w:val="22"/>
      <w:lang w:val="es-PR"/>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D230CF"/>
    <w:rPr>
      <w:color w:val="FFFFFF" w:themeColor="background1"/>
      <w:sz w:val="22"/>
      <w:szCs w:val="22"/>
      <w:lang w:val="es-PR"/>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D230CF"/>
    <w:rPr>
      <w:color w:val="FFFFFF" w:themeColor="background1"/>
      <w:sz w:val="22"/>
      <w:szCs w:val="22"/>
      <w:lang w:val="es-PR"/>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D230CF"/>
    <w:rPr>
      <w:color w:val="FFFFFF" w:themeColor="background1"/>
      <w:sz w:val="22"/>
      <w:szCs w:val="22"/>
      <w:lang w:val="es-PR"/>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D230CF"/>
    <w:rPr>
      <w:color w:val="FFFFFF" w:themeColor="background1"/>
      <w:sz w:val="22"/>
      <w:szCs w:val="22"/>
      <w:lang w:val="es-PR"/>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D230CF"/>
    <w:rPr>
      <w:color w:val="FFFFFF" w:themeColor="background1"/>
      <w:sz w:val="22"/>
      <w:szCs w:val="22"/>
      <w:lang w:val="es-PR"/>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D230CF"/>
    <w:rPr>
      <w:color w:val="000000" w:themeColor="text1"/>
      <w:sz w:val="22"/>
      <w:szCs w:val="22"/>
      <w:lang w:val="es-P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D230CF"/>
    <w:rPr>
      <w:color w:val="2F5496" w:themeColor="accent1" w:themeShade="BF"/>
      <w:sz w:val="22"/>
      <w:szCs w:val="22"/>
      <w:lang w:val="es-PR"/>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2">
    <w:name w:val="List Table 6 Colorful Accent 2"/>
    <w:basedOn w:val="Tablanormal"/>
    <w:uiPriority w:val="51"/>
    <w:rsid w:val="00D230CF"/>
    <w:rPr>
      <w:color w:val="C45911" w:themeColor="accent2" w:themeShade="BF"/>
      <w:sz w:val="22"/>
      <w:szCs w:val="22"/>
      <w:lang w:val="es-PR"/>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D230CF"/>
    <w:rPr>
      <w:color w:val="7B7B7B" w:themeColor="accent3" w:themeShade="BF"/>
      <w:sz w:val="22"/>
      <w:szCs w:val="22"/>
      <w:lang w:val="es-PR"/>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D230CF"/>
    <w:rPr>
      <w:color w:val="BF8F00" w:themeColor="accent4" w:themeShade="BF"/>
      <w:sz w:val="22"/>
      <w:szCs w:val="22"/>
      <w:lang w:val="es-PR"/>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D230CF"/>
    <w:rPr>
      <w:color w:val="2E74B5" w:themeColor="accent5" w:themeShade="BF"/>
      <w:sz w:val="22"/>
      <w:szCs w:val="22"/>
      <w:lang w:val="es-PR"/>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D230CF"/>
    <w:rPr>
      <w:color w:val="538135" w:themeColor="accent6" w:themeShade="BF"/>
      <w:sz w:val="22"/>
      <w:szCs w:val="22"/>
      <w:lang w:val="es-PR"/>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D230CF"/>
    <w:rPr>
      <w:color w:val="000000" w:themeColor="text1"/>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D230CF"/>
    <w:rPr>
      <w:color w:val="2F5496" w:themeColor="accent1"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D230CF"/>
    <w:rPr>
      <w:color w:val="C45911" w:themeColor="accent2"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D230CF"/>
    <w:rPr>
      <w:color w:val="7B7B7B" w:themeColor="accent3"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D230CF"/>
    <w:rPr>
      <w:color w:val="BF8F00" w:themeColor="accent4"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D230CF"/>
    <w:rPr>
      <w:color w:val="2E74B5" w:themeColor="accent5"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D230CF"/>
    <w:rPr>
      <w:color w:val="538135" w:themeColor="accent6" w:themeShade="BF"/>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D230CF"/>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n-GB" w:eastAsia="es-ES_tradnl"/>
    </w:rPr>
  </w:style>
  <w:style w:type="character" w:customStyle="1" w:styleId="TextomacroCar">
    <w:name w:val="Texto macro Car"/>
    <w:basedOn w:val="Fuentedeprrafopredeter"/>
    <w:link w:val="Textomacro"/>
    <w:uiPriority w:val="99"/>
    <w:semiHidden/>
    <w:rsid w:val="00D230CF"/>
    <w:rPr>
      <w:rFonts w:ascii="Consolas" w:eastAsia="Times New Roman" w:hAnsi="Consolas" w:cs="Times New Roman"/>
      <w:sz w:val="20"/>
      <w:szCs w:val="20"/>
      <w:lang w:val="en-GB" w:eastAsia="es-ES_tradnl"/>
    </w:rPr>
  </w:style>
  <w:style w:type="table" w:styleId="Cuadrculamedia1">
    <w:name w:val="Medium Grid 1"/>
    <w:basedOn w:val="Tablanormal"/>
    <w:uiPriority w:val="67"/>
    <w:semiHidden/>
    <w:unhideWhenUsed/>
    <w:rsid w:val="00D230CF"/>
    <w:rPr>
      <w:sz w:val="22"/>
      <w:szCs w:val="22"/>
      <w:lang w:val="es-P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D230CF"/>
    <w:rPr>
      <w:sz w:val="22"/>
      <w:szCs w:val="22"/>
      <w:lang w:val="es-PR"/>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semiHidden/>
    <w:unhideWhenUsed/>
    <w:rsid w:val="00D230CF"/>
    <w:rPr>
      <w:sz w:val="22"/>
      <w:szCs w:val="22"/>
      <w:lang w:val="es-P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D230CF"/>
    <w:rPr>
      <w:sz w:val="22"/>
      <w:szCs w:val="22"/>
      <w:lang w:val="es-P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D230CF"/>
    <w:rPr>
      <w:sz w:val="22"/>
      <w:szCs w:val="22"/>
      <w:lang w:val="es-PR"/>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D230CF"/>
    <w:rPr>
      <w:sz w:val="22"/>
      <w:szCs w:val="22"/>
      <w:lang w:val="es-PR"/>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semiHidden/>
    <w:unhideWhenUsed/>
    <w:rsid w:val="00D230CF"/>
    <w:rPr>
      <w:sz w:val="22"/>
      <w:szCs w:val="22"/>
      <w:lang w:val="es-PR"/>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semiHidden/>
    <w:unhideWhenUsed/>
    <w:rsid w:val="00D230CF"/>
    <w:rPr>
      <w:sz w:val="22"/>
      <w:szCs w:val="22"/>
      <w:lang w:val="es-P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edia1">
    <w:name w:val="Medium List 1"/>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semiHidden/>
    <w:unhideWhenUsed/>
    <w:rsid w:val="00D230CF"/>
    <w:rPr>
      <w:color w:val="000000" w:themeColor="text1"/>
      <w:sz w:val="22"/>
      <w:szCs w:val="22"/>
      <w:lang w:val="es-PR"/>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D230CF"/>
    <w:rPr>
      <w:rFonts w:asciiTheme="majorHAnsi" w:eastAsiaTheme="majorEastAsia" w:hAnsiTheme="majorHAnsi" w:cstheme="majorBidi"/>
      <w:color w:val="000000" w:themeColor="text1"/>
      <w:sz w:val="22"/>
      <w:szCs w:val="22"/>
      <w:lang w:val="es-P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D230CF"/>
    <w:rPr>
      <w:sz w:val="22"/>
      <w:szCs w:val="22"/>
      <w:lang w:val="es-P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D230CF"/>
    <w:rPr>
      <w:sz w:val="22"/>
      <w:szCs w:val="22"/>
      <w:lang w:val="es-PR"/>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D230CF"/>
    <w:rPr>
      <w:sz w:val="22"/>
      <w:szCs w:val="22"/>
      <w:lang w:val="es-P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D230CF"/>
    <w:rPr>
      <w:sz w:val="22"/>
      <w:szCs w:val="22"/>
      <w:lang w:val="es-P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D230CF"/>
    <w:rPr>
      <w:sz w:val="22"/>
      <w:szCs w:val="22"/>
      <w:lang w:val="es-PR"/>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D230CF"/>
    <w:rPr>
      <w:sz w:val="22"/>
      <w:szCs w:val="22"/>
      <w:lang w:val="es-PR"/>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D230CF"/>
    <w:rPr>
      <w:sz w:val="22"/>
      <w:szCs w:val="22"/>
      <w:lang w:val="es-PR"/>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D230CF"/>
    <w:rPr>
      <w:sz w:val="22"/>
      <w:szCs w:val="22"/>
      <w:lang w:val="es-P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cionar">
    <w:name w:val="Mention"/>
    <w:basedOn w:val="Fuentedeprrafopredeter"/>
    <w:uiPriority w:val="99"/>
    <w:semiHidden/>
    <w:unhideWhenUsed/>
    <w:rsid w:val="00D230CF"/>
    <w:rPr>
      <w:color w:val="2B579A"/>
      <w:shd w:val="clear" w:color="auto" w:fill="E1DFDD"/>
    </w:rPr>
  </w:style>
  <w:style w:type="paragraph" w:styleId="Encabezadodemensaje">
    <w:name w:val="Message Header"/>
    <w:basedOn w:val="Normal"/>
    <w:link w:val="EncabezadodemensajeCar"/>
    <w:uiPriority w:val="99"/>
    <w:semiHidden/>
    <w:unhideWhenUsed/>
    <w:rsid w:val="00D230C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sid w:val="00D230CF"/>
    <w:rPr>
      <w:rFonts w:asciiTheme="majorHAnsi" w:eastAsiaTheme="majorEastAsia" w:hAnsiTheme="majorHAnsi" w:cstheme="majorBidi"/>
      <w:shd w:val="pct20" w:color="auto" w:fill="auto"/>
      <w:lang w:val="en-GB" w:eastAsia="es-ES_tradnl"/>
    </w:rPr>
  </w:style>
  <w:style w:type="paragraph" w:styleId="Sinespaciado">
    <w:name w:val="No Spacing"/>
    <w:uiPriority w:val="1"/>
    <w:qFormat/>
    <w:rsid w:val="00D230CF"/>
    <w:rPr>
      <w:rFonts w:ascii="Times New Roman" w:eastAsia="Times New Roman" w:hAnsi="Times New Roman" w:cs="Times New Roman"/>
      <w:lang w:val="en-GB" w:eastAsia="es-ES_tradnl"/>
    </w:rPr>
  </w:style>
  <w:style w:type="paragraph" w:styleId="Sangranormal">
    <w:name w:val="Normal Indent"/>
    <w:basedOn w:val="Normal"/>
    <w:uiPriority w:val="99"/>
    <w:semiHidden/>
    <w:unhideWhenUsed/>
    <w:rsid w:val="00D230CF"/>
    <w:pPr>
      <w:ind w:left="720"/>
    </w:pPr>
  </w:style>
  <w:style w:type="paragraph" w:styleId="Encabezadodenota">
    <w:name w:val="Note Heading"/>
    <w:basedOn w:val="Normal"/>
    <w:next w:val="Normal"/>
    <w:link w:val="EncabezadodenotaCar"/>
    <w:uiPriority w:val="99"/>
    <w:semiHidden/>
    <w:unhideWhenUsed/>
    <w:rsid w:val="00D230CF"/>
  </w:style>
  <w:style w:type="character" w:customStyle="1" w:styleId="EncabezadodenotaCar">
    <w:name w:val="Encabezado de nota Car"/>
    <w:basedOn w:val="Fuentedeprrafopredeter"/>
    <w:link w:val="Encabezadodenota"/>
    <w:uiPriority w:val="99"/>
    <w:semiHidden/>
    <w:rsid w:val="00D230CF"/>
    <w:rPr>
      <w:rFonts w:ascii="Times New Roman" w:eastAsia="Times New Roman" w:hAnsi="Times New Roman" w:cs="Times New Roman"/>
      <w:lang w:val="en-GB" w:eastAsia="es-ES_tradnl"/>
    </w:rPr>
  </w:style>
  <w:style w:type="character" w:styleId="Nmerodepgina">
    <w:name w:val="page number"/>
    <w:basedOn w:val="Fuentedeprrafopredeter"/>
    <w:uiPriority w:val="99"/>
    <w:semiHidden/>
    <w:unhideWhenUsed/>
    <w:rsid w:val="00D230CF"/>
  </w:style>
  <w:style w:type="character" w:styleId="Textodelmarcadordeposicin">
    <w:name w:val="Placeholder Text"/>
    <w:basedOn w:val="Fuentedeprrafopredeter"/>
    <w:uiPriority w:val="99"/>
    <w:semiHidden/>
    <w:rsid w:val="00D230CF"/>
    <w:rPr>
      <w:color w:val="666666"/>
    </w:rPr>
  </w:style>
  <w:style w:type="table" w:styleId="Tablanormal1">
    <w:name w:val="Plain Table 1"/>
    <w:basedOn w:val="Tablanormal"/>
    <w:uiPriority w:val="41"/>
    <w:rsid w:val="00D230CF"/>
    <w:rPr>
      <w:sz w:val="22"/>
      <w:szCs w:val="22"/>
      <w:lang w:val="es-P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D230CF"/>
    <w:rPr>
      <w:sz w:val="22"/>
      <w:szCs w:val="22"/>
      <w:lang w:val="es-P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D230CF"/>
    <w:rPr>
      <w:sz w:val="22"/>
      <w:szCs w:val="22"/>
      <w:lang w:val="es-P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D230CF"/>
    <w:rPr>
      <w:sz w:val="22"/>
      <w:szCs w:val="22"/>
      <w:lang w:val="es-P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D230CF"/>
    <w:rPr>
      <w:sz w:val="22"/>
      <w:szCs w:val="22"/>
      <w:lang w:val="es-P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D230CF"/>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D230CF"/>
    <w:rPr>
      <w:rFonts w:ascii="Consolas" w:eastAsia="Times New Roman" w:hAnsi="Consolas" w:cs="Times New Roman"/>
      <w:sz w:val="21"/>
      <w:szCs w:val="21"/>
      <w:lang w:val="en-GB" w:eastAsia="es-ES_tradnl"/>
    </w:rPr>
  </w:style>
  <w:style w:type="paragraph" w:styleId="Cita">
    <w:name w:val="Quote"/>
    <w:basedOn w:val="Normal"/>
    <w:next w:val="Normal"/>
    <w:link w:val="CitaCar"/>
    <w:uiPriority w:val="29"/>
    <w:qFormat/>
    <w:rsid w:val="00D230C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230CF"/>
    <w:rPr>
      <w:rFonts w:ascii="Times New Roman" w:eastAsia="Times New Roman" w:hAnsi="Times New Roman" w:cs="Times New Roman"/>
      <w:i/>
      <w:iCs/>
      <w:color w:val="404040" w:themeColor="text1" w:themeTint="BF"/>
      <w:lang w:val="en-GB" w:eastAsia="es-ES_tradnl"/>
    </w:rPr>
  </w:style>
  <w:style w:type="paragraph" w:styleId="Saludo">
    <w:name w:val="Salutation"/>
    <w:basedOn w:val="Normal"/>
    <w:next w:val="Normal"/>
    <w:link w:val="SaludoCar"/>
    <w:uiPriority w:val="99"/>
    <w:semiHidden/>
    <w:unhideWhenUsed/>
    <w:rsid w:val="00D230CF"/>
  </w:style>
  <w:style w:type="character" w:customStyle="1" w:styleId="SaludoCar">
    <w:name w:val="Saludo Car"/>
    <w:basedOn w:val="Fuentedeprrafopredeter"/>
    <w:link w:val="Saludo"/>
    <w:uiPriority w:val="99"/>
    <w:semiHidden/>
    <w:rsid w:val="00D230CF"/>
    <w:rPr>
      <w:rFonts w:ascii="Times New Roman" w:eastAsia="Times New Roman" w:hAnsi="Times New Roman" w:cs="Times New Roman"/>
      <w:lang w:val="en-GB" w:eastAsia="es-ES_tradnl"/>
    </w:rPr>
  </w:style>
  <w:style w:type="paragraph" w:styleId="Firma">
    <w:name w:val="Signature"/>
    <w:basedOn w:val="Normal"/>
    <w:link w:val="FirmaCar"/>
    <w:uiPriority w:val="99"/>
    <w:semiHidden/>
    <w:unhideWhenUsed/>
    <w:rsid w:val="00D230CF"/>
    <w:pPr>
      <w:ind w:left="4320"/>
    </w:pPr>
  </w:style>
  <w:style w:type="character" w:customStyle="1" w:styleId="FirmaCar">
    <w:name w:val="Firma Car"/>
    <w:basedOn w:val="Fuentedeprrafopredeter"/>
    <w:link w:val="Firma"/>
    <w:uiPriority w:val="99"/>
    <w:semiHidden/>
    <w:rsid w:val="00D230CF"/>
    <w:rPr>
      <w:rFonts w:ascii="Times New Roman" w:eastAsia="Times New Roman" w:hAnsi="Times New Roman" w:cs="Times New Roman"/>
      <w:lang w:val="en-GB" w:eastAsia="es-ES_tradnl"/>
    </w:rPr>
  </w:style>
  <w:style w:type="character" w:styleId="Hipervnculointeligente">
    <w:name w:val="Smart Hyperlink"/>
    <w:basedOn w:val="Fuentedeprrafopredeter"/>
    <w:uiPriority w:val="99"/>
    <w:semiHidden/>
    <w:unhideWhenUsed/>
    <w:rsid w:val="00D230CF"/>
    <w:rPr>
      <w:u w:val="dotted"/>
    </w:rPr>
  </w:style>
  <w:style w:type="character" w:styleId="SmartLink">
    <w:name w:val="Smart Link"/>
    <w:basedOn w:val="Fuentedeprrafopredeter"/>
    <w:uiPriority w:val="99"/>
    <w:semiHidden/>
    <w:unhideWhenUsed/>
    <w:rsid w:val="00D230CF"/>
    <w:rPr>
      <w:color w:val="0000FF"/>
      <w:u w:val="single"/>
      <w:shd w:val="clear" w:color="auto" w:fill="F3F2F1"/>
    </w:rPr>
  </w:style>
  <w:style w:type="character" w:styleId="Textoennegrita">
    <w:name w:val="Strong"/>
    <w:basedOn w:val="Fuentedeprrafopredeter"/>
    <w:uiPriority w:val="22"/>
    <w:qFormat/>
    <w:rsid w:val="00D230CF"/>
    <w:rPr>
      <w:b/>
      <w:bCs/>
    </w:rPr>
  </w:style>
  <w:style w:type="paragraph" w:styleId="Subttulo">
    <w:name w:val="Subtitle"/>
    <w:basedOn w:val="Normal"/>
    <w:next w:val="Normal"/>
    <w:link w:val="SubttuloCar"/>
    <w:uiPriority w:val="11"/>
    <w:qFormat/>
    <w:rsid w:val="00D230C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D230CF"/>
    <w:rPr>
      <w:rFonts w:eastAsiaTheme="minorEastAsia"/>
      <w:color w:val="5A5A5A" w:themeColor="text1" w:themeTint="A5"/>
      <w:spacing w:val="15"/>
      <w:sz w:val="22"/>
      <w:szCs w:val="22"/>
      <w:lang w:val="en-GB" w:eastAsia="es-ES_tradnl"/>
    </w:rPr>
  </w:style>
  <w:style w:type="character" w:styleId="nfasissutil">
    <w:name w:val="Subtle Emphasis"/>
    <w:basedOn w:val="Fuentedeprrafopredeter"/>
    <w:uiPriority w:val="19"/>
    <w:qFormat/>
    <w:rsid w:val="00D230CF"/>
    <w:rPr>
      <w:i/>
      <w:iCs/>
      <w:color w:val="404040" w:themeColor="text1" w:themeTint="BF"/>
    </w:rPr>
  </w:style>
  <w:style w:type="character" w:styleId="Referenciasutil">
    <w:name w:val="Subtle Reference"/>
    <w:basedOn w:val="Fuentedeprrafopredeter"/>
    <w:uiPriority w:val="31"/>
    <w:qFormat/>
    <w:rsid w:val="00D230CF"/>
    <w:rPr>
      <w:smallCaps/>
      <w:color w:val="5A5A5A" w:themeColor="text1" w:themeTint="A5"/>
    </w:rPr>
  </w:style>
  <w:style w:type="table" w:styleId="Tablaconefectos3D1">
    <w:name w:val="Table 3D effects 1"/>
    <w:basedOn w:val="Tablanormal"/>
    <w:uiPriority w:val="99"/>
    <w:semiHidden/>
    <w:unhideWhenUsed/>
    <w:rsid w:val="00D230CF"/>
    <w:rPr>
      <w:sz w:val="22"/>
      <w:szCs w:val="22"/>
      <w:lang w:val="es-P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D230CF"/>
    <w:rPr>
      <w:sz w:val="22"/>
      <w:szCs w:val="22"/>
      <w:lang w:val="es-P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D230CF"/>
    <w:rPr>
      <w:sz w:val="22"/>
      <w:szCs w:val="22"/>
      <w:lang w:val="es-P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D230CF"/>
    <w:rPr>
      <w:sz w:val="22"/>
      <w:szCs w:val="22"/>
      <w:lang w:val="es-P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D230CF"/>
    <w:rPr>
      <w:sz w:val="22"/>
      <w:szCs w:val="22"/>
      <w:lang w:val="es-P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D230CF"/>
    <w:rPr>
      <w:color w:val="000080"/>
      <w:sz w:val="22"/>
      <w:szCs w:val="22"/>
      <w:lang w:val="es-P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D230CF"/>
    <w:rPr>
      <w:sz w:val="22"/>
      <w:szCs w:val="22"/>
      <w:lang w:val="es-P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D230CF"/>
    <w:rPr>
      <w:color w:val="FFFFFF"/>
      <w:sz w:val="22"/>
      <w:szCs w:val="22"/>
      <w:lang w:val="es-P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D230CF"/>
    <w:rPr>
      <w:sz w:val="22"/>
      <w:szCs w:val="22"/>
      <w:lang w:val="es-P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D230CF"/>
    <w:rPr>
      <w:sz w:val="22"/>
      <w:szCs w:val="22"/>
      <w:lang w:val="es-P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D230CF"/>
    <w:rPr>
      <w:b/>
      <w:bCs/>
      <w:sz w:val="22"/>
      <w:szCs w:val="22"/>
      <w:lang w:val="es-P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D230CF"/>
    <w:rPr>
      <w:b/>
      <w:bCs/>
      <w:sz w:val="22"/>
      <w:szCs w:val="22"/>
      <w:lang w:val="es-P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D230CF"/>
    <w:rPr>
      <w:b/>
      <w:bCs/>
      <w:sz w:val="22"/>
      <w:szCs w:val="22"/>
      <w:lang w:val="es-P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D230CF"/>
    <w:rPr>
      <w:sz w:val="22"/>
      <w:szCs w:val="22"/>
      <w:lang w:val="es-P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D230CF"/>
    <w:rPr>
      <w:sz w:val="22"/>
      <w:szCs w:val="22"/>
      <w:lang w:val="es-P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D230CF"/>
    <w:rPr>
      <w:sz w:val="22"/>
      <w:szCs w:val="22"/>
      <w:lang w:val="es-P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D230CF"/>
    <w:rPr>
      <w:sz w:val="22"/>
      <w:szCs w:val="22"/>
      <w:lang w:val="es-P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D230CF"/>
    <w:rPr>
      <w:sz w:val="22"/>
      <w:szCs w:val="22"/>
      <w:lang w:val="es-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D230CF"/>
    <w:rPr>
      <w:sz w:val="22"/>
      <w:szCs w:val="22"/>
      <w:lang w:val="es-P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D230CF"/>
    <w:rPr>
      <w:sz w:val="22"/>
      <w:szCs w:val="22"/>
      <w:lang w:val="es-P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D230CF"/>
    <w:rPr>
      <w:sz w:val="22"/>
      <w:szCs w:val="22"/>
      <w:lang w:val="es-P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D230CF"/>
    <w:rPr>
      <w:sz w:val="22"/>
      <w:szCs w:val="22"/>
      <w:lang w:val="es-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D230CF"/>
    <w:rPr>
      <w:sz w:val="22"/>
      <w:szCs w:val="22"/>
      <w:lang w:val="es-P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D230CF"/>
    <w:rPr>
      <w:b/>
      <w:bCs/>
      <w:sz w:val="22"/>
      <w:szCs w:val="22"/>
      <w:lang w:val="es-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D230CF"/>
    <w:rPr>
      <w:sz w:val="22"/>
      <w:szCs w:val="22"/>
      <w:lang w:val="es-P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D230CF"/>
    <w:rPr>
      <w:sz w:val="22"/>
      <w:szCs w:val="22"/>
      <w:lang w:val="es-P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lista1">
    <w:name w:val="Table List 1"/>
    <w:basedOn w:val="Tablanormal"/>
    <w:uiPriority w:val="99"/>
    <w:semiHidden/>
    <w:unhideWhenUsed/>
    <w:rsid w:val="00D230CF"/>
    <w:rPr>
      <w:sz w:val="22"/>
      <w:szCs w:val="22"/>
      <w:lang w:val="es-P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D230CF"/>
    <w:rPr>
      <w:sz w:val="22"/>
      <w:szCs w:val="22"/>
      <w:lang w:val="es-P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D230CF"/>
    <w:rPr>
      <w:sz w:val="22"/>
      <w:szCs w:val="22"/>
      <w:lang w:val="es-P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D230CF"/>
    <w:rPr>
      <w:sz w:val="22"/>
      <w:szCs w:val="22"/>
      <w:lang w:val="es-P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D230CF"/>
    <w:rPr>
      <w:sz w:val="22"/>
      <w:szCs w:val="22"/>
      <w:lang w:val="es-P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D230CF"/>
    <w:rPr>
      <w:sz w:val="22"/>
      <w:szCs w:val="22"/>
      <w:lang w:val="es-P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D230CF"/>
    <w:rPr>
      <w:sz w:val="22"/>
      <w:szCs w:val="22"/>
      <w:lang w:val="es-P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D230CF"/>
    <w:rPr>
      <w:sz w:val="22"/>
      <w:szCs w:val="22"/>
      <w:lang w:val="es-P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rsid w:val="00D230CF"/>
    <w:pPr>
      <w:ind w:left="240" w:hanging="240"/>
    </w:pPr>
  </w:style>
  <w:style w:type="paragraph" w:styleId="Tabladeilustraciones">
    <w:name w:val="table of figures"/>
    <w:basedOn w:val="Normal"/>
    <w:next w:val="Normal"/>
    <w:uiPriority w:val="99"/>
    <w:semiHidden/>
    <w:unhideWhenUsed/>
    <w:rsid w:val="00D230CF"/>
  </w:style>
  <w:style w:type="table" w:styleId="Tablaprofesional">
    <w:name w:val="Table Professional"/>
    <w:basedOn w:val="Tablanormal"/>
    <w:uiPriority w:val="99"/>
    <w:semiHidden/>
    <w:unhideWhenUsed/>
    <w:rsid w:val="00D230CF"/>
    <w:rPr>
      <w:sz w:val="22"/>
      <w:szCs w:val="22"/>
      <w:lang w:val="es-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D230CF"/>
    <w:rPr>
      <w:sz w:val="22"/>
      <w:szCs w:val="22"/>
      <w:lang w:val="es-P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D230CF"/>
    <w:rPr>
      <w:sz w:val="22"/>
      <w:szCs w:val="22"/>
      <w:lang w:val="es-P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D230CF"/>
    <w:rPr>
      <w:sz w:val="22"/>
      <w:szCs w:val="22"/>
      <w:lang w:val="es-P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D230CF"/>
    <w:rPr>
      <w:sz w:val="22"/>
      <w:szCs w:val="22"/>
      <w:lang w:val="es-P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D230CF"/>
    <w:rPr>
      <w:sz w:val="22"/>
      <w:szCs w:val="22"/>
      <w:lang w:val="es-P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D230CF"/>
    <w:rPr>
      <w:sz w:val="22"/>
      <w:szCs w:val="22"/>
      <w:lang w:val="es-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D230CF"/>
    <w:rPr>
      <w:sz w:val="22"/>
      <w:szCs w:val="22"/>
      <w:lang w:val="es-P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D230CF"/>
    <w:rPr>
      <w:sz w:val="22"/>
      <w:szCs w:val="22"/>
      <w:lang w:val="es-P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D230CF"/>
    <w:rPr>
      <w:sz w:val="22"/>
      <w:szCs w:val="22"/>
      <w:lang w:val="es-P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ar"/>
    <w:uiPriority w:val="10"/>
    <w:qFormat/>
    <w:rsid w:val="00D230CF"/>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30CF"/>
    <w:rPr>
      <w:rFonts w:asciiTheme="majorHAnsi" w:eastAsiaTheme="majorEastAsia" w:hAnsiTheme="majorHAnsi" w:cstheme="majorBidi"/>
      <w:spacing w:val="-10"/>
      <w:kern w:val="28"/>
      <w:sz w:val="56"/>
      <w:szCs w:val="56"/>
      <w:lang w:val="en-GB" w:eastAsia="es-ES_tradnl"/>
    </w:rPr>
  </w:style>
  <w:style w:type="paragraph" w:styleId="Encabezadodelista">
    <w:name w:val="toa heading"/>
    <w:basedOn w:val="Normal"/>
    <w:next w:val="Normal"/>
    <w:uiPriority w:val="99"/>
    <w:semiHidden/>
    <w:unhideWhenUsed/>
    <w:rsid w:val="00D230CF"/>
    <w:pPr>
      <w:spacing w:before="120"/>
    </w:pPr>
    <w:rPr>
      <w:rFonts w:asciiTheme="majorHAnsi" w:eastAsiaTheme="majorEastAsia" w:hAnsiTheme="majorHAnsi" w:cstheme="majorBidi"/>
      <w:b/>
      <w:bCs/>
    </w:rPr>
  </w:style>
  <w:style w:type="paragraph" w:styleId="TDC1">
    <w:name w:val="toc 1"/>
    <w:basedOn w:val="Normal"/>
    <w:next w:val="Normal"/>
    <w:uiPriority w:val="39"/>
    <w:semiHidden/>
    <w:unhideWhenUsed/>
    <w:rsid w:val="00D230CF"/>
    <w:pPr>
      <w:spacing w:after="100"/>
    </w:pPr>
  </w:style>
  <w:style w:type="paragraph" w:styleId="TDC2">
    <w:name w:val="toc 2"/>
    <w:basedOn w:val="Normal"/>
    <w:next w:val="Normal"/>
    <w:uiPriority w:val="39"/>
    <w:semiHidden/>
    <w:unhideWhenUsed/>
    <w:rsid w:val="00D230CF"/>
    <w:pPr>
      <w:spacing w:after="100"/>
      <w:ind w:left="240"/>
    </w:pPr>
  </w:style>
  <w:style w:type="paragraph" w:styleId="TDC3">
    <w:name w:val="toc 3"/>
    <w:basedOn w:val="Normal"/>
    <w:next w:val="Normal"/>
    <w:uiPriority w:val="39"/>
    <w:semiHidden/>
    <w:unhideWhenUsed/>
    <w:rsid w:val="00D230CF"/>
    <w:pPr>
      <w:spacing w:after="100"/>
      <w:ind w:left="480"/>
    </w:pPr>
  </w:style>
  <w:style w:type="paragraph" w:styleId="TDC4">
    <w:name w:val="toc 4"/>
    <w:basedOn w:val="Normal"/>
    <w:next w:val="Normal"/>
    <w:uiPriority w:val="39"/>
    <w:semiHidden/>
    <w:unhideWhenUsed/>
    <w:rsid w:val="00D230CF"/>
    <w:pPr>
      <w:spacing w:after="100"/>
      <w:ind w:left="720"/>
    </w:pPr>
  </w:style>
  <w:style w:type="paragraph" w:styleId="TDC5">
    <w:name w:val="toc 5"/>
    <w:basedOn w:val="Normal"/>
    <w:next w:val="Normal"/>
    <w:uiPriority w:val="39"/>
    <w:semiHidden/>
    <w:unhideWhenUsed/>
    <w:rsid w:val="00D230CF"/>
    <w:pPr>
      <w:spacing w:after="100"/>
      <w:ind w:left="960"/>
    </w:pPr>
  </w:style>
  <w:style w:type="paragraph" w:styleId="TDC6">
    <w:name w:val="toc 6"/>
    <w:basedOn w:val="Normal"/>
    <w:next w:val="Normal"/>
    <w:uiPriority w:val="39"/>
    <w:semiHidden/>
    <w:unhideWhenUsed/>
    <w:rsid w:val="00D230CF"/>
    <w:pPr>
      <w:spacing w:after="100"/>
      <w:ind w:left="1200"/>
    </w:pPr>
  </w:style>
  <w:style w:type="paragraph" w:styleId="TDC7">
    <w:name w:val="toc 7"/>
    <w:basedOn w:val="Normal"/>
    <w:next w:val="Normal"/>
    <w:uiPriority w:val="39"/>
    <w:semiHidden/>
    <w:unhideWhenUsed/>
    <w:rsid w:val="00D230CF"/>
    <w:pPr>
      <w:spacing w:after="100"/>
      <w:ind w:left="1440"/>
    </w:pPr>
  </w:style>
  <w:style w:type="paragraph" w:styleId="TDC8">
    <w:name w:val="toc 8"/>
    <w:basedOn w:val="Normal"/>
    <w:next w:val="Normal"/>
    <w:uiPriority w:val="39"/>
    <w:semiHidden/>
    <w:unhideWhenUsed/>
    <w:rsid w:val="00D230CF"/>
    <w:pPr>
      <w:spacing w:after="100"/>
      <w:ind w:left="1680"/>
    </w:pPr>
  </w:style>
  <w:style w:type="paragraph" w:styleId="TDC9">
    <w:name w:val="toc 9"/>
    <w:basedOn w:val="Normal"/>
    <w:next w:val="Normal"/>
    <w:uiPriority w:val="39"/>
    <w:semiHidden/>
    <w:unhideWhenUsed/>
    <w:rsid w:val="00D230CF"/>
    <w:pPr>
      <w:spacing w:after="100"/>
      <w:ind w:left="1920"/>
    </w:pPr>
  </w:style>
  <w:style w:type="paragraph" w:styleId="TtuloTDC">
    <w:name w:val="TOC Heading"/>
    <w:basedOn w:val="Ttulo1"/>
    <w:next w:val="Normal"/>
    <w:uiPriority w:val="39"/>
    <w:semiHidden/>
    <w:unhideWhenUsed/>
    <w:qFormat/>
    <w:rsid w:val="00D230CF"/>
    <w:pPr>
      <w:numPr>
        <w:numId w:val="0"/>
      </w:numPr>
      <w:outlineLvl w:val="9"/>
    </w:pPr>
  </w:style>
  <w:style w:type="paragraph" w:customStyle="1" w:styleId="Bibliografa2">
    <w:name w:val="Bibliografía2"/>
    <w:basedOn w:val="Normal"/>
    <w:link w:val="BibliographyCar1"/>
    <w:rsid w:val="00D230CF"/>
    <w:pPr>
      <w:spacing w:after="240"/>
      <w:jc w:val="both"/>
    </w:pPr>
    <w:rPr>
      <w:rFonts w:ascii="Arial" w:hAnsi="Arial" w:cs="Arial"/>
      <w:b/>
      <w:lang w:val="es-ES"/>
    </w:rPr>
  </w:style>
  <w:style w:type="character" w:customStyle="1" w:styleId="BibliographyCar1">
    <w:name w:val="Bibliography Car1"/>
    <w:basedOn w:val="Fuentedeprrafopredeter"/>
    <w:link w:val="Bibliografa2"/>
    <w:rsid w:val="00D230CF"/>
    <w:rPr>
      <w:rFonts w:ascii="Arial" w:eastAsia="Times New Roman" w:hAnsi="Arial" w:cs="Arial"/>
      <w:b/>
      <w:lang w:eastAsia="es-ES_tradnl"/>
    </w:rPr>
  </w:style>
  <w:style w:type="paragraph" w:customStyle="1" w:styleId="Bibliografa3">
    <w:name w:val="Bibliografía3"/>
    <w:basedOn w:val="Normal"/>
    <w:link w:val="BibliographyCar2"/>
    <w:rsid w:val="00EB26A5"/>
    <w:pPr>
      <w:spacing w:after="240"/>
      <w:jc w:val="both"/>
    </w:pPr>
    <w:rPr>
      <w:rFonts w:ascii="Arial" w:hAnsi="Arial" w:cs="Arial"/>
      <w:b/>
      <w:sz w:val="28"/>
      <w:szCs w:val="28"/>
    </w:rPr>
  </w:style>
  <w:style w:type="character" w:customStyle="1" w:styleId="BibliographyCar2">
    <w:name w:val="Bibliography Car2"/>
    <w:basedOn w:val="Fuentedeprrafopredeter"/>
    <w:link w:val="Bibliografa3"/>
    <w:rsid w:val="00EB26A5"/>
    <w:rPr>
      <w:rFonts w:ascii="Arial" w:eastAsia="Times New Roman" w:hAnsi="Arial" w:cs="Arial"/>
      <w:b/>
      <w:sz w:val="28"/>
      <w:szCs w:val="28"/>
      <w:lang w:val="en-GB"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0828">
      <w:bodyDiv w:val="1"/>
      <w:marLeft w:val="0"/>
      <w:marRight w:val="0"/>
      <w:marTop w:val="0"/>
      <w:marBottom w:val="0"/>
      <w:divBdr>
        <w:top w:val="none" w:sz="0" w:space="0" w:color="auto"/>
        <w:left w:val="none" w:sz="0" w:space="0" w:color="auto"/>
        <w:bottom w:val="none" w:sz="0" w:space="0" w:color="auto"/>
        <w:right w:val="none" w:sz="0" w:space="0" w:color="auto"/>
      </w:divBdr>
    </w:div>
    <w:div w:id="228343280">
      <w:bodyDiv w:val="1"/>
      <w:marLeft w:val="0"/>
      <w:marRight w:val="0"/>
      <w:marTop w:val="0"/>
      <w:marBottom w:val="0"/>
      <w:divBdr>
        <w:top w:val="none" w:sz="0" w:space="0" w:color="auto"/>
        <w:left w:val="none" w:sz="0" w:space="0" w:color="auto"/>
        <w:bottom w:val="none" w:sz="0" w:space="0" w:color="auto"/>
        <w:right w:val="none" w:sz="0" w:space="0" w:color="auto"/>
      </w:divBdr>
    </w:div>
    <w:div w:id="379283880">
      <w:bodyDiv w:val="1"/>
      <w:marLeft w:val="0"/>
      <w:marRight w:val="0"/>
      <w:marTop w:val="0"/>
      <w:marBottom w:val="0"/>
      <w:divBdr>
        <w:top w:val="none" w:sz="0" w:space="0" w:color="auto"/>
        <w:left w:val="none" w:sz="0" w:space="0" w:color="auto"/>
        <w:bottom w:val="none" w:sz="0" w:space="0" w:color="auto"/>
        <w:right w:val="none" w:sz="0" w:space="0" w:color="auto"/>
      </w:divBdr>
    </w:div>
    <w:div w:id="526941541">
      <w:bodyDiv w:val="1"/>
      <w:marLeft w:val="0"/>
      <w:marRight w:val="0"/>
      <w:marTop w:val="0"/>
      <w:marBottom w:val="0"/>
      <w:divBdr>
        <w:top w:val="none" w:sz="0" w:space="0" w:color="auto"/>
        <w:left w:val="none" w:sz="0" w:space="0" w:color="auto"/>
        <w:bottom w:val="none" w:sz="0" w:space="0" w:color="auto"/>
        <w:right w:val="none" w:sz="0" w:space="0" w:color="auto"/>
      </w:divBdr>
    </w:div>
    <w:div w:id="936910507">
      <w:bodyDiv w:val="1"/>
      <w:marLeft w:val="0"/>
      <w:marRight w:val="0"/>
      <w:marTop w:val="0"/>
      <w:marBottom w:val="0"/>
      <w:divBdr>
        <w:top w:val="none" w:sz="0" w:space="0" w:color="auto"/>
        <w:left w:val="none" w:sz="0" w:space="0" w:color="auto"/>
        <w:bottom w:val="none" w:sz="0" w:space="0" w:color="auto"/>
        <w:right w:val="none" w:sz="0" w:space="0" w:color="auto"/>
      </w:divBdr>
    </w:div>
    <w:div w:id="954940600">
      <w:bodyDiv w:val="1"/>
      <w:marLeft w:val="0"/>
      <w:marRight w:val="0"/>
      <w:marTop w:val="0"/>
      <w:marBottom w:val="0"/>
      <w:divBdr>
        <w:top w:val="none" w:sz="0" w:space="0" w:color="auto"/>
        <w:left w:val="none" w:sz="0" w:space="0" w:color="auto"/>
        <w:bottom w:val="none" w:sz="0" w:space="0" w:color="auto"/>
        <w:right w:val="none" w:sz="0" w:space="0" w:color="auto"/>
      </w:divBdr>
    </w:div>
    <w:div w:id="1609268086">
      <w:bodyDiv w:val="1"/>
      <w:marLeft w:val="0"/>
      <w:marRight w:val="0"/>
      <w:marTop w:val="0"/>
      <w:marBottom w:val="0"/>
      <w:divBdr>
        <w:top w:val="none" w:sz="0" w:space="0" w:color="auto"/>
        <w:left w:val="none" w:sz="0" w:space="0" w:color="auto"/>
        <w:bottom w:val="none" w:sz="0" w:space="0" w:color="auto"/>
        <w:right w:val="none" w:sz="0" w:space="0" w:color="auto"/>
      </w:divBdr>
    </w:div>
    <w:div w:id="1635217071">
      <w:bodyDiv w:val="1"/>
      <w:marLeft w:val="0"/>
      <w:marRight w:val="0"/>
      <w:marTop w:val="0"/>
      <w:marBottom w:val="0"/>
      <w:divBdr>
        <w:top w:val="none" w:sz="0" w:space="0" w:color="auto"/>
        <w:left w:val="none" w:sz="0" w:space="0" w:color="auto"/>
        <w:bottom w:val="none" w:sz="0" w:space="0" w:color="auto"/>
        <w:right w:val="none" w:sz="0" w:space="0" w:color="auto"/>
      </w:divBdr>
    </w:div>
    <w:div w:id="18198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garcete@ucm.es" TargetMode="Externa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orcid.org/0000-0002-0133-5094"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hyperlink" Target="https://orcid.org/0000-0001-8952-9653" TargetMode="External"/><Relationship Id="rId11" Type="http://schemas.openxmlformats.org/officeDocument/2006/relationships/image" Target="media/image3.jpeg"/><Relationship Id="rId5" Type="http://schemas.openxmlformats.org/officeDocument/2006/relationships/hyperlink" Target="https://orcid.org/0000-0003-4786-2014" TargetMode="External"/><Relationship Id="rId15" Type="http://schemas.microsoft.com/office/2016/09/relationships/commentsIds" Target="commentsIds.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32441</Words>
  <Characters>178431</Characters>
  <Application>Microsoft Office Word</Application>
  <DocSecurity>0</DocSecurity>
  <Lines>1486</Lines>
  <Paragraphs>420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Garcete Delvalle</dc:creator>
  <cp:keywords/>
  <dc:description/>
  <cp:lastModifiedBy>Clara Garcete Delvalle</cp:lastModifiedBy>
  <cp:revision>4</cp:revision>
  <dcterms:created xsi:type="dcterms:W3CDTF">2024-06-25T09:15:00Z</dcterms:created>
  <dcterms:modified xsi:type="dcterms:W3CDTF">2024-06-30T17:38:00Z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id="6Vbqh94y"/&gt;&lt;style id="http://www.zotero.org/styles/bmc-oral-health" hasBibliography="1" bibliographyStyleHasBeenSet="1"/&gt;&lt;prefs&gt;&lt;pref name="fieldType" value="Field"/&gt;&lt;/prefs&gt;&lt;/data&gt;</vt:lpwstr>
  </property>
</Properties>
</file>