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3D002" w14:textId="65A09330" w:rsidR="007976B9" w:rsidRDefault="007976B9">
      <w:r w:rsidRPr="007976B9">
        <w:rPr>
          <w:rFonts w:hint="eastAsia"/>
        </w:rPr>
        <w:t>Table S2 the relationship between periodontitis and non-CVD mortality in different subgroups of hypertensive participants.</w:t>
      </w:r>
    </w:p>
    <w:tbl>
      <w:tblPr>
        <w:tblStyle w:val="ae"/>
        <w:tblpPr w:leftFromText="180" w:rightFromText="180" w:vertAnchor="page" w:horzAnchor="margin" w:tblpY="2431"/>
        <w:tblW w:w="8414" w:type="dxa"/>
        <w:tblLook w:val="04A0" w:firstRow="1" w:lastRow="0" w:firstColumn="1" w:lastColumn="0" w:noHBand="0" w:noVBand="1"/>
      </w:tblPr>
      <w:tblGrid>
        <w:gridCol w:w="1173"/>
        <w:gridCol w:w="669"/>
        <w:gridCol w:w="2719"/>
        <w:gridCol w:w="1342"/>
        <w:gridCol w:w="1342"/>
        <w:gridCol w:w="1169"/>
      </w:tblGrid>
      <w:tr w:rsidR="007976B9" w14:paraId="6CDD1434" w14:textId="77777777" w:rsidTr="00814A86">
        <w:trPr>
          <w:trHeight w:val="23"/>
        </w:trPr>
        <w:tc>
          <w:tcPr>
            <w:tcW w:w="1173" w:type="dxa"/>
            <w:vMerge w:val="restart"/>
            <w:hideMark/>
          </w:tcPr>
          <w:p w14:paraId="09DEA632" w14:textId="77777777" w:rsidR="007976B9" w:rsidRDefault="007976B9" w:rsidP="00814A86">
            <w:pPr>
              <w:widowControl/>
              <w:jc w:val="center"/>
              <w:textAlignment w:val="center"/>
              <w:rPr>
                <w:rFonts w:cs="Calibri" w:hint="eastAsia"/>
                <w:color w:val="000000"/>
                <w:kern w:val="0"/>
                <w:sz w:val="10"/>
                <w:szCs w:val="10"/>
              </w:rPr>
            </w:pPr>
            <w:r w:rsidRPr="00DE6D6A">
              <w:rPr>
                <w:rFonts w:ascii="微软雅黑" w:eastAsia="微软雅黑" w:hAnsi="微软雅黑" w:hint="eastAsia"/>
                <w:bCs/>
                <w:color w:val="000000"/>
                <w:kern w:val="0"/>
                <w:sz w:val="16"/>
                <w:szCs w:val="16"/>
              </w:rPr>
              <w:t>character</w:t>
            </w:r>
          </w:p>
        </w:tc>
        <w:tc>
          <w:tcPr>
            <w:tcW w:w="7241" w:type="dxa"/>
            <w:gridSpan w:val="5"/>
            <w:hideMark/>
          </w:tcPr>
          <w:p w14:paraId="3D9A8B41" w14:textId="77777777" w:rsidR="007976B9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1"/>
                <w:szCs w:val="11"/>
              </w:rPr>
            </w:pPr>
            <w:r>
              <w:rPr>
                <w:rFonts w:cs="Calibri" w:hint="eastAsia"/>
                <w:color w:val="000000"/>
                <w:kern w:val="0"/>
                <w:sz w:val="18"/>
                <w:szCs w:val="18"/>
              </w:rPr>
              <w:t>Periodontitis</w:t>
            </w:r>
          </w:p>
        </w:tc>
      </w:tr>
      <w:tr w:rsidR="007976B9" w14:paraId="0ACB649A" w14:textId="77777777" w:rsidTr="00814A86">
        <w:trPr>
          <w:trHeight w:val="23"/>
        </w:trPr>
        <w:tc>
          <w:tcPr>
            <w:tcW w:w="1173" w:type="dxa"/>
            <w:vMerge/>
            <w:hideMark/>
          </w:tcPr>
          <w:p w14:paraId="785CF5B0" w14:textId="77777777" w:rsidR="007976B9" w:rsidRDefault="007976B9" w:rsidP="00814A86">
            <w:pPr>
              <w:widowControl/>
              <w:rPr>
                <w:rFonts w:cs="Calibri" w:hint="eastAsia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669" w:type="dxa"/>
            <w:hideMark/>
          </w:tcPr>
          <w:p w14:paraId="214A693C" w14:textId="77777777" w:rsidR="007976B9" w:rsidRPr="00DE6D6A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DE6D6A">
              <w:rPr>
                <w:rFonts w:cs="Calibri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2719" w:type="dxa"/>
            <w:hideMark/>
          </w:tcPr>
          <w:p w14:paraId="3EB3E5DC" w14:textId="77777777" w:rsidR="007976B9" w:rsidRPr="00DE6D6A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DE6D6A">
              <w:rPr>
                <w:rFonts w:cs="Calibri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1342" w:type="dxa"/>
            <w:hideMark/>
          </w:tcPr>
          <w:p w14:paraId="1685F234" w14:textId="77777777" w:rsidR="007976B9" w:rsidRPr="00DE6D6A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DE6D6A">
              <w:rPr>
                <w:rFonts w:cs="Calibri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1342" w:type="dxa"/>
            <w:hideMark/>
          </w:tcPr>
          <w:p w14:paraId="2BA98118" w14:textId="77777777" w:rsidR="007976B9" w:rsidRPr="00DE6D6A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DE6D6A">
              <w:rPr>
                <w:rFonts w:cs="Calibri"/>
                <w:color w:val="000000"/>
                <w:kern w:val="0"/>
                <w:sz w:val="15"/>
                <w:szCs w:val="15"/>
              </w:rPr>
              <w:t>p for trend</w:t>
            </w:r>
          </w:p>
        </w:tc>
        <w:tc>
          <w:tcPr>
            <w:tcW w:w="1169" w:type="dxa"/>
            <w:hideMark/>
          </w:tcPr>
          <w:p w14:paraId="20CA4525" w14:textId="77777777" w:rsidR="007976B9" w:rsidRPr="00DE6D6A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DE6D6A">
              <w:rPr>
                <w:rFonts w:cs="Calibri"/>
                <w:color w:val="000000"/>
                <w:kern w:val="0"/>
                <w:sz w:val="15"/>
                <w:szCs w:val="15"/>
              </w:rPr>
              <w:t>p for interaction</w:t>
            </w:r>
          </w:p>
        </w:tc>
      </w:tr>
      <w:tr w:rsidR="007976B9" w:rsidRPr="00CD63CA" w14:paraId="7FADAF75" w14:textId="77777777" w:rsidTr="00814A86">
        <w:trPr>
          <w:trHeight w:val="23"/>
        </w:trPr>
        <w:tc>
          <w:tcPr>
            <w:tcW w:w="1173" w:type="dxa"/>
            <w:hideMark/>
          </w:tcPr>
          <w:p w14:paraId="37DF185A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 w:hint="eastAsia"/>
                <w:color w:val="000000"/>
                <w:kern w:val="0"/>
                <w:sz w:val="15"/>
                <w:szCs w:val="15"/>
              </w:rPr>
              <w:t>CHD</w:t>
            </w:r>
          </w:p>
        </w:tc>
        <w:tc>
          <w:tcPr>
            <w:tcW w:w="669" w:type="dxa"/>
          </w:tcPr>
          <w:p w14:paraId="04B5F536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719" w:type="dxa"/>
          </w:tcPr>
          <w:p w14:paraId="538CDB27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42" w:type="dxa"/>
          </w:tcPr>
          <w:p w14:paraId="5DC04C65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42" w:type="dxa"/>
          </w:tcPr>
          <w:p w14:paraId="353FA7BE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9" w:type="dxa"/>
            <w:hideMark/>
          </w:tcPr>
          <w:p w14:paraId="6612F0D3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0.028</w:t>
            </w:r>
          </w:p>
        </w:tc>
      </w:tr>
      <w:tr w:rsidR="007976B9" w:rsidRPr="00CD63CA" w14:paraId="528C6063" w14:textId="77777777" w:rsidTr="00814A86">
        <w:trPr>
          <w:trHeight w:val="23"/>
        </w:trPr>
        <w:tc>
          <w:tcPr>
            <w:tcW w:w="1173" w:type="dxa"/>
            <w:hideMark/>
          </w:tcPr>
          <w:p w14:paraId="45310F6B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 xml:space="preserve">        no</w:t>
            </w:r>
          </w:p>
        </w:tc>
        <w:tc>
          <w:tcPr>
            <w:tcW w:w="669" w:type="dxa"/>
            <w:hideMark/>
          </w:tcPr>
          <w:p w14:paraId="062955B7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2719" w:type="dxa"/>
            <w:hideMark/>
          </w:tcPr>
          <w:p w14:paraId="7AC9F8C9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2.253(1.914,2.652)</w:t>
            </w:r>
          </w:p>
        </w:tc>
        <w:tc>
          <w:tcPr>
            <w:tcW w:w="1342" w:type="dxa"/>
            <w:hideMark/>
          </w:tcPr>
          <w:p w14:paraId="315A36C6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&lt;0.0001</w:t>
            </w:r>
          </w:p>
        </w:tc>
        <w:tc>
          <w:tcPr>
            <w:tcW w:w="1342" w:type="dxa"/>
            <w:hideMark/>
          </w:tcPr>
          <w:p w14:paraId="6CF4183A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&lt;0.0001</w:t>
            </w:r>
          </w:p>
        </w:tc>
        <w:tc>
          <w:tcPr>
            <w:tcW w:w="1169" w:type="dxa"/>
          </w:tcPr>
          <w:p w14:paraId="6B526227" w14:textId="77777777" w:rsidR="007976B9" w:rsidRPr="00AA3974" w:rsidRDefault="007976B9" w:rsidP="00814A86">
            <w:pPr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</w:p>
        </w:tc>
      </w:tr>
      <w:tr w:rsidR="007976B9" w:rsidRPr="00CD63CA" w14:paraId="06E5318D" w14:textId="77777777" w:rsidTr="00814A86">
        <w:trPr>
          <w:trHeight w:val="23"/>
        </w:trPr>
        <w:tc>
          <w:tcPr>
            <w:tcW w:w="1173" w:type="dxa"/>
            <w:hideMark/>
          </w:tcPr>
          <w:p w14:paraId="6E5A974B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 xml:space="preserve">        yes</w:t>
            </w:r>
          </w:p>
        </w:tc>
        <w:tc>
          <w:tcPr>
            <w:tcW w:w="669" w:type="dxa"/>
            <w:hideMark/>
          </w:tcPr>
          <w:p w14:paraId="246B1694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2719" w:type="dxa"/>
            <w:hideMark/>
          </w:tcPr>
          <w:p w14:paraId="3B4DE8D5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1.071(0.576,1.993)</w:t>
            </w:r>
          </w:p>
        </w:tc>
        <w:tc>
          <w:tcPr>
            <w:tcW w:w="1342" w:type="dxa"/>
            <w:hideMark/>
          </w:tcPr>
          <w:p w14:paraId="36EA0EA4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0.828</w:t>
            </w:r>
          </w:p>
        </w:tc>
        <w:tc>
          <w:tcPr>
            <w:tcW w:w="1342" w:type="dxa"/>
            <w:hideMark/>
          </w:tcPr>
          <w:p w14:paraId="4C408C8F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0.828</w:t>
            </w:r>
          </w:p>
        </w:tc>
        <w:tc>
          <w:tcPr>
            <w:tcW w:w="1169" w:type="dxa"/>
          </w:tcPr>
          <w:p w14:paraId="635D21C3" w14:textId="77777777" w:rsidR="007976B9" w:rsidRPr="00AA3974" w:rsidRDefault="007976B9" w:rsidP="00814A86">
            <w:pPr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</w:p>
        </w:tc>
      </w:tr>
      <w:tr w:rsidR="007976B9" w:rsidRPr="00CD63CA" w14:paraId="573E79EC" w14:textId="77777777" w:rsidTr="00814A86">
        <w:trPr>
          <w:trHeight w:val="23"/>
        </w:trPr>
        <w:tc>
          <w:tcPr>
            <w:tcW w:w="1173" w:type="dxa"/>
            <w:hideMark/>
          </w:tcPr>
          <w:p w14:paraId="21AA9D6E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 w:hint="eastAsia"/>
                <w:color w:val="000000"/>
                <w:kern w:val="0"/>
                <w:sz w:val="15"/>
                <w:szCs w:val="15"/>
              </w:rPr>
              <w:t>CHF</w:t>
            </w:r>
          </w:p>
        </w:tc>
        <w:tc>
          <w:tcPr>
            <w:tcW w:w="669" w:type="dxa"/>
          </w:tcPr>
          <w:p w14:paraId="29664913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719" w:type="dxa"/>
          </w:tcPr>
          <w:p w14:paraId="540E15A6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42" w:type="dxa"/>
          </w:tcPr>
          <w:p w14:paraId="3B61608A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42" w:type="dxa"/>
          </w:tcPr>
          <w:p w14:paraId="21C162CE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9" w:type="dxa"/>
            <w:hideMark/>
          </w:tcPr>
          <w:p w14:paraId="12F8360E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0.052</w:t>
            </w:r>
          </w:p>
        </w:tc>
      </w:tr>
      <w:tr w:rsidR="007976B9" w:rsidRPr="00CD63CA" w14:paraId="387ED49B" w14:textId="77777777" w:rsidTr="00814A86">
        <w:trPr>
          <w:trHeight w:val="23"/>
        </w:trPr>
        <w:tc>
          <w:tcPr>
            <w:tcW w:w="1173" w:type="dxa"/>
            <w:hideMark/>
          </w:tcPr>
          <w:p w14:paraId="12D82D7A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 xml:space="preserve">        no</w:t>
            </w:r>
          </w:p>
        </w:tc>
        <w:tc>
          <w:tcPr>
            <w:tcW w:w="669" w:type="dxa"/>
            <w:hideMark/>
          </w:tcPr>
          <w:p w14:paraId="0A555387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2719" w:type="dxa"/>
            <w:hideMark/>
          </w:tcPr>
          <w:p w14:paraId="067209FC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2.235(1.915,2.608)</w:t>
            </w:r>
          </w:p>
        </w:tc>
        <w:tc>
          <w:tcPr>
            <w:tcW w:w="1342" w:type="dxa"/>
            <w:hideMark/>
          </w:tcPr>
          <w:p w14:paraId="5FF5B4E7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&lt;0.0001</w:t>
            </w:r>
          </w:p>
        </w:tc>
        <w:tc>
          <w:tcPr>
            <w:tcW w:w="1342" w:type="dxa"/>
            <w:hideMark/>
          </w:tcPr>
          <w:p w14:paraId="7029F023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&lt;0.0001</w:t>
            </w:r>
          </w:p>
        </w:tc>
        <w:tc>
          <w:tcPr>
            <w:tcW w:w="1169" w:type="dxa"/>
          </w:tcPr>
          <w:p w14:paraId="13EE4FFA" w14:textId="77777777" w:rsidR="007976B9" w:rsidRPr="00AA3974" w:rsidRDefault="007976B9" w:rsidP="00814A86">
            <w:pPr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</w:p>
        </w:tc>
      </w:tr>
      <w:tr w:rsidR="007976B9" w:rsidRPr="00CD63CA" w14:paraId="7B759521" w14:textId="77777777" w:rsidTr="00814A86">
        <w:trPr>
          <w:trHeight w:val="23"/>
        </w:trPr>
        <w:tc>
          <w:tcPr>
            <w:tcW w:w="1173" w:type="dxa"/>
            <w:hideMark/>
          </w:tcPr>
          <w:p w14:paraId="74AF0D48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 xml:space="preserve">        yes</w:t>
            </w:r>
          </w:p>
        </w:tc>
        <w:tc>
          <w:tcPr>
            <w:tcW w:w="669" w:type="dxa"/>
            <w:hideMark/>
          </w:tcPr>
          <w:p w14:paraId="7A9D6E3A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ref</w:t>
            </w:r>
          </w:p>
        </w:tc>
        <w:tc>
          <w:tcPr>
            <w:tcW w:w="2719" w:type="dxa"/>
            <w:hideMark/>
          </w:tcPr>
          <w:p w14:paraId="049A96A4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0.954(0.448,2.031)</w:t>
            </w:r>
          </w:p>
        </w:tc>
        <w:tc>
          <w:tcPr>
            <w:tcW w:w="1342" w:type="dxa"/>
            <w:hideMark/>
          </w:tcPr>
          <w:p w14:paraId="3991D6E3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0.903</w:t>
            </w:r>
          </w:p>
        </w:tc>
        <w:tc>
          <w:tcPr>
            <w:tcW w:w="1342" w:type="dxa"/>
            <w:hideMark/>
          </w:tcPr>
          <w:p w14:paraId="2AED9CFB" w14:textId="77777777" w:rsidR="007976B9" w:rsidRPr="00AA3974" w:rsidRDefault="007976B9" w:rsidP="00814A86">
            <w:pPr>
              <w:widowControl/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  <w:r w:rsidRPr="00AA3974">
              <w:rPr>
                <w:rFonts w:cs="Calibri"/>
                <w:color w:val="000000"/>
                <w:kern w:val="0"/>
                <w:sz w:val="15"/>
                <w:szCs w:val="15"/>
              </w:rPr>
              <w:t>0.903</w:t>
            </w:r>
          </w:p>
        </w:tc>
        <w:tc>
          <w:tcPr>
            <w:tcW w:w="1169" w:type="dxa"/>
          </w:tcPr>
          <w:p w14:paraId="78AC0CD7" w14:textId="77777777" w:rsidR="007976B9" w:rsidRPr="00AA3974" w:rsidRDefault="007976B9" w:rsidP="00814A86">
            <w:pPr>
              <w:jc w:val="center"/>
              <w:textAlignment w:val="bottom"/>
              <w:rPr>
                <w:rFonts w:cs="Calibri" w:hint="eastAsia"/>
                <w:color w:val="000000"/>
                <w:kern w:val="0"/>
                <w:sz w:val="15"/>
                <w:szCs w:val="15"/>
              </w:rPr>
            </w:pPr>
          </w:p>
        </w:tc>
      </w:tr>
    </w:tbl>
    <w:p w14:paraId="3ABE7570" w14:textId="77777777" w:rsidR="007976B9" w:rsidRPr="00AA3974" w:rsidRDefault="007976B9" w:rsidP="007976B9">
      <w:pPr>
        <w:spacing w:line="240" w:lineRule="auto"/>
        <w:rPr>
          <w:rFonts w:asciiTheme="majorHAnsi" w:eastAsia="黑体" w:hAnsiTheme="majorHAnsi" w:cstheme="majorBidi" w:hint="eastAsia"/>
          <w:sz w:val="20"/>
          <w:szCs w:val="20"/>
        </w:rPr>
      </w:pPr>
      <w:r w:rsidRPr="00AA3974">
        <w:rPr>
          <w:rFonts w:asciiTheme="majorHAnsi" w:eastAsia="黑体" w:hAnsiTheme="majorHAnsi" w:cstheme="majorBidi"/>
          <w:sz w:val="20"/>
          <w:szCs w:val="20"/>
        </w:rPr>
        <w:t>Abbreviations: CHD,</w:t>
      </w:r>
      <w:r w:rsidRPr="00AA3974">
        <w:rPr>
          <w:rFonts w:asciiTheme="majorHAnsi" w:eastAsia="黑体" w:hAnsiTheme="majorHAnsi" w:cstheme="majorBidi" w:hint="eastAsia"/>
          <w:sz w:val="20"/>
          <w:szCs w:val="20"/>
        </w:rPr>
        <w:t xml:space="preserve"> c</w:t>
      </w:r>
      <w:r w:rsidRPr="00AA3974">
        <w:rPr>
          <w:rFonts w:asciiTheme="majorHAnsi" w:eastAsia="黑体" w:hAnsiTheme="majorHAnsi" w:cstheme="majorBidi"/>
          <w:sz w:val="20"/>
          <w:szCs w:val="20"/>
        </w:rPr>
        <w:t xml:space="preserve">oronary </w:t>
      </w:r>
      <w:r w:rsidRPr="00AA3974">
        <w:rPr>
          <w:rFonts w:asciiTheme="majorHAnsi" w:eastAsia="黑体" w:hAnsiTheme="majorHAnsi" w:cstheme="majorBidi" w:hint="eastAsia"/>
          <w:sz w:val="20"/>
          <w:szCs w:val="20"/>
        </w:rPr>
        <w:t>h</w:t>
      </w:r>
      <w:r w:rsidRPr="00AA3974">
        <w:rPr>
          <w:rFonts w:asciiTheme="majorHAnsi" w:eastAsia="黑体" w:hAnsiTheme="majorHAnsi" w:cstheme="majorBidi"/>
          <w:sz w:val="20"/>
          <w:szCs w:val="20"/>
        </w:rPr>
        <w:t xml:space="preserve">eart </w:t>
      </w:r>
      <w:r w:rsidRPr="00AA3974">
        <w:rPr>
          <w:rFonts w:asciiTheme="majorHAnsi" w:eastAsia="黑体" w:hAnsiTheme="majorHAnsi" w:cstheme="majorBidi" w:hint="eastAsia"/>
          <w:sz w:val="20"/>
          <w:szCs w:val="20"/>
        </w:rPr>
        <w:t>d</w:t>
      </w:r>
      <w:r w:rsidRPr="00AA3974">
        <w:rPr>
          <w:rFonts w:asciiTheme="majorHAnsi" w:eastAsia="黑体" w:hAnsiTheme="majorHAnsi" w:cstheme="majorBidi"/>
          <w:sz w:val="20"/>
          <w:szCs w:val="20"/>
        </w:rPr>
        <w:t>isease; CHF, congestive heart failure</w:t>
      </w:r>
    </w:p>
    <w:p w14:paraId="1126778E" w14:textId="60EE9E6C" w:rsidR="007976B9" w:rsidRPr="007976B9" w:rsidRDefault="007976B9" w:rsidP="007976B9">
      <w:pPr>
        <w:spacing w:line="240" w:lineRule="auto"/>
        <w:rPr>
          <w:rFonts w:asciiTheme="majorHAnsi" w:eastAsia="黑体" w:hAnsiTheme="majorHAnsi" w:cstheme="majorBidi" w:hint="eastAsia"/>
          <w:sz w:val="20"/>
          <w:szCs w:val="20"/>
        </w:rPr>
      </w:pPr>
      <w:r w:rsidRPr="00AA3974">
        <w:rPr>
          <w:rFonts w:asciiTheme="majorHAnsi" w:eastAsia="黑体" w:hAnsiTheme="majorHAnsi" w:cstheme="majorBidi"/>
          <w:sz w:val="20"/>
          <w:szCs w:val="20"/>
        </w:rPr>
        <w:t xml:space="preserve">For </w:t>
      </w:r>
      <w:r w:rsidRPr="00AA3974">
        <w:rPr>
          <w:rFonts w:asciiTheme="majorHAnsi" w:eastAsia="黑体" w:hAnsiTheme="majorHAnsi" w:cstheme="majorBidi" w:hint="eastAsia"/>
          <w:sz w:val="20"/>
          <w:szCs w:val="20"/>
        </w:rPr>
        <w:t>non-</w:t>
      </w:r>
      <w:r w:rsidRPr="00AA3974">
        <w:rPr>
          <w:rFonts w:asciiTheme="majorHAnsi" w:eastAsia="黑体" w:hAnsiTheme="majorHAnsi" w:cstheme="majorBidi"/>
          <w:sz w:val="20"/>
          <w:szCs w:val="20"/>
        </w:rPr>
        <w:t>CVD mortality: survey-weighted HR (95%CI) p-value</w:t>
      </w:r>
    </w:p>
    <w:sectPr w:rsidR="007976B9" w:rsidRPr="00797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6B9"/>
    <w:rsid w:val="00360545"/>
    <w:rsid w:val="0079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3A857"/>
  <w15:chartTrackingRefBased/>
  <w15:docId w15:val="{1C646640-4FC4-4189-8AFB-A16BAECF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76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6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6B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6B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6B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6B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6B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6B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6B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97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97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976B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976B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976B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976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976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976B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976B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97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76B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976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7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976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76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76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7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976B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76B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97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2024-08-10T01:13:00Z</dcterms:created>
  <dcterms:modified xsi:type="dcterms:W3CDTF">2024-08-10T01:15:00Z</dcterms:modified>
</cp:coreProperties>
</file>