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61B3A" w14:textId="51801158" w:rsidR="00591D7C" w:rsidRDefault="00591D7C" w:rsidP="00591D7C">
      <w:r w:rsidRPr="00555987">
        <w:t xml:space="preserve">Appendix </w:t>
      </w:r>
      <w:r w:rsidR="00541EC3">
        <w:t>2</w:t>
      </w:r>
      <w:r w:rsidRPr="00555987">
        <w:t>: Overview of the analysis and modifications in round one</w:t>
      </w:r>
    </w:p>
    <w:tbl>
      <w:tblPr>
        <w:tblW w:w="13461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751"/>
        <w:gridCol w:w="687"/>
        <w:gridCol w:w="1025"/>
        <w:gridCol w:w="993"/>
        <w:gridCol w:w="992"/>
        <w:gridCol w:w="709"/>
        <w:gridCol w:w="1248"/>
        <w:gridCol w:w="1179"/>
        <w:gridCol w:w="1170"/>
        <w:gridCol w:w="810"/>
        <w:gridCol w:w="810"/>
        <w:gridCol w:w="1440"/>
      </w:tblGrid>
      <w:tr w:rsidR="00591D7C" w:rsidRPr="00555987" w14:paraId="4C84A731" w14:textId="77777777" w:rsidTr="00591D7C">
        <w:trPr>
          <w:trHeight w:val="1274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9F986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b/>
                <w:sz w:val="20"/>
                <w:szCs w:val="20"/>
              </w:rPr>
              <w:t>Sections/ dimensions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1645B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Going into round 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AA7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Mean CVR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440D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rFonts w:eastAsia="Gungsuh"/>
                <w:sz w:val="20"/>
                <w:szCs w:val="20"/>
              </w:rPr>
              <w:t>≥80% agreed they were non-essential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7647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rFonts w:eastAsia="Gungsuh"/>
                <w:sz w:val="20"/>
                <w:szCs w:val="20"/>
              </w:rPr>
              <w:t>≥80% agreed they were essential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73C6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Negative CVR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5BE5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rFonts w:eastAsia="Gungsuh"/>
                <w:sz w:val="20"/>
                <w:szCs w:val="20"/>
              </w:rPr>
              <w:t>CVR ≥ 0.474</w:t>
            </w:r>
          </w:p>
        </w:tc>
        <w:tc>
          <w:tcPr>
            <w:tcW w:w="12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512C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Net after quantitative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D8AF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Received from other sections/ dimensions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A2F7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Sent to other sections/ dimensions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C492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Added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FFB53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Items ready for round 2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D6BFB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Mean CVR after modifications</w:t>
            </w:r>
          </w:p>
        </w:tc>
      </w:tr>
      <w:tr w:rsidR="00591D7C" w:rsidRPr="00555987" w14:paraId="59E4A78E" w14:textId="77777777" w:rsidTr="00591D7C">
        <w:tc>
          <w:tcPr>
            <w:tcW w:w="1647" w:type="dxa"/>
            <w:tcBorders>
              <w:top w:val="single" w:sz="4" w:space="0" w:color="000000"/>
            </w:tcBorders>
            <w:vAlign w:val="center"/>
          </w:tcPr>
          <w:p w14:paraId="180EDDFE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Section 1</w:t>
            </w:r>
          </w:p>
        </w:tc>
        <w:tc>
          <w:tcPr>
            <w:tcW w:w="751" w:type="dxa"/>
            <w:tcBorders>
              <w:top w:val="single" w:sz="4" w:space="0" w:color="000000"/>
            </w:tcBorders>
            <w:vAlign w:val="center"/>
          </w:tcPr>
          <w:p w14:paraId="0D670EE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B44FA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0.79</w:t>
            </w:r>
          </w:p>
        </w:tc>
        <w:tc>
          <w:tcPr>
            <w:tcW w:w="10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614E7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0B913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F5D2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35570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590B7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11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1A0FE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1D15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27B83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vAlign w:val="center"/>
          </w:tcPr>
          <w:p w14:paraId="6FD2DAC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vAlign w:val="center"/>
          </w:tcPr>
          <w:p w14:paraId="071F614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0.79</w:t>
            </w:r>
          </w:p>
        </w:tc>
      </w:tr>
      <w:tr w:rsidR="00591D7C" w:rsidRPr="00555987" w14:paraId="34C530DE" w14:textId="77777777" w:rsidTr="00591D7C">
        <w:tc>
          <w:tcPr>
            <w:tcW w:w="1647" w:type="dxa"/>
            <w:vAlign w:val="center"/>
          </w:tcPr>
          <w:p w14:paraId="33FCD199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Section 2</w:t>
            </w:r>
          </w:p>
        </w:tc>
        <w:tc>
          <w:tcPr>
            <w:tcW w:w="751" w:type="dxa"/>
            <w:vAlign w:val="center"/>
          </w:tcPr>
          <w:p w14:paraId="05019A5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298B11E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0.90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73AFFB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711B2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B4A7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D4598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77C310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42723D0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9BFAB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ED97F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12EBD10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center"/>
          </w:tcPr>
          <w:p w14:paraId="7BBDA08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0.90</w:t>
            </w:r>
          </w:p>
        </w:tc>
      </w:tr>
      <w:tr w:rsidR="00591D7C" w:rsidRPr="00555987" w14:paraId="42772998" w14:textId="77777777" w:rsidTr="00591D7C">
        <w:tc>
          <w:tcPr>
            <w:tcW w:w="1647" w:type="dxa"/>
            <w:vAlign w:val="center"/>
          </w:tcPr>
          <w:p w14:paraId="0BF08101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Section 3</w:t>
            </w:r>
          </w:p>
        </w:tc>
        <w:tc>
          <w:tcPr>
            <w:tcW w:w="751" w:type="dxa"/>
            <w:vAlign w:val="center"/>
          </w:tcPr>
          <w:p w14:paraId="2491BA5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5A741B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14:paraId="7C90478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6157F5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C29FA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73468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7B65446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76FD95A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962318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71210F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B22556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F336A0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</w:p>
        </w:tc>
      </w:tr>
      <w:tr w:rsidR="00591D7C" w:rsidRPr="00555987" w14:paraId="44F92E65" w14:textId="77777777" w:rsidTr="00591D7C">
        <w:tc>
          <w:tcPr>
            <w:tcW w:w="1647" w:type="dxa"/>
            <w:vAlign w:val="center"/>
          </w:tcPr>
          <w:p w14:paraId="708375A5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 xml:space="preserve">Performance Expectancy (PE): </w:t>
            </w:r>
            <w:proofErr w:type="gramStart"/>
            <w:r w:rsidRPr="00555987">
              <w:rPr>
                <w:sz w:val="20"/>
                <w:szCs w:val="20"/>
              </w:rPr>
              <w:t>Non patient</w:t>
            </w:r>
            <w:proofErr w:type="gramEnd"/>
            <w:r w:rsidRPr="00555987">
              <w:rPr>
                <w:sz w:val="20"/>
                <w:szCs w:val="20"/>
              </w:rPr>
              <w:t>-centered</w:t>
            </w:r>
          </w:p>
        </w:tc>
        <w:tc>
          <w:tcPr>
            <w:tcW w:w="751" w:type="dxa"/>
            <w:vAlign w:val="center"/>
          </w:tcPr>
          <w:p w14:paraId="7E453B7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10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1064BA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-0.13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991D56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B5D5E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B927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8F157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236F9C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0218293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F132F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73CF25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482AD96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14:paraId="2EE2919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0.47</w:t>
            </w:r>
          </w:p>
        </w:tc>
      </w:tr>
      <w:tr w:rsidR="00591D7C" w:rsidRPr="00555987" w14:paraId="24508B69" w14:textId="77777777" w:rsidTr="00591D7C">
        <w:tc>
          <w:tcPr>
            <w:tcW w:w="1647" w:type="dxa"/>
            <w:vAlign w:val="center"/>
          </w:tcPr>
          <w:p w14:paraId="2675A3EC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Performance Expectancy (PE): Patient-centered</w:t>
            </w:r>
          </w:p>
        </w:tc>
        <w:tc>
          <w:tcPr>
            <w:tcW w:w="751" w:type="dxa"/>
            <w:vAlign w:val="center"/>
          </w:tcPr>
          <w:p w14:paraId="0A1E564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7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48E178F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0.50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CEAE0B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BBBAC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9262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39996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2BF128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6737C17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05603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64A3A5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08ABD85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vAlign w:val="center"/>
          </w:tcPr>
          <w:p w14:paraId="4397742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0.63</w:t>
            </w:r>
          </w:p>
        </w:tc>
      </w:tr>
      <w:tr w:rsidR="00591D7C" w:rsidRPr="00555987" w14:paraId="4577250F" w14:textId="77777777" w:rsidTr="00591D7C">
        <w:tc>
          <w:tcPr>
            <w:tcW w:w="1647" w:type="dxa"/>
            <w:vAlign w:val="center"/>
          </w:tcPr>
          <w:p w14:paraId="4101034D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Effort Expectancy (EE)</w:t>
            </w:r>
          </w:p>
        </w:tc>
        <w:tc>
          <w:tcPr>
            <w:tcW w:w="751" w:type="dxa"/>
            <w:vAlign w:val="center"/>
          </w:tcPr>
          <w:p w14:paraId="5EE877B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1746748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0.23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04F194A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E1495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C7C46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C5B06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C0D403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365BEA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4EB38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4A0CC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4AD7D8E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14:paraId="55A8BD6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0.47</w:t>
            </w:r>
          </w:p>
        </w:tc>
      </w:tr>
      <w:tr w:rsidR="00591D7C" w:rsidRPr="00555987" w14:paraId="27BF18E8" w14:textId="77777777" w:rsidTr="00591D7C">
        <w:tc>
          <w:tcPr>
            <w:tcW w:w="1647" w:type="dxa"/>
            <w:vAlign w:val="center"/>
          </w:tcPr>
          <w:p w14:paraId="06D587F8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Social Influence (SI): General</w:t>
            </w:r>
          </w:p>
        </w:tc>
        <w:tc>
          <w:tcPr>
            <w:tcW w:w="751" w:type="dxa"/>
            <w:vAlign w:val="center"/>
          </w:tcPr>
          <w:p w14:paraId="48CDEE9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1F45F05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-0.33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92308C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13E6A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85396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F864A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73B6AD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D7F593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8F081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F357A1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6198F51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14:paraId="43FEF9B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0.16</w:t>
            </w:r>
          </w:p>
        </w:tc>
      </w:tr>
      <w:tr w:rsidR="00591D7C" w:rsidRPr="00555987" w14:paraId="4012BADD" w14:textId="77777777" w:rsidTr="00591D7C">
        <w:tc>
          <w:tcPr>
            <w:tcW w:w="1647" w:type="dxa"/>
            <w:vAlign w:val="center"/>
          </w:tcPr>
          <w:p w14:paraId="692B48EE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Social influence (SI): Organization</w:t>
            </w:r>
          </w:p>
        </w:tc>
        <w:tc>
          <w:tcPr>
            <w:tcW w:w="751" w:type="dxa"/>
            <w:vAlign w:val="center"/>
          </w:tcPr>
          <w:p w14:paraId="3C99CBB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9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7328417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0.18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6A63FE8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28061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7D742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DE861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5CAEC7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4DF198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E2362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A43D97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17FABAF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08E4796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0.39</w:t>
            </w:r>
          </w:p>
        </w:tc>
      </w:tr>
      <w:tr w:rsidR="00591D7C" w:rsidRPr="00555987" w14:paraId="733F7A5A" w14:textId="77777777" w:rsidTr="00591D7C">
        <w:tc>
          <w:tcPr>
            <w:tcW w:w="1647" w:type="dxa"/>
            <w:vAlign w:val="center"/>
          </w:tcPr>
          <w:p w14:paraId="29978495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Social Influence (SI): Patients</w:t>
            </w:r>
          </w:p>
        </w:tc>
        <w:tc>
          <w:tcPr>
            <w:tcW w:w="751" w:type="dxa"/>
            <w:vAlign w:val="center"/>
          </w:tcPr>
          <w:p w14:paraId="34C608D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2C4F041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0.54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6E5CBF3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20B18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6FDA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7CD9E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2BFAF7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3EBBEF9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E3D2C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11991A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6CF5957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2473383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0.54</w:t>
            </w:r>
          </w:p>
        </w:tc>
      </w:tr>
      <w:tr w:rsidR="00591D7C" w:rsidRPr="00555987" w14:paraId="2F16AE20" w14:textId="77777777" w:rsidTr="00591D7C">
        <w:tc>
          <w:tcPr>
            <w:tcW w:w="1647" w:type="dxa"/>
            <w:vAlign w:val="center"/>
          </w:tcPr>
          <w:p w14:paraId="6545C4A1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Facilitating Conditions (FC)</w:t>
            </w:r>
          </w:p>
        </w:tc>
        <w:tc>
          <w:tcPr>
            <w:tcW w:w="751" w:type="dxa"/>
            <w:vAlign w:val="center"/>
          </w:tcPr>
          <w:p w14:paraId="4095511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B54E22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0.32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275DE1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D6215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C9487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EECD5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4749161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59E2529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88497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976704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0FBE5A2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1494E4B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0.32</w:t>
            </w:r>
          </w:p>
        </w:tc>
      </w:tr>
      <w:tr w:rsidR="00591D7C" w:rsidRPr="00555987" w14:paraId="2411B2A5" w14:textId="77777777" w:rsidTr="00591D7C">
        <w:tc>
          <w:tcPr>
            <w:tcW w:w="1647" w:type="dxa"/>
            <w:vAlign w:val="center"/>
          </w:tcPr>
          <w:p w14:paraId="1422C836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Hedonic Motivation (HM)</w:t>
            </w:r>
          </w:p>
        </w:tc>
        <w:tc>
          <w:tcPr>
            <w:tcW w:w="751" w:type="dxa"/>
            <w:vAlign w:val="center"/>
          </w:tcPr>
          <w:p w14:paraId="1567772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5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D526A6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0.26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1DC8F8D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FE260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055B3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893F2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32494DEE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413F8039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26DF9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5CE91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19660E0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B3464F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0.34</w:t>
            </w:r>
          </w:p>
        </w:tc>
      </w:tr>
      <w:tr w:rsidR="00591D7C" w:rsidRPr="00555987" w14:paraId="5F1DBDA6" w14:textId="77777777" w:rsidTr="00591D7C">
        <w:tc>
          <w:tcPr>
            <w:tcW w:w="1647" w:type="dxa"/>
            <w:vAlign w:val="center"/>
          </w:tcPr>
          <w:p w14:paraId="55FF1ADD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Perceived Price Value (PPV)</w:t>
            </w:r>
          </w:p>
        </w:tc>
        <w:tc>
          <w:tcPr>
            <w:tcW w:w="751" w:type="dxa"/>
            <w:vAlign w:val="center"/>
          </w:tcPr>
          <w:p w14:paraId="36B66F9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7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0FE3F5D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-0.01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375BB20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C92D0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13CC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4C8C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756830A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391F116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EC09D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54354E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731BFD4C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13D14A58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0.21</w:t>
            </w:r>
          </w:p>
        </w:tc>
      </w:tr>
      <w:tr w:rsidR="00591D7C" w:rsidRPr="00555987" w14:paraId="76A67F6B" w14:textId="77777777" w:rsidTr="00591D7C">
        <w:tc>
          <w:tcPr>
            <w:tcW w:w="1647" w:type="dxa"/>
            <w:vAlign w:val="center"/>
          </w:tcPr>
          <w:p w14:paraId="1301858A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Experience &amp; Habit (HT)</w:t>
            </w:r>
          </w:p>
        </w:tc>
        <w:tc>
          <w:tcPr>
            <w:tcW w:w="751" w:type="dxa"/>
            <w:vAlign w:val="center"/>
          </w:tcPr>
          <w:p w14:paraId="3C6CB8C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1F891B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-0.44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7FBE06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DC494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3E05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14DC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B40C62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2EFE5BE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18541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35F699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4E61F74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14:paraId="1F57641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</w:t>
            </w:r>
          </w:p>
        </w:tc>
      </w:tr>
      <w:tr w:rsidR="00591D7C" w:rsidRPr="00555987" w14:paraId="0D79B0F5" w14:textId="77777777" w:rsidTr="00591D7C"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6C732241" w14:textId="77777777" w:rsidR="00591D7C" w:rsidRPr="00555987" w:rsidRDefault="00591D7C" w:rsidP="002F5C78">
            <w:pPr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Behavioral intentions (BI)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center"/>
          </w:tcPr>
          <w:p w14:paraId="17F61785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0FF3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-0.02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AC54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F23C3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BCA2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C6291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23D7D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BFD4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0E3D7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16E92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14:paraId="59BBAB1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0FA0235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0.14</w:t>
            </w:r>
          </w:p>
        </w:tc>
      </w:tr>
      <w:tr w:rsidR="00591D7C" w:rsidRPr="00555987" w14:paraId="49823F93" w14:textId="77777777" w:rsidTr="00591D7C">
        <w:trPr>
          <w:trHeight w:val="419"/>
        </w:trPr>
        <w:tc>
          <w:tcPr>
            <w:tcW w:w="16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865863" w14:textId="77777777" w:rsidR="00591D7C" w:rsidRPr="00555987" w:rsidRDefault="00591D7C" w:rsidP="002F5C78">
            <w:pPr>
              <w:rPr>
                <w:b/>
                <w:sz w:val="20"/>
                <w:szCs w:val="20"/>
              </w:rPr>
            </w:pPr>
            <w:r w:rsidRPr="0055598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7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F975FB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FD182" w14:textId="77777777" w:rsidR="00591D7C" w:rsidRPr="00555987" w:rsidRDefault="00591D7C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525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41BC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ABB7F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7C9F0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33</w:t>
            </w:r>
          </w:p>
        </w:tc>
        <w:tc>
          <w:tcPr>
            <w:tcW w:w="12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AA4A6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56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B5171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0446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DE46A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B06FAD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66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B93064" w14:textId="77777777" w:rsidR="00591D7C" w:rsidRPr="00555987" w:rsidRDefault="00591D7C" w:rsidP="002F5C78">
            <w:pPr>
              <w:jc w:val="center"/>
              <w:rPr>
                <w:sz w:val="20"/>
                <w:szCs w:val="20"/>
              </w:rPr>
            </w:pPr>
            <w:r w:rsidRPr="00555987">
              <w:rPr>
                <w:sz w:val="20"/>
                <w:szCs w:val="20"/>
              </w:rPr>
              <w:t>0.45</w:t>
            </w:r>
          </w:p>
        </w:tc>
      </w:tr>
    </w:tbl>
    <w:p w14:paraId="1464E84C" w14:textId="2980DC55" w:rsidR="00662C8C" w:rsidRDefault="00662C8C" w:rsidP="00591D7C"/>
    <w:sectPr w:rsidR="00662C8C" w:rsidSect="00591D7C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7C54" w14:textId="77777777" w:rsidR="00AB51AF" w:rsidRDefault="00AB51AF" w:rsidP="00591D7C">
      <w:r>
        <w:separator/>
      </w:r>
    </w:p>
  </w:endnote>
  <w:endnote w:type="continuationSeparator" w:id="0">
    <w:p w14:paraId="5B0B6A0B" w14:textId="77777777" w:rsidR="00AB51AF" w:rsidRDefault="00AB51AF" w:rsidP="0059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210EA" w14:textId="77777777" w:rsidR="00AB51AF" w:rsidRDefault="00AB51AF" w:rsidP="00591D7C">
      <w:r>
        <w:separator/>
      </w:r>
    </w:p>
  </w:footnote>
  <w:footnote w:type="continuationSeparator" w:id="0">
    <w:p w14:paraId="48A7EAC7" w14:textId="77777777" w:rsidR="00AB51AF" w:rsidRDefault="00AB51AF" w:rsidP="00591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B6"/>
    <w:rsid w:val="00205411"/>
    <w:rsid w:val="002F21B6"/>
    <w:rsid w:val="00410DB1"/>
    <w:rsid w:val="00541EC3"/>
    <w:rsid w:val="00591D7C"/>
    <w:rsid w:val="00643D07"/>
    <w:rsid w:val="00662C8C"/>
    <w:rsid w:val="008B06AE"/>
    <w:rsid w:val="00AB51AF"/>
    <w:rsid w:val="00B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FA099"/>
  <w15:chartTrackingRefBased/>
  <w15:docId w15:val="{5AC0370A-BDC0-4920-9463-160FD823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D7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1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1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1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1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1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1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1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1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1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1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1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1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2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1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2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1B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2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1B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21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1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1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1D7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91D7C"/>
  </w:style>
  <w:style w:type="paragraph" w:styleId="Footer">
    <w:name w:val="footer"/>
    <w:basedOn w:val="Normal"/>
    <w:link w:val="FooterChar"/>
    <w:uiPriority w:val="99"/>
    <w:unhideWhenUsed/>
    <w:rsid w:val="00591D7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9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tantawy</dc:creator>
  <cp:keywords/>
  <dc:description/>
  <cp:lastModifiedBy>maha tantawy</cp:lastModifiedBy>
  <cp:revision>3</cp:revision>
  <dcterms:created xsi:type="dcterms:W3CDTF">2024-08-07T08:30:00Z</dcterms:created>
  <dcterms:modified xsi:type="dcterms:W3CDTF">2024-08-07T08:31:00Z</dcterms:modified>
</cp:coreProperties>
</file>