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F2C19" w14:textId="77777777" w:rsidR="00EC178B" w:rsidRDefault="00EC178B" w:rsidP="00EC178B">
      <w:pPr>
        <w:pStyle w:val="Aa"/>
        <w:jc w:val="both"/>
        <w:rPr>
          <w:rStyle w:val="ab"/>
          <w:rFonts w:ascii="Times New Roman" w:eastAsia="Times New Roman" w:hAnsi="Times New Roman" w:cs="Times New Roman"/>
          <w:b/>
          <w:bCs/>
        </w:rPr>
      </w:pPr>
      <w:r>
        <w:rPr>
          <w:rStyle w:val="ab"/>
          <w:rFonts w:ascii="Times New Roman" w:hAnsi="Times New Roman"/>
          <w:b/>
          <w:bCs/>
        </w:rPr>
        <w:t>Appendix A: Supplementary data</w:t>
      </w:r>
    </w:p>
    <w:p w14:paraId="32EBB3F1" w14:textId="77777777" w:rsidR="00EC178B" w:rsidRDefault="00EC178B" w:rsidP="00EC178B">
      <w:pPr>
        <w:pStyle w:val="Aa"/>
        <w:jc w:val="both"/>
        <w:rPr>
          <w:rStyle w:val="ab"/>
          <w:rFonts w:ascii="Times New Roman" w:eastAsia="Times New Roman" w:hAnsi="Times New Roman" w:cs="Times New Roman"/>
        </w:rPr>
      </w:pPr>
      <w:r>
        <w:rPr>
          <w:rStyle w:val="ab"/>
          <w:rFonts w:ascii="Times New Roman" w:hAnsi="Times New Roman"/>
        </w:rPr>
        <w:t>The following is the supplementary data to this article.</w:t>
      </w:r>
    </w:p>
    <w:p w14:paraId="674729F8" w14:textId="39713539" w:rsidR="00CA25D6" w:rsidRPr="00EC178B" w:rsidRDefault="00EC178B" w:rsidP="00EC178B">
      <w:pPr>
        <w:pStyle w:val="Aa"/>
        <w:jc w:val="both"/>
        <w:rPr>
          <w:rFonts w:ascii="Times New Roman" w:eastAsiaTheme="minorEastAsia" w:hAnsi="Times New Roman" w:cs="Times New Roman" w:hint="eastAsia"/>
        </w:rPr>
      </w:pPr>
      <w:r>
        <w:rPr>
          <w:rStyle w:val="ab"/>
          <w:rFonts w:ascii="Times New Roman" w:hAnsi="Times New Roman"/>
        </w:rPr>
        <w:t>Figure S1: Flowchart of the patient selection; Figure S2: Overview of the study design; Figure S3: Comparison of signal involvement between primary SS (</w:t>
      </w:r>
      <w:proofErr w:type="spellStart"/>
      <w:r>
        <w:rPr>
          <w:rStyle w:val="ab"/>
          <w:rFonts w:ascii="Times New Roman" w:hAnsi="Times New Roman"/>
        </w:rPr>
        <w:t>pSS</w:t>
      </w:r>
      <w:proofErr w:type="spellEnd"/>
      <w:r>
        <w:rPr>
          <w:rStyle w:val="ab"/>
          <w:rFonts w:ascii="Times New Roman" w:hAnsi="Times New Roman"/>
        </w:rPr>
        <w:t>) and secondary SS (</w:t>
      </w:r>
      <w:proofErr w:type="spellStart"/>
      <w:r>
        <w:rPr>
          <w:rStyle w:val="ab"/>
          <w:rFonts w:ascii="Times New Roman" w:hAnsi="Times New Roman"/>
        </w:rPr>
        <w:t>sSS</w:t>
      </w:r>
      <w:proofErr w:type="spellEnd"/>
      <w:r>
        <w:rPr>
          <w:rStyle w:val="ab"/>
          <w:rFonts w:ascii="Times New Roman" w:hAnsi="Times New Roman"/>
        </w:rPr>
        <w:t xml:space="preserve">); Figure S4: Antibody validation for SS; Figure S5: Antibody validation for mucocele; Figure S6: Difference in inflammation of Mucocele, </w:t>
      </w:r>
      <w:proofErr w:type="spellStart"/>
      <w:r>
        <w:rPr>
          <w:rStyle w:val="ab"/>
          <w:rFonts w:ascii="Times New Roman" w:hAnsi="Times New Roman"/>
        </w:rPr>
        <w:t>pSS</w:t>
      </w:r>
      <w:proofErr w:type="spellEnd"/>
      <w:r>
        <w:rPr>
          <w:rStyle w:val="ab"/>
          <w:rFonts w:ascii="Times New Roman" w:hAnsi="Times New Roman"/>
        </w:rPr>
        <w:t xml:space="preserve"> and </w:t>
      </w:r>
      <w:proofErr w:type="spellStart"/>
      <w:r>
        <w:rPr>
          <w:rStyle w:val="ab"/>
          <w:rFonts w:ascii="Times New Roman" w:hAnsi="Times New Roman"/>
        </w:rPr>
        <w:t>sSS</w:t>
      </w:r>
      <w:proofErr w:type="spellEnd"/>
      <w:r>
        <w:rPr>
          <w:rStyle w:val="ab"/>
          <w:rFonts w:ascii="Times New Roman" w:hAnsi="Times New Roman"/>
        </w:rPr>
        <w:t xml:space="preserve">; Figure S7: Frequencies of tissue and cell types found in Mucocele, </w:t>
      </w:r>
      <w:proofErr w:type="spellStart"/>
      <w:r>
        <w:rPr>
          <w:rStyle w:val="ab"/>
          <w:rFonts w:ascii="Times New Roman" w:hAnsi="Times New Roman"/>
        </w:rPr>
        <w:t>pSS</w:t>
      </w:r>
      <w:proofErr w:type="spellEnd"/>
      <w:r>
        <w:rPr>
          <w:rStyle w:val="ab"/>
          <w:rFonts w:ascii="Times New Roman" w:hAnsi="Times New Roman"/>
        </w:rPr>
        <w:t xml:space="preserve"> and </w:t>
      </w:r>
      <w:proofErr w:type="spellStart"/>
      <w:r>
        <w:rPr>
          <w:rStyle w:val="ab"/>
          <w:rFonts w:ascii="Times New Roman" w:hAnsi="Times New Roman"/>
        </w:rPr>
        <w:t>sSS</w:t>
      </w:r>
      <w:proofErr w:type="spellEnd"/>
      <w:r>
        <w:rPr>
          <w:rStyle w:val="ab"/>
          <w:rFonts w:ascii="Times New Roman" w:hAnsi="Times New Roman"/>
        </w:rPr>
        <w:t xml:space="preserve">. Table S1: Patient backgrounds; Table S2: Top 10 genes that varied between </w:t>
      </w:r>
      <w:proofErr w:type="spellStart"/>
      <w:r>
        <w:rPr>
          <w:rStyle w:val="ab"/>
          <w:rFonts w:ascii="Times New Roman" w:hAnsi="Times New Roman"/>
        </w:rPr>
        <w:t>pSS</w:t>
      </w:r>
      <w:proofErr w:type="spellEnd"/>
      <w:r>
        <w:rPr>
          <w:rStyle w:val="ab"/>
          <w:rFonts w:ascii="Times New Roman" w:hAnsi="Times New Roman"/>
        </w:rPr>
        <w:t xml:space="preserve"> and </w:t>
      </w:r>
      <w:proofErr w:type="spellStart"/>
      <w:r>
        <w:rPr>
          <w:rStyle w:val="ab"/>
          <w:rFonts w:ascii="Times New Roman" w:hAnsi="Times New Roman"/>
        </w:rPr>
        <w:t>sSS</w:t>
      </w:r>
      <w:proofErr w:type="spellEnd"/>
      <w:r>
        <w:rPr>
          <w:rStyle w:val="ab"/>
          <w:rFonts w:ascii="Times New Roman" w:hAnsi="Times New Roman"/>
        </w:rPr>
        <w:t>; Table S3: Difference of RNA expression in autophagy markers; Table S4: Antibodies used in this study.</w:t>
      </w:r>
    </w:p>
    <w:sectPr w:rsidR="00CA25D6" w:rsidRPr="00EC178B" w:rsidSect="00EC178B"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ヒラギノ角ゴ ProN W3">
    <w:altName w:val="Cambria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78B"/>
    <w:rsid w:val="000652FC"/>
    <w:rsid w:val="00AF4545"/>
    <w:rsid w:val="00CA25D6"/>
    <w:rsid w:val="00EC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42865B"/>
  <w15:chartTrackingRefBased/>
  <w15:docId w15:val="{AFE9E0E1-63D2-4713-883E-D8B30EC8A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178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17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178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178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178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178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178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178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178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C178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C178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C178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C17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C17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C17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C17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C17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C178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C178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C17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178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C17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17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C17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178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C178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C17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C178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C178B"/>
    <w:rPr>
      <w:b/>
      <w:bCs/>
      <w:smallCaps/>
      <w:color w:val="0F4761" w:themeColor="accent1" w:themeShade="BF"/>
      <w:spacing w:val="5"/>
    </w:rPr>
  </w:style>
  <w:style w:type="paragraph" w:customStyle="1" w:styleId="Aa">
    <w:name w:val="本文 A"/>
    <w:rsid w:val="00EC178B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</w:pPr>
    <w:rPr>
      <w:rFonts w:ascii="ヒラギノ角ゴ ProN W3" w:eastAsia="ヒラギノ角ゴ ProN W3" w:hAnsi="ヒラギノ角ゴ ProN W3" w:cs="ヒラギノ角ゴ ProN W3"/>
      <w:color w:val="000000"/>
      <w:kern w:val="0"/>
      <w:sz w:val="22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b">
    <w:name w:val="なし"/>
    <w:rsid w:val="00EC178B"/>
  </w:style>
  <w:style w:type="character" w:styleId="ac">
    <w:name w:val="line number"/>
    <w:basedOn w:val="a0"/>
    <w:uiPriority w:val="99"/>
    <w:semiHidden/>
    <w:unhideWhenUsed/>
    <w:rsid w:val="00EC1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Hitomi Minagi</dc:creator>
  <cp:keywords/>
  <dc:description/>
  <cp:lastModifiedBy>Hitomi Minagi</cp:lastModifiedBy>
  <cp:revision>1</cp:revision>
  <dcterms:created xsi:type="dcterms:W3CDTF">2024-09-04T11:38:00Z</dcterms:created>
  <dcterms:modified xsi:type="dcterms:W3CDTF">2024-09-04T11:40:00Z</dcterms:modified>
</cp:coreProperties>
</file>