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44274" w14:textId="4A7AF0FF" w:rsidR="00DE4665" w:rsidRPr="00DE4665" w:rsidRDefault="00DE4665" w:rsidP="00DE4665">
      <w:pPr>
        <w:pStyle w:val="a3"/>
        <w:widowControl/>
        <w:rPr>
          <w:rFonts w:ascii="Times New Roman" w:hAnsi="Times New Roman"/>
          <w:sz w:val="21"/>
          <w:szCs w:val="21"/>
        </w:rPr>
      </w:pPr>
      <w:r w:rsidRPr="00DE4665">
        <w:rPr>
          <w:rFonts w:ascii="Times New Roman" w:hAnsi="Times New Roman"/>
          <w:color w:val="000000"/>
          <w:sz w:val="21"/>
          <w:szCs w:val="21"/>
        </w:rPr>
        <w:t>Table S</w:t>
      </w:r>
      <w:r w:rsidRPr="00DE4665">
        <w:rPr>
          <w:rFonts w:ascii="Times New Roman" w:hAnsi="Times New Roman"/>
          <w:color w:val="000000"/>
          <w:sz w:val="21"/>
          <w:szCs w:val="21"/>
        </w:rPr>
        <w:t>1</w:t>
      </w:r>
      <w:r w:rsidRPr="00DE4665">
        <w:rPr>
          <w:rFonts w:ascii="Times New Roman" w:hAnsi="Times New Roman"/>
          <w:color w:val="000000"/>
          <w:sz w:val="21"/>
          <w:szCs w:val="21"/>
        </w:rPr>
        <w:t xml:space="preserve"> Assessment of the certainty of evidence for PR</w:t>
      </w:r>
      <w:r w:rsidRPr="00DE4665">
        <w:rPr>
          <w:rFonts w:ascii="Times New Roman" w:hAnsi="Times New Roman"/>
          <w:color w:val="000000"/>
          <w:sz w:val="21"/>
          <w:szCs w:val="21"/>
        </w:rPr>
        <w:t>P</w:t>
      </w:r>
      <w:r w:rsidRPr="00DE4665">
        <w:rPr>
          <w:rFonts w:ascii="Times New Roman" w:hAnsi="Times New Roman"/>
          <w:color w:val="000000"/>
          <w:sz w:val="21"/>
          <w:szCs w:val="21"/>
        </w:rPr>
        <w:t xml:space="preserve"> based on the GRADE guidelines.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1079"/>
        <w:gridCol w:w="751"/>
        <w:gridCol w:w="1366"/>
        <w:gridCol w:w="1246"/>
        <w:gridCol w:w="1224"/>
        <w:gridCol w:w="1412"/>
        <w:gridCol w:w="527"/>
        <w:gridCol w:w="1258"/>
        <w:gridCol w:w="781"/>
        <w:gridCol w:w="1164"/>
        <w:gridCol w:w="1197"/>
        <w:gridCol w:w="1256"/>
      </w:tblGrid>
      <w:tr w:rsidR="002C1F02" w:rsidRPr="00DE4665" w14:paraId="3DD8B9E1" w14:textId="77777777">
        <w:trPr>
          <w:trHeight w:val="312"/>
        </w:trPr>
        <w:tc>
          <w:tcPr>
            <w:tcW w:w="0" w:type="auto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074838D8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Quality assessment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78B96A17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No of patients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7C27FA53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Effect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24BB39AA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Quality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3D9FFDCF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Importance</w:t>
            </w:r>
          </w:p>
        </w:tc>
      </w:tr>
      <w:tr w:rsidR="002C1F02" w:rsidRPr="00DE4665" w14:paraId="4DAD3DEB" w14:textId="77777777">
        <w:trPr>
          <w:trHeight w:val="312"/>
        </w:trPr>
        <w:tc>
          <w:tcPr>
            <w:tcW w:w="0" w:type="auto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3E5FB1BF" w14:textId="77777777" w:rsidR="002C1F02" w:rsidRPr="00DE4665" w:rsidRDefault="002C1F0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7832D163" w14:textId="77777777" w:rsidR="002C1F02" w:rsidRPr="00DE4665" w:rsidRDefault="002C1F0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5097BD79" w14:textId="77777777" w:rsidR="002C1F02" w:rsidRPr="00DE4665" w:rsidRDefault="002C1F0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684CA432" w14:textId="77777777" w:rsidR="002C1F02" w:rsidRPr="00DE4665" w:rsidRDefault="002C1F0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5F43F8D0" w14:textId="77777777" w:rsidR="002C1F02" w:rsidRPr="00DE4665" w:rsidRDefault="002C1F0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C1F02" w:rsidRPr="00DE4665" w14:paraId="36512784" w14:textId="7777777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0A2D51F7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No of studies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07AE324C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Design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40CC3E9D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Risk of bias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768ADEEE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Inconsistency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48973EC1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Indirectness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6D4F5A56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Imprecision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1849887C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Other considerations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5805BE9C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Use of PRP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6F6E3E09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Patients receiving other graft materials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734ED787" w14:textId="77777777" w:rsidR="002C1F02" w:rsidRPr="00DE466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Relative</w:t>
            </w:r>
          </w:p>
          <w:p w14:paraId="32AF446A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(95% CI)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08E05F6B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Absolute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22B9353C" w14:textId="77777777" w:rsidR="002C1F02" w:rsidRPr="00DE4665" w:rsidRDefault="002C1F0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363BFC77" w14:textId="77777777" w:rsidR="002C1F02" w:rsidRPr="00DE4665" w:rsidRDefault="002C1F0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C1F02" w:rsidRPr="00DE4665" w14:paraId="72DC428A" w14:textId="77777777">
        <w:tc>
          <w:tcPr>
            <w:tcW w:w="0" w:type="auto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6265B4F7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Percentage of new bone formation (Better indicated by higher values)</w:t>
            </w:r>
          </w:p>
        </w:tc>
      </w:tr>
      <w:tr w:rsidR="002C1F02" w:rsidRPr="00DE4665" w14:paraId="4B377DEB" w14:textId="7777777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F1AE09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E332A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randomised</w:t>
            </w:r>
            <w:proofErr w:type="spellEnd"/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trials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ED85F6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serious</w:t>
            </w:r>
            <w:r w:rsidRPr="00DE4665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38EE94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serious</w:t>
            </w:r>
            <w:r w:rsidRPr="00DE4665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5A29E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DC752C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imprecision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7D06E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none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53F5B0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51FBB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9F04A7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824B98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MD 4.40 higher (0.37 to 8.44 higher)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9AC04A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ÅÅOO</w:t>
            </w:r>
          </w:p>
          <w:p w14:paraId="0CCFA7F5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6B2A03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CRITICAL</w:t>
            </w:r>
          </w:p>
        </w:tc>
      </w:tr>
      <w:tr w:rsidR="002C1F02" w:rsidRPr="00DE4665" w14:paraId="6A1B968F" w14:textId="77777777">
        <w:tc>
          <w:tcPr>
            <w:tcW w:w="0" w:type="auto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2AE68F7E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Maxillary sinus floor height (Better indicated by higher values)</w:t>
            </w:r>
          </w:p>
        </w:tc>
      </w:tr>
      <w:tr w:rsidR="002C1F02" w:rsidRPr="00DE4665" w14:paraId="3BC918C4" w14:textId="7777777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BD839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52C83E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randomised</w:t>
            </w:r>
            <w:proofErr w:type="spellEnd"/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trials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D8BB94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serious</w:t>
            </w:r>
            <w:r w:rsidRPr="00DE4665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A0FA6C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inconsistency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B40363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F2B413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imprecision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F2FED6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none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2751F4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7FBB01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360C7F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A5CFF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MD 1.00 higher (0.78 to 1.23 higher)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1E7C07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ÅÅÅO</w:t>
            </w:r>
          </w:p>
          <w:p w14:paraId="4B88E6C5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MODERATE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09DF51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IMPORTANT</w:t>
            </w:r>
          </w:p>
        </w:tc>
      </w:tr>
      <w:tr w:rsidR="002C1F02" w:rsidRPr="00DE4665" w14:paraId="0E853884" w14:textId="77777777">
        <w:tc>
          <w:tcPr>
            <w:tcW w:w="0" w:type="auto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2CC7F816" w14:textId="77777777" w:rsidR="002C1F02" w:rsidRPr="00DE4665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The percentage of soft tissue area (Better indicated by lower values)</w:t>
            </w:r>
          </w:p>
        </w:tc>
      </w:tr>
      <w:tr w:rsidR="002C1F02" w:rsidRPr="00DE4665" w14:paraId="292D870F" w14:textId="7777777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D5CF3C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7BFBE0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randomised</w:t>
            </w:r>
            <w:proofErr w:type="spellEnd"/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trials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7A9A5D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serious</w:t>
            </w:r>
            <w:r w:rsidRPr="00DE4665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80C164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inconsistency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810D7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FAD715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imprecision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1A0556" w14:textId="77777777" w:rsidR="002C1F02" w:rsidRPr="00DE4665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none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4BA3BD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D547EC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3526C3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1CF49C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MD 5.25 lower (7.29 to 3.20 lower)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E0E27B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ÅÅÅO</w:t>
            </w:r>
          </w:p>
          <w:p w14:paraId="765D7268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MODERATE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FAE4EE" w14:textId="77777777" w:rsidR="002C1F02" w:rsidRPr="00DE4665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DE46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IMPORTANT</w:t>
            </w:r>
          </w:p>
        </w:tc>
      </w:tr>
    </w:tbl>
    <w:p w14:paraId="52A30305" w14:textId="77777777" w:rsidR="002C1F02" w:rsidRPr="00DE4665" w:rsidRDefault="0000000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</w:pPr>
      <w:r w:rsidRPr="00DE4665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1</w:t>
      </w:r>
      <w:r w:rsidRPr="00DE4665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4/8 studies showed potential bias</w:t>
      </w:r>
    </w:p>
    <w:p w14:paraId="52B7B5F9" w14:textId="77777777" w:rsidR="002C1F02" w:rsidRPr="00DE4665" w:rsidRDefault="0000000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</w:pPr>
      <w:r w:rsidRPr="00DE4665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2</w:t>
      </w:r>
      <w:r w:rsidRPr="00DE4665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I</w:t>
      </w:r>
      <w:r w:rsidRPr="00DE4665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2</w:t>
      </w:r>
      <w:r w:rsidRPr="00DE4665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＞</w:t>
      </w:r>
      <w:r w:rsidRPr="00DE4665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50%</w:t>
      </w:r>
    </w:p>
    <w:p w14:paraId="6CCD0585" w14:textId="77777777" w:rsidR="002C1F02" w:rsidRPr="00DE4665" w:rsidRDefault="0000000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</w:pPr>
      <w:r w:rsidRPr="00DE4665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lastRenderedPageBreak/>
        <w:t>3</w:t>
      </w:r>
      <w:r w:rsidRPr="00DE4665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1/2 studies showed potential bias</w:t>
      </w:r>
    </w:p>
    <w:p w14:paraId="1059A705" w14:textId="77777777" w:rsidR="002C1F02" w:rsidRPr="00DE4665" w:rsidRDefault="00000000">
      <w:pPr>
        <w:widowControl/>
        <w:jc w:val="left"/>
        <w:rPr>
          <w:rFonts w:ascii="Times New Roman" w:hAnsi="Times New Roman" w:cs="Times New Roman"/>
          <w:szCs w:val="21"/>
        </w:rPr>
      </w:pPr>
      <w:r w:rsidRPr="00DE4665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4</w:t>
      </w:r>
      <w:r w:rsidRPr="00DE4665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2/3 studies showed potential bias</w:t>
      </w:r>
    </w:p>
    <w:p w14:paraId="5A692D47" w14:textId="77777777" w:rsidR="002C1F02" w:rsidRPr="00DE4665" w:rsidRDefault="002C1F02">
      <w:pPr>
        <w:rPr>
          <w:rFonts w:ascii="Times New Roman" w:hAnsi="Times New Roman" w:cs="Times New Roman"/>
          <w:szCs w:val="21"/>
        </w:rPr>
      </w:pPr>
    </w:p>
    <w:sectPr w:rsidR="002C1F02" w:rsidRPr="00DE466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320E7" w14:textId="77777777" w:rsidR="008637C7" w:rsidRDefault="008637C7" w:rsidP="00383F34">
      <w:r>
        <w:separator/>
      </w:r>
    </w:p>
  </w:endnote>
  <w:endnote w:type="continuationSeparator" w:id="0">
    <w:p w14:paraId="797A02F8" w14:textId="77777777" w:rsidR="008637C7" w:rsidRDefault="008637C7" w:rsidP="0038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6175E" w14:textId="77777777" w:rsidR="008637C7" w:rsidRDefault="008637C7" w:rsidP="00383F34">
      <w:r>
        <w:separator/>
      </w:r>
    </w:p>
  </w:footnote>
  <w:footnote w:type="continuationSeparator" w:id="0">
    <w:p w14:paraId="442F00F6" w14:textId="77777777" w:rsidR="008637C7" w:rsidRDefault="008637C7" w:rsidP="00383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0A75C12"/>
    <w:rsid w:val="002C1F02"/>
    <w:rsid w:val="00383F34"/>
    <w:rsid w:val="006057FF"/>
    <w:rsid w:val="008637C7"/>
    <w:rsid w:val="00AA362A"/>
    <w:rsid w:val="00DA1453"/>
    <w:rsid w:val="00DC553D"/>
    <w:rsid w:val="00DE4665"/>
    <w:rsid w:val="00FF4A53"/>
    <w:rsid w:val="44DC6013"/>
    <w:rsid w:val="60A7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411F88"/>
  <w15:docId w15:val="{628655FA-D815-4274-B45E-00146D25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383F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83F3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383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83F3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11230</dc:creator>
  <cp:lastModifiedBy>O365</cp:lastModifiedBy>
  <cp:revision>3</cp:revision>
  <dcterms:created xsi:type="dcterms:W3CDTF">2024-09-12T14:13:00Z</dcterms:created>
  <dcterms:modified xsi:type="dcterms:W3CDTF">2024-09-15T06:29:00Z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BD41DF99830F43E595CA2B229CF11386</vt:lpwstr>
  </property>
</Properties>
</file>