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48F" w:rsidRPr="00CF53A7" w:rsidRDefault="0027448F" w:rsidP="0027448F">
      <w:pPr>
        <w:ind w:hanging="46"/>
        <w:jc w:val="both"/>
        <w:rPr>
          <w:rFonts w:asciiTheme="majorBidi" w:hAnsiTheme="majorBidi" w:cstheme="majorBidi"/>
          <w:b/>
          <w:bCs/>
          <w:noProof/>
          <w:sz w:val="24"/>
          <w:szCs w:val="24"/>
          <w:rtl/>
        </w:rPr>
      </w:pPr>
      <w:r w:rsidRPr="00CF53A7">
        <w:rPr>
          <w:rFonts w:asciiTheme="majorBidi" w:hAnsiTheme="majorBidi" w:cstheme="majorBidi"/>
          <w:b/>
          <w:bCs/>
          <w:noProof/>
          <w:sz w:val="24"/>
          <w:szCs w:val="24"/>
        </w:rPr>
        <w:t>Attachment</w:t>
      </w:r>
      <w:r>
        <w:rPr>
          <w:rFonts w:asciiTheme="majorBidi" w:hAnsiTheme="majorBidi" w:cstheme="majorBidi"/>
          <w:b/>
          <w:bCs/>
          <w:noProof/>
          <w:sz w:val="24"/>
          <w:szCs w:val="24"/>
        </w:rPr>
        <w:t xml:space="preserve"> 1</w:t>
      </w:r>
      <w:bookmarkStart w:id="0" w:name="_GoBack"/>
      <w:bookmarkEnd w:id="0"/>
      <w:r w:rsidRPr="00CF53A7">
        <w:rPr>
          <w:rFonts w:asciiTheme="majorBidi" w:hAnsiTheme="majorBidi" w:cstheme="majorBidi"/>
          <w:b/>
          <w:bCs/>
          <w:noProof/>
          <w:sz w:val="24"/>
          <w:szCs w:val="24"/>
        </w:rPr>
        <w:t>:</w:t>
      </w:r>
    </w:p>
    <w:p w:rsidR="0027448F" w:rsidRPr="00CF53A7" w:rsidRDefault="0027448F" w:rsidP="0027448F">
      <w:pPr>
        <w:rPr>
          <w:rFonts w:asciiTheme="majorBidi" w:hAnsiTheme="majorBidi" w:cstheme="majorBidi"/>
          <w:b/>
          <w:bCs/>
          <w:sz w:val="24"/>
          <w:szCs w:val="24"/>
        </w:rPr>
      </w:pPr>
      <w:r w:rsidRPr="00CF53A7">
        <w:rPr>
          <w:rFonts w:asciiTheme="majorBidi" w:hAnsiTheme="majorBidi" w:cstheme="majorBidi"/>
          <w:b/>
          <w:bCs/>
          <w:sz w:val="24"/>
          <w:szCs w:val="24"/>
        </w:rPr>
        <w:t>The English translation of the checklist:</w:t>
      </w:r>
    </w:p>
    <w:tbl>
      <w:tblPr>
        <w:tblStyle w:val="TableGrid"/>
        <w:tblW w:w="0" w:type="auto"/>
        <w:tblLook w:val="04A0" w:firstRow="1" w:lastRow="0" w:firstColumn="1" w:lastColumn="0" w:noHBand="0" w:noVBand="1"/>
      </w:tblPr>
      <w:tblGrid>
        <w:gridCol w:w="5305"/>
        <w:gridCol w:w="630"/>
        <w:gridCol w:w="630"/>
        <w:gridCol w:w="630"/>
        <w:gridCol w:w="630"/>
        <w:gridCol w:w="615"/>
        <w:gridCol w:w="576"/>
      </w:tblGrid>
      <w:tr w:rsidR="0027448F" w:rsidRPr="00CF53A7" w:rsidTr="00C31492">
        <w:tc>
          <w:tcPr>
            <w:tcW w:w="5305" w:type="dxa"/>
            <w:vMerge w:val="restart"/>
            <w:vAlign w:val="center"/>
          </w:tcPr>
          <w:p w:rsidR="0027448F" w:rsidRPr="00CF53A7" w:rsidRDefault="0027448F" w:rsidP="00C31492">
            <w:pPr>
              <w:jc w:val="center"/>
              <w:rPr>
                <w:rFonts w:asciiTheme="majorBidi" w:hAnsiTheme="majorBidi" w:cstheme="majorBidi"/>
                <w:b/>
                <w:bCs/>
                <w:sz w:val="24"/>
                <w:szCs w:val="24"/>
                <w:rtl/>
                <w:lang w:bidi="fa-IR"/>
              </w:rPr>
            </w:pPr>
            <w:r w:rsidRPr="00CF53A7">
              <w:rPr>
                <w:rFonts w:asciiTheme="majorBidi" w:hAnsiTheme="majorBidi" w:cstheme="majorBidi"/>
                <w:b/>
                <w:bCs/>
                <w:sz w:val="24"/>
                <w:szCs w:val="24"/>
                <w:lang w:bidi="fa-IR"/>
              </w:rPr>
              <w:t>question</w:t>
            </w:r>
          </w:p>
        </w:tc>
        <w:tc>
          <w:tcPr>
            <w:tcW w:w="3711" w:type="dxa"/>
            <w:gridSpan w:val="6"/>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score</w:t>
            </w:r>
          </w:p>
        </w:tc>
      </w:tr>
      <w:tr w:rsidR="0027448F" w:rsidRPr="00CF53A7" w:rsidTr="00C31492">
        <w:tc>
          <w:tcPr>
            <w:tcW w:w="5305" w:type="dxa"/>
            <w:vMerge/>
          </w:tcPr>
          <w:p w:rsidR="0027448F" w:rsidRPr="00CF53A7" w:rsidRDefault="0027448F" w:rsidP="00C31492">
            <w:pPr>
              <w:jc w:val="both"/>
              <w:rPr>
                <w:rFonts w:asciiTheme="majorBidi" w:hAnsiTheme="majorBidi" w:cstheme="majorBidi"/>
                <w:b/>
                <w:bCs/>
                <w:sz w:val="24"/>
                <w:szCs w:val="24"/>
              </w:rPr>
            </w:pPr>
          </w:p>
        </w:tc>
        <w:tc>
          <w:tcPr>
            <w:tcW w:w="630"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0</w:t>
            </w:r>
          </w:p>
        </w:tc>
        <w:tc>
          <w:tcPr>
            <w:tcW w:w="630"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20</w:t>
            </w:r>
          </w:p>
        </w:tc>
        <w:tc>
          <w:tcPr>
            <w:tcW w:w="630"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40</w:t>
            </w:r>
          </w:p>
        </w:tc>
        <w:tc>
          <w:tcPr>
            <w:tcW w:w="630"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60</w:t>
            </w:r>
          </w:p>
        </w:tc>
        <w:tc>
          <w:tcPr>
            <w:tcW w:w="615"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80</w:t>
            </w:r>
          </w:p>
        </w:tc>
        <w:tc>
          <w:tcPr>
            <w:tcW w:w="576" w:type="dxa"/>
            <w:vAlign w:val="center"/>
          </w:tcPr>
          <w:p w:rsidR="0027448F" w:rsidRPr="00CF53A7" w:rsidRDefault="0027448F" w:rsidP="00C31492">
            <w:pPr>
              <w:jc w:val="center"/>
              <w:rPr>
                <w:rFonts w:asciiTheme="majorBidi" w:hAnsiTheme="majorBidi" w:cstheme="majorBidi"/>
                <w:b/>
                <w:bCs/>
                <w:sz w:val="24"/>
                <w:szCs w:val="24"/>
              </w:rPr>
            </w:pPr>
            <w:r w:rsidRPr="00CF53A7">
              <w:rPr>
                <w:rFonts w:asciiTheme="majorBidi" w:hAnsiTheme="majorBidi" w:cstheme="majorBidi"/>
                <w:b/>
                <w:bCs/>
                <w:sz w:val="24"/>
                <w:szCs w:val="24"/>
              </w:rPr>
              <w:t>100</w:t>
            </w: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Hand sanitizer is available outside the front door of the reception lobby.</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 self-assessment form, issued by the Ministry of Health, has been duplicated and distributed.  All visitors completed it before the entrance and the compilation of their case files. The form is then checked by the reception staff and attached to the case file after verification.</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lang w:bidi="fa-IR"/>
              </w:rPr>
            </w:pPr>
            <w:r w:rsidRPr="00CF53A7">
              <w:rPr>
                <w:rFonts w:asciiTheme="majorBidi" w:hAnsiTheme="majorBidi" w:cstheme="majorBidi"/>
                <w:sz w:val="24"/>
                <w:szCs w:val="24"/>
                <w:lang w:bidi="fa-IR"/>
              </w:rPr>
              <w:t>Personnel attendance and absence are recorded through non-fingerprint and without paper-based documentation, preferably with facial identification.</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There is a 1.5 to 2</w:t>
            </w:r>
            <w:r>
              <w:rPr>
                <w:rFonts w:asciiTheme="majorBidi" w:hAnsiTheme="majorBidi" w:cstheme="majorBidi"/>
                <w:sz w:val="24"/>
                <w:szCs w:val="24"/>
              </w:rPr>
              <w:t>-</w:t>
            </w:r>
            <w:r w:rsidRPr="00CF53A7">
              <w:rPr>
                <w:rFonts w:asciiTheme="majorBidi" w:hAnsiTheme="majorBidi" w:cstheme="majorBidi"/>
                <w:sz w:val="24"/>
                <w:szCs w:val="24"/>
              </w:rPr>
              <w:t>meter distance between the seats in the waiting area. If it is not possible to separate the seats, visitors are required to maintain the mentioned distance.</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All shared items in the waiting rooms (such as magazines, newspapers, sugarcane, water coolers, etc.) have been collected.</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Posters related to (ways to prevent COVID-19, how the disease spreads, handwashing guide, proper use of personal protective equipment, registration in the screening of the health system, and complaint response system) are installed in suitable places and visible to employees and visitors.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Pedal trash cans with lids and durable trash bags are located in the reception lobby.</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Patients are reminded about the importance of not being with others in the reception area.</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 distance between visitors and reception staff is respected during interactions.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Routinely disinfection </w:t>
            </w:r>
            <w:r>
              <w:rPr>
                <w:rFonts w:asciiTheme="majorBidi" w:hAnsiTheme="majorBidi" w:cstheme="majorBidi"/>
                <w:sz w:val="24"/>
                <w:szCs w:val="24"/>
              </w:rPr>
              <w:t xml:space="preserve">of </w:t>
            </w:r>
            <w:r w:rsidRPr="00CF53A7">
              <w:rPr>
                <w:rFonts w:asciiTheme="majorBidi" w:hAnsiTheme="majorBidi" w:cstheme="majorBidi"/>
                <w:sz w:val="24"/>
                <w:szCs w:val="24"/>
              </w:rPr>
              <w:t>all surfaces, elevators, handles, etc. is performed using standard disinfectant solutions.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There is adequate and strong and adequate ventilation throughout the treatment area, especially in the waiting room and treatment section.</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Staff restrooms are separate from patient restrooms.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There are washing and disinfection facilities and visual guides available for visitors.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Appointments are made by telephone and online. Triage and screening of patients are done remotely via </w:t>
            </w:r>
            <w:r>
              <w:rPr>
                <w:rFonts w:asciiTheme="majorBidi" w:hAnsiTheme="majorBidi" w:cstheme="majorBidi"/>
                <w:sz w:val="24"/>
                <w:szCs w:val="24"/>
              </w:rPr>
              <w:t>telescreening</w:t>
            </w:r>
            <w:r w:rsidRPr="00CF53A7">
              <w:rPr>
                <w:rFonts w:asciiTheme="majorBidi" w:hAnsiTheme="majorBidi" w:cstheme="majorBidi"/>
                <w:sz w:val="24"/>
                <w:szCs w:val="24"/>
              </w:rPr>
              <w:t>. The reception staff is knowledgeable about the telephone screening process.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lastRenderedPageBreak/>
              <w:t>A one-hour time interval is observed between patient appointments to ensure proper ventilation and optimal disinfection of the environment and surfaces and to prevent overcrowding in the waiting area.</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The reception staff do the patients' screening according to the guidelines, especially attention and necessary follow-ups for patients with a history of heart disease. </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 relevant numbers of COVID-19 epidemic management are prominently displayed for reception personnel.</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 triage chart and referral of suspected or confirmed COVID-19 patients are within the view of the reception personnel, and triage is conducted according to the protocol.</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Infection control and personal protection are taught to visitors.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Having mobile </w:t>
            </w:r>
            <w:r w:rsidRPr="003816B6">
              <w:rPr>
                <w:rFonts w:asciiTheme="majorBidi" w:hAnsiTheme="majorBidi" w:cstheme="majorBidi"/>
                <w:sz w:val="24"/>
                <w:szCs w:val="24"/>
              </w:rPr>
              <w:t>phones</w:t>
            </w:r>
            <w:r>
              <w:rPr>
                <w:rFonts w:asciiTheme="majorBidi" w:hAnsiTheme="majorBidi" w:cstheme="majorBidi"/>
                <w:sz w:val="24"/>
                <w:szCs w:val="24"/>
              </w:rPr>
              <w:t xml:space="preserve"> </w:t>
            </w:r>
            <w:r w:rsidRPr="00CF53A7">
              <w:rPr>
                <w:rFonts w:asciiTheme="majorBidi" w:hAnsiTheme="majorBidi" w:cstheme="majorBidi"/>
                <w:sz w:val="24"/>
                <w:szCs w:val="24"/>
              </w:rPr>
              <w:t xml:space="preserve">and companions </w:t>
            </w:r>
            <w:r>
              <w:rPr>
                <w:rFonts w:asciiTheme="majorBidi" w:hAnsiTheme="majorBidi" w:cstheme="majorBidi"/>
                <w:sz w:val="24"/>
                <w:szCs w:val="24"/>
              </w:rPr>
              <w:t>in</w:t>
            </w:r>
            <w:r w:rsidRPr="00CF53A7">
              <w:rPr>
                <w:rFonts w:asciiTheme="majorBidi" w:hAnsiTheme="majorBidi" w:cstheme="majorBidi"/>
                <w:sz w:val="24"/>
                <w:szCs w:val="24"/>
              </w:rPr>
              <w:t xml:space="preserve"> the treatment ward </w:t>
            </w:r>
            <w:r>
              <w:rPr>
                <w:rFonts w:asciiTheme="majorBidi" w:hAnsiTheme="majorBidi" w:cstheme="majorBidi"/>
                <w:sz w:val="24"/>
                <w:szCs w:val="24"/>
              </w:rPr>
              <w:t>is</w:t>
            </w:r>
            <w:r w:rsidRPr="00CF53A7">
              <w:rPr>
                <w:rFonts w:asciiTheme="majorBidi" w:hAnsiTheme="majorBidi" w:cstheme="majorBidi"/>
                <w:sz w:val="24"/>
                <w:szCs w:val="24"/>
              </w:rPr>
              <w:t xml:space="preserve"> prohibited.</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A dentist performs patient screening. The dentist acts based on the results of the screening. (Evaluation of dentists' perception of protocol)</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All healthcare personnel wear scrubs and disposable caps (nano fabric). The cloth items are replaced after each shift and for each patient as a one-time-use covering.</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Female staff use a disposable waterproof scarf.</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N95 masks are used and when not available, two layers of surgical masks are used to prevent aerosol penetration.</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Pr>
                <w:rFonts w:asciiTheme="majorBidi" w:hAnsiTheme="majorBidi" w:cstheme="majorBidi"/>
                <w:sz w:val="24"/>
                <w:szCs w:val="24"/>
              </w:rPr>
              <w:t xml:space="preserve">The </w:t>
            </w:r>
            <w:r w:rsidRPr="00CF53A7">
              <w:rPr>
                <w:rFonts w:asciiTheme="majorBidi" w:hAnsiTheme="majorBidi" w:cstheme="majorBidi"/>
                <w:sz w:val="24"/>
                <w:szCs w:val="24"/>
              </w:rPr>
              <w:t>N95 mask is replaced in case of visible contamination. If there is no obvious stain, it can be used continuously for up to 8 hours.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Employees Know how to perform seal checks on respirators and do them correctly.</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Goggles and face shields are used to cover the eyes and the face.</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Regular sterilization of eye protection equipment is carried out, especially after completing the patient treatment. </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Employees know the sequence to put on and take off personal protective equipment.</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Wash and disinfection facilities and visual instructions are available. The staff know how to wash hands and </w:t>
            </w:r>
            <w:r>
              <w:rPr>
                <w:rFonts w:asciiTheme="majorBidi" w:hAnsiTheme="majorBidi" w:cstheme="majorBidi"/>
                <w:sz w:val="24"/>
                <w:szCs w:val="24"/>
              </w:rPr>
              <w:t>perform</w:t>
            </w:r>
            <w:r w:rsidRPr="00CF53A7">
              <w:rPr>
                <w:rFonts w:asciiTheme="majorBidi" w:hAnsiTheme="majorBidi" w:cstheme="majorBidi"/>
                <w:sz w:val="24"/>
                <w:szCs w:val="24"/>
              </w:rPr>
              <w:t xml:space="preserve"> disinfection correctly.</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Disposable waterproof covers for shoes are used.</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lang w:bidi="fa-IR"/>
              </w:rPr>
            </w:pPr>
            <w:r w:rsidRPr="00CF53A7">
              <w:rPr>
                <w:rFonts w:asciiTheme="majorBidi" w:hAnsiTheme="majorBidi" w:cstheme="majorBidi"/>
                <w:sz w:val="24"/>
                <w:szCs w:val="24"/>
                <w:lang w:bidi="fa-IR"/>
              </w:rPr>
              <w:t>Disposable scrubs are used for each patient.</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Disposable sterile packages are used individually for each patient for all medical procedures.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lastRenderedPageBreak/>
              <w:t>Class B autoclave is used for sterilization of instruments and equipment, and the autoclave has a valid calibration certificate.</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Cleaning and disinfection of instruments and equipment are performed with standard disinfectant solutions according to infection control guidelines.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Infectious waste and sharp objects are collected and disposed of according to infection control standards.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There is a waste management contract.</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Cleaning and disinfection of surfaces, equipment, etc. are performed using appropriate standard solutions and methods.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Service staff use standard protective equipment when cleaning or washing utensils.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Instructions are available to dental staff for preparing and diluting chlorine-based disinfectants under emergency conditions, </w:t>
            </w:r>
            <w:r>
              <w:rPr>
                <w:rFonts w:asciiTheme="majorBidi" w:hAnsiTheme="majorBidi" w:cstheme="majorBidi"/>
                <w:sz w:val="24"/>
                <w:szCs w:val="24"/>
              </w:rPr>
              <w:t>by</w:t>
            </w:r>
            <w:r w:rsidRPr="00CF53A7">
              <w:rPr>
                <w:rFonts w:asciiTheme="majorBidi" w:hAnsiTheme="majorBidi" w:cstheme="majorBidi"/>
                <w:sz w:val="24"/>
                <w:szCs w:val="24"/>
              </w:rPr>
              <w:t xml:space="preserve"> section 15 of the Guideline for Providing Dental Services During COVID-19. They know the instructions perfectly.</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Guidance on providing emergency and essential dental services to patients </w:t>
            </w:r>
            <w:r>
              <w:rPr>
                <w:rFonts w:asciiTheme="majorBidi" w:hAnsiTheme="majorBidi" w:cstheme="majorBidi"/>
                <w:sz w:val="24"/>
                <w:szCs w:val="24"/>
              </w:rPr>
              <w:t>has</w:t>
            </w:r>
            <w:r w:rsidRPr="00CF53A7">
              <w:rPr>
                <w:rFonts w:asciiTheme="majorBidi" w:hAnsiTheme="majorBidi" w:cstheme="majorBidi"/>
                <w:sz w:val="24"/>
                <w:szCs w:val="24"/>
              </w:rPr>
              <w:t xml:space="preserve"> been communicated to dentists </w:t>
            </w:r>
            <w:r>
              <w:rPr>
                <w:rFonts w:asciiTheme="majorBidi" w:hAnsiTheme="majorBidi" w:cstheme="majorBidi"/>
                <w:sz w:val="24"/>
                <w:szCs w:val="24"/>
              </w:rPr>
              <w:t>by</w:t>
            </w:r>
            <w:r w:rsidRPr="00CF53A7">
              <w:rPr>
                <w:rFonts w:asciiTheme="majorBidi" w:hAnsiTheme="majorBidi" w:cstheme="majorBidi"/>
                <w:sz w:val="24"/>
                <w:szCs w:val="24"/>
              </w:rPr>
              <w:t xml:space="preserve"> the Guidelines for Providing Dental Services during COVID-19.</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For patients, dental services are only provided for emergency and essential treatments by general guidelines on providing dental services during COVID-19.</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Screening is conducted for all healthcare, administrative, and medical staff during the COVID-19 pandemic. Necessary decisions and actions are taken based on the screening results. </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Staff are fully aware of the COVID-19 guidelines.</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RPr="00CF53A7" w:rsidTr="00C31492">
        <w:tc>
          <w:tcPr>
            <w:tcW w:w="5305" w:type="dxa"/>
          </w:tcPr>
          <w:p w:rsidR="0027448F" w:rsidRPr="00CF53A7"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 xml:space="preserve">Emergency equipment for the initial management of medical emergencies is prepared and ready should they occur. </w:t>
            </w: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30" w:type="dxa"/>
          </w:tcPr>
          <w:p w:rsidR="0027448F" w:rsidRPr="00CF53A7" w:rsidRDefault="0027448F" w:rsidP="00C31492">
            <w:pPr>
              <w:jc w:val="both"/>
              <w:rPr>
                <w:rFonts w:asciiTheme="majorBidi" w:hAnsiTheme="majorBidi" w:cstheme="majorBidi"/>
                <w:sz w:val="24"/>
                <w:szCs w:val="24"/>
              </w:rPr>
            </w:pPr>
          </w:p>
        </w:tc>
        <w:tc>
          <w:tcPr>
            <w:tcW w:w="615" w:type="dxa"/>
          </w:tcPr>
          <w:p w:rsidR="0027448F" w:rsidRPr="00CF53A7" w:rsidRDefault="0027448F" w:rsidP="00C31492">
            <w:pPr>
              <w:jc w:val="both"/>
              <w:rPr>
                <w:rFonts w:asciiTheme="majorBidi" w:hAnsiTheme="majorBidi" w:cstheme="majorBidi"/>
                <w:sz w:val="24"/>
                <w:szCs w:val="24"/>
              </w:rPr>
            </w:pPr>
          </w:p>
        </w:tc>
        <w:tc>
          <w:tcPr>
            <w:tcW w:w="576" w:type="dxa"/>
          </w:tcPr>
          <w:p w:rsidR="0027448F" w:rsidRPr="00CF53A7" w:rsidRDefault="0027448F" w:rsidP="00C31492">
            <w:pPr>
              <w:jc w:val="both"/>
              <w:rPr>
                <w:rFonts w:asciiTheme="majorBidi" w:hAnsiTheme="majorBidi" w:cstheme="majorBidi"/>
                <w:sz w:val="24"/>
                <w:szCs w:val="24"/>
              </w:rPr>
            </w:pPr>
          </w:p>
        </w:tc>
      </w:tr>
      <w:tr w:rsidR="0027448F" w:rsidTr="00C31492">
        <w:tc>
          <w:tcPr>
            <w:tcW w:w="5305" w:type="dxa"/>
          </w:tcPr>
          <w:p w:rsidR="0027448F" w:rsidRPr="00312A34" w:rsidRDefault="0027448F" w:rsidP="00C31492">
            <w:pPr>
              <w:jc w:val="both"/>
              <w:rPr>
                <w:rFonts w:asciiTheme="majorBidi" w:hAnsiTheme="majorBidi" w:cstheme="majorBidi"/>
                <w:sz w:val="24"/>
                <w:szCs w:val="24"/>
              </w:rPr>
            </w:pPr>
            <w:r w:rsidRPr="00CF53A7">
              <w:rPr>
                <w:rFonts w:asciiTheme="majorBidi" w:hAnsiTheme="majorBidi" w:cstheme="majorBidi"/>
                <w:sz w:val="24"/>
                <w:szCs w:val="24"/>
              </w:rPr>
              <w:t>Employees are not permitted to consume food or any edible substances in the dental care setting.</w:t>
            </w:r>
          </w:p>
        </w:tc>
        <w:tc>
          <w:tcPr>
            <w:tcW w:w="630" w:type="dxa"/>
          </w:tcPr>
          <w:p w:rsidR="0027448F" w:rsidRDefault="0027448F" w:rsidP="00C31492">
            <w:pPr>
              <w:jc w:val="both"/>
              <w:rPr>
                <w:rFonts w:asciiTheme="majorBidi" w:hAnsiTheme="majorBidi" w:cstheme="majorBidi"/>
                <w:sz w:val="24"/>
                <w:szCs w:val="24"/>
              </w:rPr>
            </w:pPr>
          </w:p>
        </w:tc>
        <w:tc>
          <w:tcPr>
            <w:tcW w:w="630" w:type="dxa"/>
          </w:tcPr>
          <w:p w:rsidR="0027448F" w:rsidRDefault="0027448F" w:rsidP="00C31492">
            <w:pPr>
              <w:jc w:val="both"/>
              <w:rPr>
                <w:rFonts w:asciiTheme="majorBidi" w:hAnsiTheme="majorBidi" w:cstheme="majorBidi"/>
                <w:sz w:val="24"/>
                <w:szCs w:val="24"/>
              </w:rPr>
            </w:pPr>
          </w:p>
        </w:tc>
        <w:tc>
          <w:tcPr>
            <w:tcW w:w="630" w:type="dxa"/>
          </w:tcPr>
          <w:p w:rsidR="0027448F" w:rsidRDefault="0027448F" w:rsidP="00C31492">
            <w:pPr>
              <w:jc w:val="both"/>
              <w:rPr>
                <w:rFonts w:asciiTheme="majorBidi" w:hAnsiTheme="majorBidi" w:cstheme="majorBidi"/>
                <w:sz w:val="24"/>
                <w:szCs w:val="24"/>
              </w:rPr>
            </w:pPr>
          </w:p>
        </w:tc>
        <w:tc>
          <w:tcPr>
            <w:tcW w:w="630" w:type="dxa"/>
          </w:tcPr>
          <w:p w:rsidR="0027448F" w:rsidRDefault="0027448F" w:rsidP="00C31492">
            <w:pPr>
              <w:jc w:val="both"/>
              <w:rPr>
                <w:rFonts w:asciiTheme="majorBidi" w:hAnsiTheme="majorBidi" w:cstheme="majorBidi"/>
                <w:sz w:val="24"/>
                <w:szCs w:val="24"/>
              </w:rPr>
            </w:pPr>
          </w:p>
        </w:tc>
        <w:tc>
          <w:tcPr>
            <w:tcW w:w="615" w:type="dxa"/>
          </w:tcPr>
          <w:p w:rsidR="0027448F" w:rsidRDefault="0027448F" w:rsidP="00C31492">
            <w:pPr>
              <w:jc w:val="both"/>
              <w:rPr>
                <w:rFonts w:asciiTheme="majorBidi" w:hAnsiTheme="majorBidi" w:cstheme="majorBidi"/>
                <w:sz w:val="24"/>
                <w:szCs w:val="24"/>
              </w:rPr>
            </w:pPr>
          </w:p>
        </w:tc>
        <w:tc>
          <w:tcPr>
            <w:tcW w:w="576" w:type="dxa"/>
          </w:tcPr>
          <w:p w:rsidR="0027448F" w:rsidRDefault="0027448F" w:rsidP="00C31492">
            <w:pPr>
              <w:jc w:val="both"/>
              <w:rPr>
                <w:rFonts w:asciiTheme="majorBidi" w:hAnsiTheme="majorBidi" w:cstheme="majorBidi"/>
                <w:sz w:val="24"/>
                <w:szCs w:val="24"/>
              </w:rPr>
            </w:pPr>
          </w:p>
        </w:tc>
      </w:tr>
    </w:tbl>
    <w:p w:rsidR="0027448F" w:rsidRPr="00135518" w:rsidRDefault="0027448F" w:rsidP="0027448F">
      <w:pPr>
        <w:rPr>
          <w:rFonts w:asciiTheme="majorBidi" w:hAnsiTheme="majorBidi" w:cstheme="majorBidi"/>
          <w:sz w:val="24"/>
          <w:szCs w:val="24"/>
          <w:rtl/>
        </w:rPr>
      </w:pPr>
    </w:p>
    <w:p w:rsidR="00E14866" w:rsidRDefault="00E14866"/>
    <w:sectPr w:rsidR="00E14866" w:rsidSect="00074A8E">
      <w:pgSz w:w="11906" w:h="16838" w:code="9"/>
      <w:pgMar w:top="1440" w:right="1134"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48F"/>
    <w:rsid w:val="0027448F"/>
    <w:rsid w:val="00665A34"/>
    <w:rsid w:val="0088226C"/>
    <w:rsid w:val="00E14866"/>
    <w:rsid w:val="00EF18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7F46D"/>
  <w15:chartTrackingRefBased/>
  <w15:docId w15:val="{824F77F7-0C35-473F-85D0-7A4936AD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4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48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5181</Characters>
  <Application>Microsoft Office Word</Application>
  <DocSecurity>0</DocSecurity>
  <Lines>471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2024-05-22T20:21:00Z</dcterms:created>
  <dcterms:modified xsi:type="dcterms:W3CDTF">2024-05-22T20:22:00Z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a7624532-bb55-4d30-a760-ed2831527742</vt:lpwstr>
  </property>
</Properties>
</file>