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sz w:val="24"/>
          <w:szCs w:val="24"/>
          <w:lang w:val="en"/>
        </w:rPr>
      </w:pPr>
      <w:r w:rsidRPr="001A5F13">
        <w:rPr>
          <w:rFonts w:cs="Times New Roman"/>
          <w:noProof/>
          <w:sz w:val="24"/>
          <w:szCs w:val="24"/>
        </w:rPr>
        <w:drawing>
          <wp:inline distT="0" distB="0" distL="0" distR="0" wp14:anchorId="468EAC3B" wp14:editId="6A722C39">
            <wp:extent cx="5229225" cy="4460875"/>
            <wp:effectExtent l="0" t="0" r="0" b="0"/>
            <wp:docPr id="1621486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8661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092" cy="44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b/>
          <w:bCs/>
          <w:sz w:val="24"/>
          <w:szCs w:val="24"/>
          <w:lang w:val="en"/>
        </w:rPr>
      </w:pPr>
      <w:r w:rsidRPr="001A5F13">
        <w:rPr>
          <w:rFonts w:cs="Times New Roman"/>
          <w:b/>
          <w:bCs/>
          <w:sz w:val="24"/>
          <w:szCs w:val="24"/>
          <w:lang w:val="en"/>
        </w:rPr>
        <w:t xml:space="preserve">Figure S1. Knowledge </w:t>
      </w:r>
      <w:r w:rsidRPr="001A5F13">
        <w:rPr>
          <w:rFonts w:cs="Times New Roman"/>
          <w:b/>
          <w:bCs/>
          <w:sz w:val="24"/>
          <w:szCs w:val="24"/>
        </w:rPr>
        <w:t>sources</w:t>
      </w:r>
      <w:r w:rsidRPr="001A5F13">
        <w:rPr>
          <w:rFonts w:cs="Times New Roman"/>
          <w:b/>
          <w:bCs/>
          <w:sz w:val="24"/>
          <w:szCs w:val="24"/>
          <w:lang w:val="en"/>
        </w:rPr>
        <w:t xml:space="preserve"> of oral health management and factors affecting oral health management</w:t>
      </w: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sz w:val="24"/>
          <w:szCs w:val="24"/>
          <w:lang w:val="en"/>
        </w:rPr>
      </w:pP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b/>
          <w:bCs/>
          <w:sz w:val="24"/>
          <w:szCs w:val="24"/>
          <w:lang w:val="en"/>
        </w:rPr>
      </w:pPr>
      <w:r w:rsidRPr="001A5F13">
        <w:rPr>
          <w:rFonts w:cs="Times New Roman"/>
          <w:b/>
          <w:bCs/>
          <w:sz w:val="24"/>
          <w:szCs w:val="24"/>
          <w:lang w:val="en"/>
        </w:rPr>
        <w:lastRenderedPageBreak/>
        <w:t xml:space="preserve">Table S1. </w:t>
      </w:r>
      <w:r w:rsidRPr="001A5F13">
        <w:rPr>
          <w:rFonts w:cs="Times New Roman"/>
          <w:b/>
          <w:bCs/>
          <w:sz w:val="24"/>
          <w:szCs w:val="24"/>
        </w:rPr>
        <w:t>Distribution of k</w:t>
      </w:r>
      <w:r w:rsidRPr="001A5F13">
        <w:rPr>
          <w:rFonts w:eastAsia="微软雅黑" w:cs="Times New Roman"/>
          <w:b/>
          <w:bCs/>
          <w:kern w:val="0"/>
          <w:sz w:val="24"/>
          <w:szCs w:val="24"/>
        </w:rPr>
        <w:t xml:space="preserve">nowledge </w:t>
      </w:r>
      <w:r w:rsidRPr="001A5F13">
        <w:rPr>
          <w:rFonts w:cs="Times New Roman"/>
          <w:b/>
          <w:bCs/>
          <w:sz w:val="24"/>
          <w:szCs w:val="24"/>
        </w:rPr>
        <w:t>dimension responses</w:t>
      </w:r>
    </w:p>
    <w:tbl>
      <w:tblPr>
        <w:tblW w:w="14174" w:type="dxa"/>
        <w:jc w:val="center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2523"/>
        <w:gridCol w:w="2523"/>
        <w:gridCol w:w="2523"/>
      </w:tblGrid>
      <w:tr w:rsidR="00BD6457" w:rsidRPr="001A5F13" w:rsidTr="001B1CF6">
        <w:trPr>
          <w:trHeight w:val="397"/>
          <w:jc w:val="center"/>
        </w:trPr>
        <w:tc>
          <w:tcPr>
            <w:tcW w:w="6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>N (%)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Very familiar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Heard of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Unclear 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1. Post-orthodontic patients require special oral health management.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162 (38.76)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197 (47.13)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59 (14.11)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2.</w:t>
            </w:r>
            <w:r w:rsidRPr="001A5F13">
              <w:rPr>
                <w:rFonts w:eastAsia="微软雅黑"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Brushing teeth is the most basic and crucial step in oral health management during orthodontic treatment.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257 (61.48)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141 (33.73)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20 (4.78)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3.</w:t>
            </w:r>
            <w:r w:rsidRPr="001A5F13">
              <w:rPr>
                <w:rFonts w:eastAsia="微软雅黑" w:cs="Times New Roman"/>
                <w:color w:val="374151"/>
                <w:sz w:val="24"/>
                <w:szCs w:val="24"/>
                <w:shd w:val="clear" w:color="auto" w:fill="F7F7F8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Apart from brushing teeth, during orthodontic treatment, auxiliary products such as dental floss, interdental brushes, and oral irrigators should also be used to clean the gaps between teeth.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230 (55.02)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162 (38.76)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26 (6.22)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4. Fixed orthodontic appliances can easily lead to food residue accumulation. Therefore, besides brushing teeth in the morning and evening, it is also advisable to clean the mouth promptly after meals.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264 (63.16)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131 (31.34)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23 (5.5)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lastRenderedPageBreak/>
              <w:t>5.</w:t>
            </w:r>
            <w:r w:rsidRPr="001A5F13">
              <w:rPr>
                <w:rFonts w:eastAsia="微软雅黑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Do you know the correct methods of brushing teeth and using dental floss?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241 (57.66)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135 (32.3)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42 (10.05)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6. Adjustments to diet are necessary during orthodontic treatment to avoid consuming hard or excessively sticky foods.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253 (60.53)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136 (32.54)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29 (6.94)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7.</w:t>
            </w:r>
            <w:r w:rsidRPr="001A5F13">
              <w:rPr>
                <w:rFonts w:eastAsia="微软雅黑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Mouthwash serves as an auxiliary tool in oral health management during orthodontic treatment. It can eliminate bacteria and odors in the mouth, keeping breath fresh.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236 (56.46)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151 (36.12)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31 (7.42)</w:t>
            </w:r>
          </w:p>
        </w:tc>
      </w:tr>
      <w:tr w:rsidR="00BD6457" w:rsidRPr="001A5F13" w:rsidTr="001B1CF6">
        <w:trPr>
          <w:trHeight w:val="397"/>
          <w:jc w:val="center"/>
        </w:trPr>
        <w:tc>
          <w:tcPr>
            <w:tcW w:w="6605" w:type="dxa"/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8. Neglecting oral hygiene during orthodontic treatment may lead to a series of oral problems after treatment, such as gingivitis, demineralization of teeth, and dental caries.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215 (51.44)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162 (38.76)</w:t>
            </w:r>
          </w:p>
        </w:tc>
        <w:tc>
          <w:tcPr>
            <w:tcW w:w="2523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41 (9.81)</w:t>
            </w:r>
          </w:p>
        </w:tc>
      </w:tr>
    </w:tbl>
    <w:p w:rsidR="00BD6457" w:rsidRPr="001A5F13" w:rsidRDefault="00BD6457" w:rsidP="00BD6457">
      <w:pPr>
        <w:widowControl w:val="0"/>
        <w:adjustRightInd w:val="0"/>
        <w:snapToGrid w:val="0"/>
        <w:spacing w:line="480" w:lineRule="auto"/>
        <w:rPr>
          <w:rFonts w:eastAsia="微软雅黑" w:cs="Times New Roman"/>
          <w:b/>
          <w:bCs/>
          <w:sz w:val="24"/>
          <w:szCs w:val="24"/>
        </w:rPr>
        <w:sectPr w:rsidR="00BD6457" w:rsidRPr="001A5F13">
          <w:pgSz w:w="16838" w:h="11906" w:orient="landscape"/>
          <w:pgMar w:top="1797" w:right="1440" w:bottom="1797" w:left="1440" w:header="851" w:footer="680" w:gutter="0"/>
          <w:cols w:space="720"/>
          <w:docGrid w:type="linesAndChars" w:linePitch="312"/>
        </w:sectPr>
      </w:pP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b/>
          <w:bCs/>
          <w:sz w:val="24"/>
          <w:szCs w:val="24"/>
          <w:lang w:val="en"/>
        </w:rPr>
      </w:pPr>
      <w:r w:rsidRPr="001A5F13">
        <w:rPr>
          <w:rFonts w:cs="Times New Roman"/>
          <w:b/>
          <w:bCs/>
          <w:sz w:val="24"/>
          <w:szCs w:val="24"/>
          <w:lang w:val="en"/>
        </w:rPr>
        <w:lastRenderedPageBreak/>
        <w:t xml:space="preserve">Table S2. </w:t>
      </w:r>
      <w:r w:rsidRPr="001A5F13">
        <w:rPr>
          <w:rFonts w:cs="Times New Roman"/>
          <w:b/>
          <w:bCs/>
          <w:sz w:val="24"/>
          <w:szCs w:val="24"/>
        </w:rPr>
        <w:t>Distribution of attitude</w:t>
      </w:r>
      <w:r w:rsidRPr="001A5F13">
        <w:rPr>
          <w:rFonts w:eastAsia="微软雅黑" w:cs="Times New Roman"/>
          <w:b/>
          <w:bCs/>
          <w:kern w:val="0"/>
          <w:sz w:val="24"/>
          <w:szCs w:val="24"/>
        </w:rPr>
        <w:t xml:space="preserve"> </w:t>
      </w:r>
      <w:r w:rsidRPr="001A5F13">
        <w:rPr>
          <w:rFonts w:cs="Times New Roman"/>
          <w:b/>
          <w:bCs/>
          <w:sz w:val="24"/>
          <w:szCs w:val="24"/>
        </w:rPr>
        <w:t>dimension responses</w:t>
      </w:r>
    </w:p>
    <w:tbl>
      <w:tblPr>
        <w:tblW w:w="1417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842"/>
        <w:gridCol w:w="1418"/>
        <w:gridCol w:w="1134"/>
        <w:gridCol w:w="1117"/>
        <w:gridCol w:w="1433"/>
      </w:tblGrid>
      <w:tr w:rsidR="00BD6457" w:rsidRPr="001A5F13" w:rsidTr="001B1CF6"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>N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Strongly agree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Agree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Neutral 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Disagree 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Strongly disagree 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1.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believe that oral health management during orthodontic treatment is very important.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258 (61.72)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149 (35.65)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9 (2.15)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2.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believe that oral health management during orthodontic treatment can affect the effectiveness of orthodontics.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224 (53.59)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166 (39.71)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24 (5.74)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3 (0.72)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3.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believe that post-orthodontic patients should undergo regular follow-up appointments to check their oral health status.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231 (55.26)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170 (40.67)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 (3.35)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 (0.48)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4.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believe that orthodontic patients should receive professional guidance on oral health management.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246 (58.85)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158 (37.8)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12 (2.87)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5.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am concerned about the risk of developing other oral diseases due to inadequate care.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208 (49.76)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178 (42.58)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29 (6.94)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 (0.48)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</w:tr>
      <w:tr w:rsidR="00BD6457" w:rsidRPr="001A5F13" w:rsidTr="001B1CF6">
        <w:tc>
          <w:tcPr>
            <w:tcW w:w="7230" w:type="dxa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lastRenderedPageBreak/>
              <w:t>6.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am willing to learn more about oral health management during orthodontic treatment.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238 (56.94)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154 (36.84)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25 (5.98)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eastAsia="微软雅黑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color w:val="000000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 (0.24)</w:t>
            </w:r>
          </w:p>
        </w:tc>
      </w:tr>
    </w:tbl>
    <w:p w:rsidR="00BD6457" w:rsidRPr="001A5F13" w:rsidRDefault="00BD6457" w:rsidP="00BD6457">
      <w:pPr>
        <w:adjustRightInd w:val="0"/>
        <w:snapToGrid w:val="0"/>
        <w:spacing w:line="480" w:lineRule="auto"/>
        <w:rPr>
          <w:rFonts w:eastAsia="微软雅黑" w:cs="Times New Roman"/>
          <w:b/>
          <w:bCs/>
          <w:sz w:val="24"/>
          <w:szCs w:val="24"/>
        </w:rPr>
      </w:pPr>
    </w:p>
    <w:p w:rsidR="00BD6457" w:rsidRPr="001A5F13" w:rsidRDefault="00BD6457" w:rsidP="00BD6457">
      <w:pPr>
        <w:jc w:val="left"/>
        <w:rPr>
          <w:rFonts w:eastAsia="微软雅黑" w:cs="Times New Roman"/>
          <w:b/>
          <w:bCs/>
          <w:sz w:val="24"/>
          <w:szCs w:val="24"/>
        </w:rPr>
      </w:pPr>
      <w:r w:rsidRPr="001A5F13">
        <w:rPr>
          <w:rFonts w:eastAsia="微软雅黑" w:cs="Times New Roman"/>
          <w:b/>
          <w:bCs/>
          <w:sz w:val="24"/>
          <w:szCs w:val="24"/>
        </w:rPr>
        <w:br w:type="page"/>
      </w: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b/>
          <w:bCs/>
          <w:sz w:val="24"/>
          <w:szCs w:val="24"/>
          <w:lang w:val="en"/>
        </w:rPr>
      </w:pPr>
      <w:r w:rsidRPr="001A5F13">
        <w:rPr>
          <w:rFonts w:cs="Times New Roman"/>
          <w:b/>
          <w:bCs/>
          <w:sz w:val="24"/>
          <w:szCs w:val="24"/>
          <w:lang w:val="en"/>
        </w:rPr>
        <w:lastRenderedPageBreak/>
        <w:t xml:space="preserve">Table S3. </w:t>
      </w:r>
      <w:r w:rsidRPr="001A5F13">
        <w:rPr>
          <w:rFonts w:cs="Times New Roman"/>
          <w:b/>
          <w:bCs/>
          <w:sz w:val="24"/>
          <w:szCs w:val="24"/>
        </w:rPr>
        <w:t>Distribution of practice</w:t>
      </w:r>
      <w:r w:rsidRPr="001A5F13">
        <w:rPr>
          <w:rFonts w:eastAsia="微软雅黑" w:cs="Times New Roman"/>
          <w:b/>
          <w:bCs/>
          <w:kern w:val="0"/>
          <w:sz w:val="24"/>
          <w:szCs w:val="24"/>
        </w:rPr>
        <w:t xml:space="preserve"> </w:t>
      </w:r>
      <w:r w:rsidRPr="001A5F13">
        <w:rPr>
          <w:rFonts w:cs="Times New Roman"/>
          <w:b/>
          <w:bCs/>
          <w:sz w:val="24"/>
          <w:szCs w:val="24"/>
        </w:rPr>
        <w:t>dimension responses</w:t>
      </w:r>
    </w:p>
    <w:tbl>
      <w:tblPr>
        <w:tblW w:w="1417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560"/>
        <w:gridCol w:w="1559"/>
        <w:gridCol w:w="1472"/>
        <w:gridCol w:w="1449"/>
        <w:gridCol w:w="1330"/>
      </w:tblGrid>
      <w:tr w:rsidR="00BD6457" w:rsidRPr="001A5F13" w:rsidTr="001B1CF6">
        <w:trPr>
          <w:trHeight w:val="397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>N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Always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Often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Sometimes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Rarely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Never 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1.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go to the hospital for follow-up appointments as advised by the doctor.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195 (46.65)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150 (35.89)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52 (12.44)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17 (4.07)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4 (0.96)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2.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have received guidance on oral management during orthodontic treatment and follow the guidance for oral management.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166 (39.71)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152 (36.36)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67 (16.03)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24 (5.74)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9 (2.15)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3.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pay attention to and actively purchase oral management products during orthodontic treatment.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127 (30.38)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144 (34.45)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96 (22.97)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43 (10.29)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8 (1.91)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4.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pay attention to the following matters in daily life: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Cs/>
                <w:sz w:val="24"/>
                <w:szCs w:val="24"/>
              </w:rPr>
              <w:t>4.1 Brushing teeth in the morning and evening, and after meals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201 (48.09)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141 (33.73)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61 (14.59)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11 (2.63)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4 (0.96)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Cs/>
                <w:sz w:val="24"/>
                <w:szCs w:val="24"/>
              </w:rPr>
              <w:t>4.2 Using dental floss after meals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104 (24.88)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118 (28.23)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95 (22.73)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68 (16.27)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33 (7.89)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Cs/>
                <w:sz w:val="24"/>
                <w:szCs w:val="24"/>
              </w:rPr>
              <w:t>4.3 Using mouthwash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78 (18.66)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101 (24.16)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118 (28.23)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94 (22.49)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27 (6.46)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Cs/>
                <w:sz w:val="24"/>
                <w:szCs w:val="24"/>
              </w:rPr>
              <w:t>4.4 Paying attention to diet and avoiding hard or sticky foods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146 (34.93)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152 (36.36)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86 (20.57)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26 (6.22)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cs="Times New Roman"/>
                <w:color w:val="000000"/>
                <w:sz w:val="24"/>
                <w:szCs w:val="24"/>
              </w:rPr>
              <w:t>8 (1.91)</w:t>
            </w:r>
          </w:p>
        </w:tc>
      </w:tr>
      <w:tr w:rsidR="00BD6457" w:rsidRPr="001A5F13" w:rsidTr="001B1CF6">
        <w:trPr>
          <w:trHeight w:val="397"/>
        </w:trPr>
        <w:tc>
          <w:tcPr>
            <w:tcW w:w="6804" w:type="dxa"/>
            <w:tcBorders>
              <w:bottom w:val="single" w:sz="4" w:space="0" w:color="auto"/>
            </w:tcBorders>
          </w:tcPr>
          <w:p w:rsidR="00BD6457" w:rsidRPr="001A5F13" w:rsidRDefault="00BD6457" w:rsidP="001B1CF6">
            <w:pPr>
              <w:widowControl w:val="0"/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lastRenderedPageBreak/>
              <w:t>5.</w:t>
            </w:r>
            <w:r w:rsidRPr="001A5F13">
              <w:rPr>
                <w:rFonts w:cs="Times New Roman"/>
                <w:sz w:val="24"/>
                <w:szCs w:val="24"/>
              </w:rPr>
              <w:t xml:space="preserve"> </w:t>
            </w:r>
            <w:r w:rsidRPr="001A5F13">
              <w:rPr>
                <w:rFonts w:eastAsia="微软雅黑" w:cs="Times New Roman"/>
                <w:b/>
                <w:sz w:val="24"/>
                <w:szCs w:val="24"/>
              </w:rPr>
              <w:t>I will promptly visit the hospital and seek advice from medical professionals when experiencing symptoms of oral discomfort.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180 (43.06)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147 (35.17)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71 (16.99)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17 (4.07)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6457" w:rsidRPr="001A5F13" w:rsidRDefault="00BD6457" w:rsidP="001B1CF6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3 (0.72)</w:t>
            </w:r>
          </w:p>
        </w:tc>
      </w:tr>
    </w:tbl>
    <w:p w:rsidR="001A5F13" w:rsidRPr="001A5F13" w:rsidRDefault="00BD6457" w:rsidP="001A5F13">
      <w:pPr>
        <w:rPr>
          <w:rFonts w:cs="Times New Roman"/>
          <w:b/>
          <w:bCs/>
          <w:kern w:val="0"/>
          <w:sz w:val="24"/>
          <w:szCs w:val="24"/>
        </w:rPr>
      </w:pPr>
      <w:r w:rsidRPr="001A5F13">
        <w:rPr>
          <w:rFonts w:cs="Times New Roman"/>
          <w:sz w:val="24"/>
          <w:szCs w:val="24"/>
        </w:rPr>
        <w:br w:type="page"/>
      </w:r>
      <w:r w:rsidR="001A5F13" w:rsidRPr="001A5F13">
        <w:rPr>
          <w:rFonts w:cs="Times New Roman"/>
          <w:b/>
          <w:bCs/>
          <w:sz w:val="24"/>
          <w:szCs w:val="24"/>
        </w:rPr>
        <w:lastRenderedPageBreak/>
        <w:t>Table S4. U</w:t>
      </w:r>
      <w:bookmarkStart w:id="0" w:name="_GoBack"/>
      <w:bookmarkEnd w:id="0"/>
      <w:r w:rsidR="001A5F13" w:rsidRPr="001A5F13">
        <w:rPr>
          <w:rFonts w:cs="Times New Roman"/>
          <w:b/>
          <w:bCs/>
          <w:sz w:val="24"/>
          <w:szCs w:val="24"/>
        </w:rPr>
        <w:t>nivariate and multivariate analysis for adequate knowledge among females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4204"/>
        <w:gridCol w:w="4210"/>
      </w:tblGrid>
      <w:tr w:rsidR="001A5F13" w:rsidRPr="001A5F13" w:rsidTr="00700329">
        <w:trPr>
          <w:jc w:val="center"/>
        </w:trPr>
        <w:tc>
          <w:tcPr>
            <w:tcW w:w="19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30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Univariate logistic regression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0.983 (0.954-1.013)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0.258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Residence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Rural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Urban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1.660 (0.721-3.819)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0.233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Education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College and below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342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Bachelor’s degree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1.193 (0.636-2.238)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0.583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Master’s degree and above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1.351 (0.669-2.732)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0.402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sz w:val="24"/>
                <w:szCs w:val="24"/>
              </w:rPr>
              <w:t xml:space="preserve">Average monthly income 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  <w:highlight w:val="yellow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&lt;5000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5000-10000</w:t>
            </w:r>
          </w:p>
        </w:tc>
        <w:tc>
          <w:tcPr>
            <w:tcW w:w="1506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1.645 (0.777-3.485)</w:t>
            </w:r>
          </w:p>
        </w:tc>
        <w:tc>
          <w:tcPr>
            <w:tcW w:w="1508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0.194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10000-20000</w:t>
            </w:r>
          </w:p>
        </w:tc>
        <w:tc>
          <w:tcPr>
            <w:tcW w:w="1506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0.742 (0.354-1.554)</w:t>
            </w:r>
          </w:p>
        </w:tc>
        <w:tc>
          <w:tcPr>
            <w:tcW w:w="1508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0.429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&gt;20000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1.165 (0.504-2.695)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0.721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Orthodontic Method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Fixed bracket treatment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1.626 (0.965-2.740)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0.068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Aligner treatment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>Duration of Appliance Wear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&lt;3 months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0.171 (0.081-0.362)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3-6 months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0.447 (0.180-1.111)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0.083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6-12 months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1.491 (0.532-4.179)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0.447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1-2 years</w:t>
            </w:r>
          </w:p>
        </w:tc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1.025 (0.472-2.229)</w:t>
            </w:r>
          </w:p>
        </w:tc>
        <w:tc>
          <w:tcPr>
            <w:tcW w:w="1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0.950</w:t>
            </w:r>
          </w:p>
        </w:tc>
      </w:tr>
      <w:tr w:rsidR="001A5F13" w:rsidRPr="001A5F13" w:rsidTr="00700329">
        <w:trPr>
          <w:jc w:val="center"/>
        </w:trPr>
        <w:tc>
          <w:tcPr>
            <w:tcW w:w="198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More than 2 years</w:t>
            </w:r>
          </w:p>
        </w:tc>
        <w:tc>
          <w:tcPr>
            <w:tcW w:w="15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5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</w:tbl>
    <w:p w:rsidR="001A5F13" w:rsidRPr="001A5F13" w:rsidRDefault="001A5F13" w:rsidP="001A5F13">
      <w:pPr>
        <w:rPr>
          <w:rFonts w:cs="Times New Roman"/>
          <w:sz w:val="24"/>
          <w:szCs w:val="24"/>
        </w:rPr>
      </w:pPr>
    </w:p>
    <w:p w:rsidR="001A5F13" w:rsidRPr="001A5F13" w:rsidRDefault="001A5F13" w:rsidP="001A5F13">
      <w:pPr>
        <w:jc w:val="left"/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br w:type="page"/>
      </w:r>
    </w:p>
    <w:p w:rsidR="001A5F13" w:rsidRPr="001A5F13" w:rsidRDefault="001A5F13" w:rsidP="001A5F13">
      <w:pPr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lastRenderedPageBreak/>
        <w:t>Table S5. Univariate and multivariate analysis for adequate knowledge among males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90"/>
        <w:gridCol w:w="1561"/>
        <w:gridCol w:w="3679"/>
        <w:gridCol w:w="1572"/>
      </w:tblGrid>
      <w:tr w:rsidR="001A5F13" w:rsidRPr="001A5F13" w:rsidTr="00700329">
        <w:trPr>
          <w:jc w:val="center"/>
        </w:trPr>
        <w:tc>
          <w:tcPr>
            <w:tcW w:w="123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Univariate logistic regression</w:t>
            </w: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Multivariate logistic regression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1.002 (0.964-1.042)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0.917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Residence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Rural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Urban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0.873 (0.332-2.297)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0.783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Education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College and below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342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Bachelor’s degree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0.517 (0.199-1.344)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0.176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0.374 (0.130-1.078)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0.069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Master’s degree and above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0.309 (0.113-0.841)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0.022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0.252 (0.083-0.765)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0.015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sz w:val="24"/>
                <w:szCs w:val="24"/>
              </w:rPr>
              <w:t xml:space="preserve">Average monthly income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  <w:highlight w:val="yellow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&lt;5000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5000-10000</w:t>
            </w:r>
          </w:p>
        </w:tc>
        <w:tc>
          <w:tcPr>
            <w:tcW w:w="1322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0.495 (0.182-1.343)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0.167</w:t>
            </w:r>
          </w:p>
        </w:tc>
        <w:tc>
          <w:tcPr>
            <w:tcW w:w="1318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10000-20000</w:t>
            </w:r>
          </w:p>
        </w:tc>
        <w:tc>
          <w:tcPr>
            <w:tcW w:w="1322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1.118 (0.443-2.822)</w:t>
            </w:r>
          </w:p>
        </w:tc>
        <w:tc>
          <w:tcPr>
            <w:tcW w:w="559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0.813</w:t>
            </w:r>
          </w:p>
        </w:tc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&gt;20000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0.938 (0.337-2.606)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0.902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Orthodontic Method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Fixed bracket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1.675 (0.846-3.316)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0.139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Aligner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>Duration of Appliance Wear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&lt;3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0.105 (0.031-0.349)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0.090 (0.026-0.313)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3-6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0.247 (0.065-0.934)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0.039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0.242 (0.063-0.940)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0.040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6-12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0.434 (0.125-1.502)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0.187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0.427 (0.121-1.507)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0.186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1-2 years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0.612 (0.154-2.440)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0.487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0.504 (0.123-2.076)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0.343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More than 2 years</w:t>
            </w:r>
          </w:p>
        </w:tc>
        <w:tc>
          <w:tcPr>
            <w:tcW w:w="13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</w:tbl>
    <w:p w:rsidR="001A5F13" w:rsidRPr="001A5F13" w:rsidRDefault="001A5F13" w:rsidP="001A5F13">
      <w:pPr>
        <w:rPr>
          <w:rFonts w:cs="Times New Roman"/>
          <w:sz w:val="24"/>
          <w:szCs w:val="24"/>
        </w:rPr>
      </w:pPr>
      <w:bookmarkStart w:id="1" w:name="OLE_LINK15"/>
    </w:p>
    <w:p w:rsidR="001A5F13" w:rsidRPr="001A5F13" w:rsidRDefault="001A5F13" w:rsidP="001A5F13">
      <w:pPr>
        <w:jc w:val="left"/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br w:type="page"/>
      </w:r>
    </w:p>
    <w:p w:rsidR="001A5F13" w:rsidRPr="001A5F13" w:rsidRDefault="001A5F13" w:rsidP="001A5F13">
      <w:pPr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lastRenderedPageBreak/>
        <w:t>Table S6. Univariate and multivariate analysis for proactive practice among females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90"/>
        <w:gridCol w:w="1561"/>
        <w:gridCol w:w="3679"/>
        <w:gridCol w:w="1572"/>
      </w:tblGrid>
      <w:tr w:rsidR="001A5F13" w:rsidRPr="001A5F13" w:rsidTr="00700329">
        <w:trPr>
          <w:jc w:val="center"/>
        </w:trPr>
        <w:tc>
          <w:tcPr>
            <w:tcW w:w="123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Univariate logistic regression</w:t>
            </w: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Multivariate logistic regression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b/>
                <w:bCs/>
                <w:sz w:val="24"/>
                <w:szCs w:val="24"/>
              </w:rPr>
              <w:t xml:space="preserve">Knowledge score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1.396 (1.278-1.524)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1.282 (1.166-1.411)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b/>
                <w:bCs/>
                <w:sz w:val="24"/>
                <w:szCs w:val="24"/>
              </w:rPr>
              <w:t xml:space="preserve">Attitude score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1.463 (1.313-1.630)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1.259 (1.109-1.429)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1.024 (0.991-1.059)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0.158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Residence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Rural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Urban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1.228 (0.507-2.974)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0.650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Education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College and below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342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Bachelor’s degree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0.654 (0.325-1.318)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0.235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Master’s degree and above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0.756 (0.349-1.636)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0.477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sz w:val="24"/>
                <w:szCs w:val="24"/>
              </w:rPr>
              <w:t xml:space="preserve">Average monthly income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  <w:highlight w:val="yellow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&lt;5000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5000-10000</w:t>
            </w:r>
          </w:p>
        </w:tc>
        <w:tc>
          <w:tcPr>
            <w:tcW w:w="1322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0.770 (0.351-1.689)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0.514</w:t>
            </w:r>
          </w:p>
        </w:tc>
        <w:tc>
          <w:tcPr>
            <w:tcW w:w="1318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10000-20000</w:t>
            </w:r>
          </w:p>
        </w:tc>
        <w:tc>
          <w:tcPr>
            <w:tcW w:w="1322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0.937 (0.412-2.130)</w:t>
            </w:r>
          </w:p>
        </w:tc>
        <w:tc>
          <w:tcPr>
            <w:tcW w:w="559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0.876</w:t>
            </w:r>
          </w:p>
        </w:tc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&gt;20000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0.778 (0.319-1.895)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0.580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Orthodontic Method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Fixed bracket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1.326 (0.768-2.291)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0.311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Aligner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>Duration of Appliance Wear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&lt;3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0.494 (0.241-1.010)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0.053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3-6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1.852 (0.623-5.500)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0.267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6-12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1.296 (0.507-3.313)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0.588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1-2 years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1.176 (0.557-2.487)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0.670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More than 2 years</w:t>
            </w:r>
          </w:p>
        </w:tc>
        <w:tc>
          <w:tcPr>
            <w:tcW w:w="13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bookmarkEnd w:id="1"/>
    </w:tbl>
    <w:p w:rsidR="001A5F13" w:rsidRPr="001A5F13" w:rsidRDefault="001A5F13" w:rsidP="001A5F13">
      <w:pPr>
        <w:rPr>
          <w:rFonts w:cs="Times New Roman"/>
          <w:sz w:val="24"/>
          <w:szCs w:val="24"/>
        </w:rPr>
      </w:pPr>
    </w:p>
    <w:p w:rsidR="001A5F13" w:rsidRPr="001A5F13" w:rsidRDefault="001A5F13" w:rsidP="001A5F13">
      <w:pPr>
        <w:jc w:val="left"/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br w:type="page"/>
      </w:r>
    </w:p>
    <w:p w:rsidR="001A5F13" w:rsidRPr="001A5F13" w:rsidRDefault="001A5F13" w:rsidP="001A5F13">
      <w:pPr>
        <w:rPr>
          <w:rFonts w:cs="Times New Roman"/>
          <w:b/>
          <w:bCs/>
          <w:sz w:val="24"/>
          <w:szCs w:val="24"/>
        </w:rPr>
      </w:pPr>
      <w:r w:rsidRPr="001A5F13">
        <w:rPr>
          <w:rFonts w:cs="Times New Roman"/>
          <w:b/>
          <w:bCs/>
          <w:sz w:val="24"/>
          <w:szCs w:val="24"/>
        </w:rPr>
        <w:lastRenderedPageBreak/>
        <w:t>Table S7. Univariate and multivariate analysis for proactive practice among males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90"/>
        <w:gridCol w:w="1561"/>
        <w:gridCol w:w="3679"/>
        <w:gridCol w:w="1572"/>
      </w:tblGrid>
      <w:tr w:rsidR="001A5F13" w:rsidRPr="001A5F13" w:rsidTr="00700329">
        <w:trPr>
          <w:jc w:val="center"/>
        </w:trPr>
        <w:tc>
          <w:tcPr>
            <w:tcW w:w="123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Univariate logistic regression</w:t>
            </w:r>
          </w:p>
        </w:tc>
        <w:tc>
          <w:tcPr>
            <w:tcW w:w="18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Multivariate logistic regression</w:t>
            </w: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P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b/>
                <w:bCs/>
                <w:sz w:val="24"/>
                <w:szCs w:val="24"/>
              </w:rPr>
              <w:t xml:space="preserve">Knowledge score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1.215 (1.104-1.336)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1.151 (1.036-1.278)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0.009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</w:pPr>
            <w:r w:rsidRPr="001A5F13">
              <w:rPr>
                <w:rFonts w:cs="Times New Roman"/>
                <w:b/>
                <w:bCs/>
                <w:sz w:val="24"/>
                <w:szCs w:val="24"/>
              </w:rPr>
              <w:t xml:space="preserve">Attitude score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1.329 (1.164-1.518)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1.226 (1.070-1.404)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0.003</w:t>
            </w: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1.013 (0.972-1.056)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0.530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kern w:val="0"/>
                <w:sz w:val="24"/>
                <w:szCs w:val="24"/>
              </w:rPr>
              <w:t xml:space="preserve">Residence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Rural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Urban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0.613 (0.207-1.813)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0.377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 xml:space="preserve">Education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College and below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342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Bachelor’s degree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0.730 (0.253-2.104)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0.560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trHeight w:val="90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 xml:space="preserve">Master’s degree and above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0.403 (0.138-1.175)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sz w:val="24"/>
                <w:szCs w:val="24"/>
              </w:rPr>
              <w:t xml:space="preserve">Average monthly income 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  <w:highlight w:val="yellow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&lt;5000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5000-10000</w:t>
            </w:r>
          </w:p>
        </w:tc>
        <w:tc>
          <w:tcPr>
            <w:tcW w:w="1322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0.611 (0.229-1.634)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0.326</w:t>
            </w:r>
          </w:p>
        </w:tc>
        <w:tc>
          <w:tcPr>
            <w:tcW w:w="1318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10000-20000</w:t>
            </w:r>
          </w:p>
        </w:tc>
        <w:tc>
          <w:tcPr>
            <w:tcW w:w="1322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1.304 (0.495-3.435)</w:t>
            </w:r>
          </w:p>
        </w:tc>
        <w:tc>
          <w:tcPr>
            <w:tcW w:w="559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0.592</w:t>
            </w:r>
          </w:p>
        </w:tc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sz w:val="24"/>
                <w:szCs w:val="24"/>
              </w:rPr>
              <w:t>&gt;20000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2.444 (0.761-7.856)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0.133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sz w:val="24"/>
                <w:szCs w:val="24"/>
              </w:rPr>
              <w:t>Orthodontic Method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Fixed bracket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0.755 (0.373-1.531)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0.436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Aligner treatment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b/>
                <w:bCs/>
                <w:kern w:val="0"/>
                <w:sz w:val="24"/>
                <w:szCs w:val="24"/>
              </w:rPr>
              <w:t>Duration of Appliance Wear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&lt;3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0.344 (0.108-1.091)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0.070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3-6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1.607 (0.363-7.122)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0.532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6-12 months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0.750 (0.211-2.667)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0.657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1-2 years</w:t>
            </w:r>
          </w:p>
        </w:tc>
        <w:tc>
          <w:tcPr>
            <w:tcW w:w="13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0.999 (0.236-4.238)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0.999</w:t>
            </w:r>
          </w:p>
        </w:tc>
        <w:tc>
          <w:tcPr>
            <w:tcW w:w="13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  <w:tr w:rsidR="001A5F13" w:rsidRPr="001A5F13" w:rsidTr="00700329">
        <w:trPr>
          <w:jc w:val="center"/>
        </w:trPr>
        <w:tc>
          <w:tcPr>
            <w:tcW w:w="123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ind w:firstLineChars="100" w:firstLine="240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More than 2 years</w:t>
            </w:r>
          </w:p>
        </w:tc>
        <w:tc>
          <w:tcPr>
            <w:tcW w:w="13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1A5F13">
              <w:rPr>
                <w:rFonts w:eastAsia="微软雅黑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3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5F13" w:rsidRPr="001A5F13" w:rsidRDefault="001A5F13" w:rsidP="00700329">
            <w:pPr>
              <w:adjustRightInd w:val="0"/>
              <w:snapToGrid w:val="0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</w:tr>
    </w:tbl>
    <w:p w:rsidR="001A5F13" w:rsidRPr="001A5F13" w:rsidRDefault="001A5F13" w:rsidP="001A5F13">
      <w:pPr>
        <w:rPr>
          <w:rFonts w:cs="Times New Roman"/>
          <w:sz w:val="24"/>
          <w:szCs w:val="24"/>
        </w:rPr>
      </w:pPr>
    </w:p>
    <w:p w:rsidR="00BD6457" w:rsidRPr="001A5F13" w:rsidRDefault="00BD6457" w:rsidP="00BD6457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</w:p>
    <w:sectPr w:rsidR="00BD6457" w:rsidRPr="001A5F13" w:rsidSect="00BD64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3F5" w:rsidRDefault="00B323F5" w:rsidP="00BD6457">
      <w:r>
        <w:separator/>
      </w:r>
    </w:p>
  </w:endnote>
  <w:endnote w:type="continuationSeparator" w:id="0">
    <w:p w:rsidR="00B323F5" w:rsidRDefault="00B323F5" w:rsidP="00BD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3F5" w:rsidRDefault="00B323F5" w:rsidP="00BD6457">
      <w:r>
        <w:separator/>
      </w:r>
    </w:p>
  </w:footnote>
  <w:footnote w:type="continuationSeparator" w:id="0">
    <w:p w:rsidR="00B323F5" w:rsidRDefault="00B323F5" w:rsidP="00BD6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D4"/>
    <w:rsid w:val="000F0076"/>
    <w:rsid w:val="00133C52"/>
    <w:rsid w:val="001A5F13"/>
    <w:rsid w:val="002139D4"/>
    <w:rsid w:val="00644684"/>
    <w:rsid w:val="006A184D"/>
    <w:rsid w:val="00B323F5"/>
    <w:rsid w:val="00BD6457"/>
    <w:rsid w:val="00C06BAB"/>
    <w:rsid w:val="00E4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46F432-1C63-405F-A232-1D0D0002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457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45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6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6457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64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2024-06-13T09:11:00Z</dcterms:created>
  <dcterms:modified xsi:type="dcterms:W3CDTF">2024-10-12T02:55:00Z</dcterms:modified>
</cp:coreProperties>
</file>