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E7B7E8" w14:textId="05342BFC" w:rsidR="00DC773D" w:rsidRPr="000713F0" w:rsidRDefault="00DC773D" w:rsidP="00DC773D">
      <w:pPr>
        <w:keepNext/>
        <w:spacing w:after="200"/>
        <w:rPr>
          <w:rFonts w:ascii="Calibri" w:eastAsia="Calibri" w:hAnsi="Calibri" w:cs="Calibri"/>
          <w:sz w:val="20"/>
          <w:szCs w:val="20"/>
        </w:rPr>
      </w:pPr>
      <w:r>
        <w:rPr>
          <w:rFonts w:ascii="Calibri" w:eastAsia="Calibri" w:hAnsi="Calibri" w:cs="Calibri"/>
          <w:sz w:val="20"/>
          <w:szCs w:val="20"/>
        </w:rPr>
        <w:t>Supplementary table</w:t>
      </w:r>
      <w:r w:rsidRPr="000713F0">
        <w:rPr>
          <w:rFonts w:ascii="Calibri" w:eastAsia="Calibri" w:hAnsi="Calibri" w:cs="Calibri"/>
          <w:sz w:val="20"/>
          <w:szCs w:val="20"/>
        </w:rPr>
        <w:t xml:space="preserve"> 1: List of the excluded studies after the full-text assessment and the reasons for exclusion </w:t>
      </w:r>
    </w:p>
    <w:p w14:paraId="6E2022E6" w14:textId="77777777" w:rsidR="00DC773D" w:rsidRDefault="00DC773D"/>
    <w:tbl>
      <w:tblPr>
        <w:tblStyle w:val="GridTable42"/>
        <w:tblpPr w:leftFromText="180" w:rightFromText="180" w:vertAnchor="text" w:horzAnchor="margin" w:tblpY="72"/>
        <w:tblW w:w="0" w:type="auto"/>
        <w:tblLook w:val="04A0" w:firstRow="1" w:lastRow="0" w:firstColumn="1" w:lastColumn="0" w:noHBand="0" w:noVBand="1"/>
      </w:tblPr>
      <w:tblGrid>
        <w:gridCol w:w="3116"/>
        <w:gridCol w:w="3117"/>
        <w:gridCol w:w="3117"/>
      </w:tblGrid>
      <w:tr w:rsidR="00DC773D" w:rsidRPr="000713F0" w14:paraId="68C0DCD7" w14:textId="77777777" w:rsidTr="00DC77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72B3556" w14:textId="77777777" w:rsidR="00DC773D" w:rsidRPr="000713F0" w:rsidRDefault="00DC773D" w:rsidP="00DC773D">
            <w:pPr>
              <w:rPr>
                <w:rFonts w:ascii="Calibri" w:eastAsia="Calibri" w:hAnsi="Calibri" w:cs="Calibri"/>
                <w:sz w:val="20"/>
                <w:szCs w:val="20"/>
              </w:rPr>
            </w:pPr>
          </w:p>
        </w:tc>
        <w:tc>
          <w:tcPr>
            <w:tcW w:w="3117" w:type="dxa"/>
          </w:tcPr>
          <w:p w14:paraId="6FA9DB89" w14:textId="77777777" w:rsidR="00DC773D" w:rsidRPr="000713F0" w:rsidRDefault="00DC773D" w:rsidP="00DC773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713F0">
              <w:rPr>
                <w:rFonts w:ascii="Calibri" w:eastAsia="Calibri" w:hAnsi="Calibri" w:cs="Calibri"/>
                <w:sz w:val="20"/>
                <w:szCs w:val="20"/>
              </w:rPr>
              <w:t>Title</w:t>
            </w:r>
          </w:p>
        </w:tc>
        <w:tc>
          <w:tcPr>
            <w:tcW w:w="3117" w:type="dxa"/>
          </w:tcPr>
          <w:p w14:paraId="625818EB" w14:textId="77777777" w:rsidR="00DC773D" w:rsidRPr="000713F0" w:rsidRDefault="00DC773D" w:rsidP="00DC773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713F0">
              <w:rPr>
                <w:rFonts w:ascii="Calibri" w:eastAsia="Calibri" w:hAnsi="Calibri" w:cs="Calibri"/>
                <w:sz w:val="20"/>
                <w:szCs w:val="20"/>
              </w:rPr>
              <w:t>Reason(s) for exclusion</w:t>
            </w:r>
          </w:p>
        </w:tc>
      </w:tr>
      <w:tr w:rsidR="00DC773D" w:rsidRPr="000713F0" w14:paraId="7CFC1D39" w14:textId="77777777" w:rsidTr="00DC77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9E50C68" w14:textId="77777777" w:rsidR="00DC773D" w:rsidRPr="000713F0" w:rsidRDefault="00DC773D" w:rsidP="00DC773D">
            <w:pPr>
              <w:jc w:val="center"/>
              <w:rPr>
                <w:rFonts w:ascii="Calibri" w:eastAsia="Calibri" w:hAnsi="Calibri" w:cs="Calibri"/>
                <w:sz w:val="20"/>
                <w:szCs w:val="20"/>
              </w:rPr>
            </w:pPr>
            <w:r w:rsidRPr="000713F0">
              <w:rPr>
                <w:rFonts w:ascii="Calibri" w:eastAsia="Calibri" w:hAnsi="Calibri" w:cs="Calibri"/>
                <w:sz w:val="20"/>
                <w:szCs w:val="20"/>
              </w:rPr>
              <w:t xml:space="preserve">Kim, J., et al. 2023 </w:t>
            </w:r>
            <w:r w:rsidRPr="000713F0">
              <w:rPr>
                <w:rFonts w:ascii="Calibri" w:eastAsia="Calibri" w:hAnsi="Calibri" w:cs="Calibri"/>
                <w:sz w:val="20"/>
                <w:szCs w:val="20"/>
              </w:rPr>
              <w:fldChar w:fldCharType="begin"/>
            </w:r>
            <w:r w:rsidRPr="000713F0">
              <w:rPr>
                <w:rFonts w:ascii="Calibri" w:eastAsia="Calibri" w:hAnsi="Calibri" w:cs="Calibri"/>
                <w:sz w:val="20"/>
                <w:szCs w:val="20"/>
              </w:rPr>
              <w:instrText xml:space="preserve"> ADDIN EN.CITE &lt;EndNote&gt;&lt;Cite&gt;&lt;Author&gt;Kim&lt;/Author&gt;&lt;Year&gt;2023&lt;/Year&gt;&lt;RecNum&gt;60&lt;/RecNum&gt;&lt;DisplayText&gt;(55)&lt;/DisplayText&gt;&lt;record&gt;&lt;rec-number&gt;60&lt;/rec-number&gt;&lt;foreign-keys&gt;&lt;key app="EN" db-id="xfss9dtviw5v2sep99wp2xatwtd2zpsetetd" timestamp="1696319793"&gt;60&lt;/key&gt;&lt;/foreign-keys&gt;&lt;ref-type name="Journal Article"&gt;17&lt;/ref-type&gt;&lt;contributors&gt;&lt;authors&gt;&lt;author&gt;Kim, Jihoon&lt;/author&gt;&lt;author&gt;Seo, Hyejun&lt;/author&gt;&lt;author&gt;Park, Soyoung&lt;/author&gt;&lt;author&gt;Lee, Eungyung&lt;/author&gt;&lt;author&gt;Jeong, Taesung&lt;/author&gt;&lt;author&gt;Nam, Ok Hyung&lt;/author&gt;&lt;author&gt;Choi, Sungchul&lt;/author&gt;&lt;author&gt;Shin, Jonghyun&lt;/author&gt;&lt;/authors&gt;&lt;/contributors&gt;&lt;titles&gt;&lt;title&gt;Utilization of an Artificial Intelligence Program Using the Greulich-Pyle Method to Evaluate Bone Age in the Skeletal Maturation Stage&lt;/title&gt;&lt;secondary-title&gt;Journal of the Korean Academy of Pediatric Dentistry&lt;/secondary-title&gt;&lt;/titles&gt;&lt;periodical&gt;&lt;full-title&gt;Journal of the Korean Academy of Pediatric Dentistry&lt;/full-title&gt;&lt;/periodical&gt;&lt;pages&gt;89-103&lt;/pages&gt;&lt;volume&gt;50&lt;/volume&gt;&lt;number&gt;1&lt;/number&gt;&lt;dates&gt;&lt;year&gt;2023&lt;/year&gt;&lt;/dates&gt;&lt;isbn&gt;1226-8496&lt;/isbn&gt;&lt;urls&gt;&lt;/urls&gt;&lt;/record&gt;&lt;/Cite&gt;&lt;/EndNote&gt;</w:instrText>
            </w:r>
            <w:r w:rsidRPr="000713F0">
              <w:rPr>
                <w:rFonts w:ascii="Calibri" w:eastAsia="Calibri" w:hAnsi="Calibri" w:cs="Calibri"/>
                <w:sz w:val="20"/>
                <w:szCs w:val="20"/>
              </w:rPr>
              <w:fldChar w:fldCharType="separate"/>
            </w:r>
            <w:r w:rsidRPr="000713F0">
              <w:rPr>
                <w:rFonts w:ascii="Calibri" w:eastAsia="Calibri" w:hAnsi="Calibri" w:cs="Calibri"/>
                <w:noProof/>
                <w:sz w:val="20"/>
                <w:szCs w:val="20"/>
              </w:rPr>
              <w:t>(55)</w:t>
            </w:r>
            <w:r w:rsidRPr="000713F0">
              <w:rPr>
                <w:rFonts w:ascii="Calibri" w:eastAsia="Calibri" w:hAnsi="Calibri" w:cs="Calibri"/>
                <w:sz w:val="20"/>
                <w:szCs w:val="20"/>
              </w:rPr>
              <w:fldChar w:fldCharType="end"/>
            </w:r>
          </w:p>
        </w:tc>
        <w:tc>
          <w:tcPr>
            <w:tcW w:w="3117" w:type="dxa"/>
          </w:tcPr>
          <w:p w14:paraId="7319C5A0" w14:textId="77777777" w:rsidR="00DC773D" w:rsidRPr="000713F0" w:rsidRDefault="00DC773D" w:rsidP="00DC773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000713F0">
              <w:rPr>
                <w:rFonts w:ascii="Calibri" w:eastAsia="Calibri" w:hAnsi="Calibri" w:cs="Calibri"/>
                <w:sz w:val="20"/>
                <w:szCs w:val="20"/>
              </w:rPr>
              <w:t>Utilization of an Artificial Intelligence Program Using the Greulich-Pyle Method to Evaluate Bone Age in the Skeletal Maturation Stage</w:t>
            </w:r>
          </w:p>
          <w:p w14:paraId="3EBF6EC8" w14:textId="77777777" w:rsidR="00DC773D" w:rsidRPr="000713F0" w:rsidRDefault="00DC773D" w:rsidP="00DC773D">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c>
          <w:tcPr>
            <w:tcW w:w="3117" w:type="dxa"/>
          </w:tcPr>
          <w:p w14:paraId="5109B89C" w14:textId="77777777" w:rsidR="00DC773D" w:rsidRPr="000713F0" w:rsidRDefault="00DC773D" w:rsidP="00DC773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000713F0">
              <w:rPr>
                <w:rFonts w:ascii="Calibri" w:eastAsia="Calibri" w:hAnsi="Calibri" w:cs="Calibri"/>
                <w:sz w:val="20"/>
                <w:szCs w:val="20"/>
              </w:rPr>
              <w:t>5- stage classification</w:t>
            </w:r>
          </w:p>
        </w:tc>
      </w:tr>
      <w:tr w:rsidR="00DC773D" w:rsidRPr="000713F0" w14:paraId="7C0EC4B2" w14:textId="77777777" w:rsidTr="00DC773D">
        <w:tc>
          <w:tcPr>
            <w:cnfStyle w:val="001000000000" w:firstRow="0" w:lastRow="0" w:firstColumn="1" w:lastColumn="0" w:oddVBand="0" w:evenVBand="0" w:oddHBand="0" w:evenHBand="0" w:firstRowFirstColumn="0" w:firstRowLastColumn="0" w:lastRowFirstColumn="0" w:lastRowLastColumn="0"/>
            <w:tcW w:w="3116" w:type="dxa"/>
          </w:tcPr>
          <w:p w14:paraId="6EFA0AC4" w14:textId="77777777" w:rsidR="00DC773D" w:rsidRPr="000713F0" w:rsidRDefault="00DC773D" w:rsidP="00DC773D">
            <w:pPr>
              <w:jc w:val="center"/>
              <w:rPr>
                <w:rFonts w:ascii="Calibri" w:eastAsia="Calibri" w:hAnsi="Calibri" w:cs="Calibri"/>
                <w:sz w:val="20"/>
                <w:szCs w:val="20"/>
              </w:rPr>
            </w:pPr>
            <w:proofErr w:type="spellStart"/>
            <w:r w:rsidRPr="000713F0">
              <w:rPr>
                <w:rFonts w:ascii="Calibri" w:eastAsia="Calibri" w:hAnsi="Calibri" w:cs="Calibri"/>
                <w:sz w:val="20"/>
                <w:szCs w:val="20"/>
              </w:rPr>
              <w:t>Manoochehri</w:t>
            </w:r>
            <w:proofErr w:type="spellEnd"/>
            <w:r w:rsidRPr="000713F0">
              <w:rPr>
                <w:rFonts w:ascii="Calibri" w:eastAsia="Calibri" w:hAnsi="Calibri" w:cs="Calibri"/>
                <w:sz w:val="20"/>
                <w:szCs w:val="20"/>
              </w:rPr>
              <w:t xml:space="preserve">, H., et al. 2022 </w:t>
            </w:r>
            <w:r w:rsidRPr="000713F0">
              <w:rPr>
                <w:rFonts w:ascii="Calibri" w:eastAsia="Calibri" w:hAnsi="Calibri" w:cs="Calibri"/>
                <w:sz w:val="20"/>
                <w:szCs w:val="20"/>
              </w:rPr>
              <w:fldChar w:fldCharType="begin"/>
            </w:r>
            <w:r w:rsidRPr="000713F0">
              <w:rPr>
                <w:rFonts w:ascii="Calibri" w:eastAsia="Calibri" w:hAnsi="Calibri" w:cs="Calibri"/>
                <w:sz w:val="20"/>
                <w:szCs w:val="20"/>
              </w:rPr>
              <w:instrText xml:space="preserve"> ADDIN EN.CITE &lt;EndNote&gt;&lt;Cite&gt;&lt;Author&gt;Manoochehri&lt;/Author&gt;&lt;Year&gt;2022&lt;/Year&gt;&lt;RecNum&gt;61&lt;/RecNum&gt;&lt;DisplayText&gt;(56)&lt;/DisplayText&gt;&lt;record&gt;&lt;rec-number&gt;61&lt;/rec-number&gt;&lt;foreign-keys&gt;&lt;key app="EN" db-id="xfss9dtviw5v2sep99wp2xatwtd2zpsetetd" timestamp="1696319793"&gt;61&lt;/key&gt;&lt;/foreign-keys&gt;&lt;ref-type name="Conference Proceedings"&gt;10&lt;/ref-type&gt;&lt;contributors&gt;&lt;authors&gt;&lt;author&gt;Manoochehri, Hamideh&lt;/author&gt;&lt;author&gt;Motamedi, Seyed Ahmad&lt;/author&gt;&lt;author&gt;Mohammad-Djafari, Ali&lt;/author&gt;&lt;author&gt;Makaremi, Masrour&lt;/author&gt;&lt;author&gt;Vafaie Sadr, Alireza&lt;/author&gt;&lt;/authors&gt;&lt;/contributors&gt;&lt;titles&gt;&lt;title&gt;Attention-guided multi-scale CNN network for cervical vertebral maturation assessment from lateral cephalometric radiography&lt;/title&gt;&lt;secondary-title&gt;Physical Sciences Forum&lt;/secondary-title&gt;&lt;/titles&gt;&lt;pages&gt;26&lt;/pages&gt;&lt;volume&gt;5&lt;/volume&gt;&lt;number&gt;1&lt;/number&gt;&lt;dates&gt;&lt;year&gt;2022&lt;/year&gt;&lt;/dates&gt;&lt;publisher&gt;MDPI&lt;/publisher&gt;&lt;isbn&gt;2673-9984&lt;/isbn&gt;&lt;urls&gt;&lt;/urls&gt;&lt;/record&gt;&lt;/Cite&gt;&lt;/EndNote&gt;</w:instrText>
            </w:r>
            <w:r w:rsidRPr="000713F0">
              <w:rPr>
                <w:rFonts w:ascii="Calibri" w:eastAsia="Calibri" w:hAnsi="Calibri" w:cs="Calibri"/>
                <w:sz w:val="20"/>
                <w:szCs w:val="20"/>
              </w:rPr>
              <w:fldChar w:fldCharType="separate"/>
            </w:r>
            <w:r w:rsidRPr="000713F0">
              <w:rPr>
                <w:rFonts w:ascii="Calibri" w:eastAsia="Calibri" w:hAnsi="Calibri" w:cs="Calibri"/>
                <w:noProof/>
                <w:sz w:val="20"/>
                <w:szCs w:val="20"/>
              </w:rPr>
              <w:t>(56)</w:t>
            </w:r>
            <w:r w:rsidRPr="000713F0">
              <w:rPr>
                <w:rFonts w:ascii="Calibri" w:eastAsia="Calibri" w:hAnsi="Calibri" w:cs="Calibri"/>
                <w:sz w:val="20"/>
                <w:szCs w:val="20"/>
              </w:rPr>
              <w:fldChar w:fldCharType="end"/>
            </w:r>
          </w:p>
        </w:tc>
        <w:tc>
          <w:tcPr>
            <w:tcW w:w="3117" w:type="dxa"/>
          </w:tcPr>
          <w:p w14:paraId="097BF32C" w14:textId="77777777" w:rsidR="00DC773D" w:rsidRPr="000713F0" w:rsidRDefault="00DC773D" w:rsidP="00DC773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713F0">
              <w:rPr>
                <w:rFonts w:ascii="Calibri" w:eastAsia="Calibri" w:hAnsi="Calibri" w:cs="Calibri"/>
                <w:sz w:val="20"/>
                <w:szCs w:val="20"/>
              </w:rPr>
              <w:t>Attention-Guided Multi-Scale CNN Network for Cervical Vertebral Maturation Assessment from Lateral Cephalometric Radiography</w:t>
            </w:r>
          </w:p>
          <w:p w14:paraId="732C9D19" w14:textId="77777777" w:rsidR="00DC773D" w:rsidRPr="000713F0" w:rsidRDefault="00DC773D" w:rsidP="00DC773D">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3117" w:type="dxa"/>
          </w:tcPr>
          <w:p w14:paraId="1193B82E" w14:textId="77777777" w:rsidR="00DC773D" w:rsidRPr="000713F0" w:rsidRDefault="00DC773D" w:rsidP="00DC773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713F0">
              <w:rPr>
                <w:rFonts w:ascii="Calibri" w:eastAsia="Calibri" w:hAnsi="Calibri" w:cs="Calibri"/>
                <w:sz w:val="20"/>
                <w:szCs w:val="20"/>
              </w:rPr>
              <w:t>No quantitative outcomes for AI-based CVM staging</w:t>
            </w:r>
          </w:p>
          <w:p w14:paraId="6B0D65FE" w14:textId="77777777" w:rsidR="00DC773D" w:rsidRPr="000713F0" w:rsidRDefault="00DC773D" w:rsidP="00DC773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r>
      <w:tr w:rsidR="00DC773D" w:rsidRPr="000713F0" w14:paraId="18CA1576" w14:textId="77777777" w:rsidTr="00DC77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D9CD194" w14:textId="77777777" w:rsidR="00DC773D" w:rsidRPr="000713F0" w:rsidRDefault="00DC773D" w:rsidP="00DC773D">
            <w:pPr>
              <w:jc w:val="center"/>
              <w:rPr>
                <w:rFonts w:ascii="Calibri" w:eastAsia="Calibri" w:hAnsi="Calibri" w:cs="Calibri"/>
                <w:sz w:val="20"/>
                <w:szCs w:val="20"/>
              </w:rPr>
            </w:pPr>
            <w:r w:rsidRPr="000713F0">
              <w:rPr>
                <w:rFonts w:ascii="Calibri" w:eastAsia="Calibri" w:hAnsi="Calibri" w:cs="Calibri"/>
                <w:sz w:val="20"/>
                <w:szCs w:val="20"/>
              </w:rPr>
              <w:t xml:space="preserve">Utter, M. S. 2021 </w:t>
            </w:r>
            <w:r w:rsidRPr="000713F0">
              <w:rPr>
                <w:rFonts w:ascii="Calibri" w:eastAsia="Calibri" w:hAnsi="Calibri" w:cs="Calibri"/>
                <w:sz w:val="20"/>
                <w:szCs w:val="20"/>
              </w:rPr>
              <w:fldChar w:fldCharType="begin"/>
            </w:r>
            <w:r w:rsidRPr="000713F0">
              <w:rPr>
                <w:rFonts w:ascii="Calibri" w:eastAsia="Calibri" w:hAnsi="Calibri" w:cs="Calibri"/>
                <w:sz w:val="20"/>
                <w:szCs w:val="20"/>
              </w:rPr>
              <w:instrText xml:space="preserve"> ADDIN EN.CITE &lt;EndNote&gt;&lt;Cite&gt;&lt;Author&gt;Utter&lt;/Author&gt;&lt;Year&gt;2021&lt;/Year&gt;&lt;RecNum&gt;62&lt;/RecNum&gt;&lt;DisplayText&gt;(57)&lt;/DisplayText&gt;&lt;record&gt;&lt;rec-number&gt;62&lt;/rec-number&gt;&lt;foreign-keys&gt;&lt;key app="EN" db-id="xfss9dtviw5v2sep99wp2xatwtd2zpsetetd" timestamp="1696319793"&gt;62&lt;/key&gt;&lt;/foreign-keys&gt;&lt;ref-type name="Thesis"&gt;32&lt;/ref-type&gt;&lt;contributors&gt;&lt;authors&gt;&lt;author&gt;Utter, Megan S&lt;/author&gt;&lt;/authors&gt;&lt;/contributors&gt;&lt;titles&gt;&lt;title&gt;The ability of machine learning to predict skeletal maturation using the cervical vertebrae maturation (CVM) method on traced lateral cephalograms&lt;/title&gt;&lt;/titles&gt;&lt;dates&gt;&lt;year&gt;2021&lt;/year&gt;&lt;/dates&gt;&lt;publisher&gt;The University of Iowa&lt;/publisher&gt;&lt;urls&gt;&lt;/urls&gt;&lt;/record&gt;&lt;/Cite&gt;&lt;/EndNote&gt;</w:instrText>
            </w:r>
            <w:r w:rsidRPr="000713F0">
              <w:rPr>
                <w:rFonts w:ascii="Calibri" w:eastAsia="Calibri" w:hAnsi="Calibri" w:cs="Calibri"/>
                <w:sz w:val="20"/>
                <w:szCs w:val="20"/>
              </w:rPr>
              <w:fldChar w:fldCharType="separate"/>
            </w:r>
            <w:r w:rsidRPr="000713F0">
              <w:rPr>
                <w:rFonts w:ascii="Calibri" w:eastAsia="Calibri" w:hAnsi="Calibri" w:cs="Calibri"/>
                <w:noProof/>
                <w:sz w:val="20"/>
                <w:szCs w:val="20"/>
              </w:rPr>
              <w:t>(57)</w:t>
            </w:r>
            <w:r w:rsidRPr="000713F0">
              <w:rPr>
                <w:rFonts w:ascii="Calibri" w:eastAsia="Calibri" w:hAnsi="Calibri" w:cs="Calibri"/>
                <w:sz w:val="20"/>
                <w:szCs w:val="20"/>
              </w:rPr>
              <w:fldChar w:fldCharType="end"/>
            </w:r>
          </w:p>
        </w:tc>
        <w:tc>
          <w:tcPr>
            <w:tcW w:w="3117" w:type="dxa"/>
          </w:tcPr>
          <w:p w14:paraId="642110C7" w14:textId="77777777" w:rsidR="00DC773D" w:rsidRPr="000713F0" w:rsidRDefault="00DC773D" w:rsidP="00DC773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000713F0">
              <w:rPr>
                <w:rFonts w:ascii="Calibri" w:eastAsia="Calibri" w:hAnsi="Calibri" w:cs="Calibri"/>
                <w:sz w:val="20"/>
                <w:szCs w:val="20"/>
              </w:rPr>
              <w:t>The ability of machine learning to predict</w:t>
            </w:r>
          </w:p>
          <w:p w14:paraId="638D7F5A" w14:textId="77777777" w:rsidR="00DC773D" w:rsidRPr="000713F0" w:rsidRDefault="00DC773D" w:rsidP="00DC773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000713F0">
              <w:rPr>
                <w:rFonts w:ascii="Calibri" w:eastAsia="Calibri" w:hAnsi="Calibri" w:cs="Calibri"/>
                <w:sz w:val="20"/>
                <w:szCs w:val="20"/>
              </w:rPr>
              <w:t>skeletal maturation using the cervical vertebrae</w:t>
            </w:r>
          </w:p>
          <w:p w14:paraId="465B9076" w14:textId="77777777" w:rsidR="00DC773D" w:rsidRPr="000713F0" w:rsidRDefault="00DC773D" w:rsidP="00DC773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000713F0">
              <w:rPr>
                <w:rFonts w:ascii="Calibri" w:eastAsia="Calibri" w:hAnsi="Calibri" w:cs="Calibri"/>
                <w:sz w:val="20"/>
                <w:szCs w:val="20"/>
              </w:rPr>
              <w:t xml:space="preserve">maturation (CVM) </w:t>
            </w:r>
            <w:proofErr w:type="gramStart"/>
            <w:r w:rsidRPr="000713F0">
              <w:rPr>
                <w:rFonts w:ascii="Calibri" w:eastAsia="Calibri" w:hAnsi="Calibri" w:cs="Calibri"/>
                <w:sz w:val="20"/>
                <w:szCs w:val="20"/>
              </w:rPr>
              <w:t>method on</w:t>
            </w:r>
            <w:proofErr w:type="gramEnd"/>
            <w:r w:rsidRPr="000713F0">
              <w:rPr>
                <w:rFonts w:ascii="Calibri" w:eastAsia="Calibri" w:hAnsi="Calibri" w:cs="Calibri"/>
                <w:sz w:val="20"/>
                <w:szCs w:val="20"/>
              </w:rPr>
              <w:t xml:space="preserve"> traced lateral</w:t>
            </w:r>
          </w:p>
          <w:p w14:paraId="41C1E6DE" w14:textId="77777777" w:rsidR="00DC773D" w:rsidRPr="000713F0" w:rsidRDefault="00DC773D" w:rsidP="00DC773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000713F0">
              <w:rPr>
                <w:rFonts w:ascii="Calibri" w:eastAsia="Calibri" w:hAnsi="Calibri" w:cs="Calibri"/>
                <w:sz w:val="20"/>
                <w:szCs w:val="20"/>
              </w:rPr>
              <w:t>cephalograms</w:t>
            </w:r>
          </w:p>
          <w:p w14:paraId="46C2B0FC" w14:textId="77777777" w:rsidR="00DC773D" w:rsidRPr="000713F0" w:rsidRDefault="00DC773D" w:rsidP="00DC773D">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c>
          <w:tcPr>
            <w:tcW w:w="3117" w:type="dxa"/>
          </w:tcPr>
          <w:p w14:paraId="360C8153" w14:textId="77777777" w:rsidR="00DC773D" w:rsidRPr="000713F0" w:rsidRDefault="00DC773D" w:rsidP="00DC773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000713F0">
              <w:rPr>
                <w:rFonts w:ascii="Calibri" w:eastAsia="Calibri" w:hAnsi="Calibri" w:cs="Calibri"/>
                <w:sz w:val="20"/>
                <w:szCs w:val="20"/>
              </w:rPr>
              <w:t>Not enough information about model structure</w:t>
            </w:r>
          </w:p>
        </w:tc>
      </w:tr>
      <w:tr w:rsidR="00DC773D" w:rsidRPr="000713F0" w14:paraId="164F6E0C" w14:textId="77777777" w:rsidTr="00DC773D">
        <w:tc>
          <w:tcPr>
            <w:cnfStyle w:val="001000000000" w:firstRow="0" w:lastRow="0" w:firstColumn="1" w:lastColumn="0" w:oddVBand="0" w:evenVBand="0" w:oddHBand="0" w:evenHBand="0" w:firstRowFirstColumn="0" w:firstRowLastColumn="0" w:lastRowFirstColumn="0" w:lastRowLastColumn="0"/>
            <w:tcW w:w="3116" w:type="dxa"/>
          </w:tcPr>
          <w:p w14:paraId="1BA60E36" w14:textId="77777777" w:rsidR="00DC773D" w:rsidRPr="000713F0" w:rsidRDefault="00DC773D" w:rsidP="00DC773D">
            <w:pPr>
              <w:jc w:val="center"/>
              <w:rPr>
                <w:rFonts w:ascii="Calibri" w:eastAsia="Calibri" w:hAnsi="Calibri" w:cs="Calibri"/>
                <w:sz w:val="20"/>
                <w:szCs w:val="20"/>
              </w:rPr>
            </w:pPr>
            <w:r w:rsidRPr="000713F0">
              <w:rPr>
                <w:rFonts w:ascii="Calibri" w:eastAsia="Calibri" w:hAnsi="Calibri" w:cs="Calibri"/>
                <w:sz w:val="20"/>
                <w:szCs w:val="20"/>
              </w:rPr>
              <w:t xml:space="preserve">Padalino, S., et al. 2014 </w:t>
            </w:r>
            <w:r w:rsidRPr="000713F0">
              <w:rPr>
                <w:rFonts w:ascii="Calibri" w:eastAsia="Calibri" w:hAnsi="Calibri" w:cs="Calibri"/>
                <w:sz w:val="20"/>
                <w:szCs w:val="20"/>
              </w:rPr>
              <w:fldChar w:fldCharType="begin"/>
            </w:r>
            <w:r w:rsidRPr="000713F0">
              <w:rPr>
                <w:rFonts w:ascii="Calibri" w:eastAsia="Calibri" w:hAnsi="Calibri" w:cs="Calibri"/>
                <w:sz w:val="20"/>
                <w:szCs w:val="20"/>
              </w:rPr>
              <w:instrText xml:space="preserve"> ADDIN EN.CITE &lt;EndNote&gt;&lt;Cite&gt;&lt;Author&gt;Padalino&lt;/Author&gt;&lt;Year&gt;2014&lt;/Year&gt;&lt;RecNum&gt;63&lt;/RecNum&gt;&lt;DisplayText&gt;(58)&lt;/DisplayText&gt;&lt;record&gt;&lt;rec-number&gt;63&lt;/rec-number&gt;&lt;foreign-keys&gt;&lt;key app="EN" db-id="xfss9dtviw5v2sep99wp2xatwtd2zpsetetd" timestamp="1696319793"&gt;63&lt;/key&gt;&lt;/foreign-keys&gt;&lt;ref-type name="Journal Article"&gt;17&lt;/ref-type&gt;&lt;contributors&gt;&lt;authors&gt;&lt;author&gt;Padalino, Saverio&lt;/author&gt;&lt;author&gt;Sfondrini, Maria Francesca&lt;/author&gt;&lt;author&gt;Chenuil, Laura&lt;/author&gt;&lt;author&gt;Scudeller, Luigia&lt;/author&gt;&lt;author&gt;Gandini, Paola&lt;/author&gt;&lt;/authors&gt;&lt;/contributors&gt;&lt;titles&gt;&lt;title&gt;Reliability of skeletal maturity analysis using the cervical vertebrae maturation method on dedicated software&lt;/title&gt;&lt;secondary-title&gt;International Orthodontics&lt;/secondary-title&gt;&lt;/titles&gt;&lt;periodical&gt;&lt;full-title&gt;International Orthodontics&lt;/full-title&gt;&lt;/periodical&gt;&lt;pages&gt;483-493&lt;/pages&gt;&lt;volume&gt;12&lt;/volume&gt;&lt;number&gt;4&lt;/number&gt;&lt;dates&gt;&lt;year&gt;2014&lt;/year&gt;&lt;/dates&gt;&lt;isbn&gt;1761-7227&lt;/isbn&gt;&lt;urls&gt;&lt;/urls&gt;&lt;/record&gt;&lt;/Cite&gt;&lt;/EndNote&gt;</w:instrText>
            </w:r>
            <w:r w:rsidRPr="000713F0">
              <w:rPr>
                <w:rFonts w:ascii="Calibri" w:eastAsia="Calibri" w:hAnsi="Calibri" w:cs="Calibri"/>
                <w:sz w:val="20"/>
                <w:szCs w:val="20"/>
              </w:rPr>
              <w:fldChar w:fldCharType="separate"/>
            </w:r>
            <w:r w:rsidRPr="000713F0">
              <w:rPr>
                <w:rFonts w:ascii="Calibri" w:eastAsia="Calibri" w:hAnsi="Calibri" w:cs="Calibri"/>
                <w:noProof/>
                <w:sz w:val="20"/>
                <w:szCs w:val="20"/>
              </w:rPr>
              <w:t>(58)</w:t>
            </w:r>
            <w:r w:rsidRPr="000713F0">
              <w:rPr>
                <w:rFonts w:ascii="Calibri" w:eastAsia="Calibri" w:hAnsi="Calibri" w:cs="Calibri"/>
                <w:sz w:val="20"/>
                <w:szCs w:val="20"/>
              </w:rPr>
              <w:fldChar w:fldCharType="end"/>
            </w:r>
          </w:p>
        </w:tc>
        <w:tc>
          <w:tcPr>
            <w:tcW w:w="3117" w:type="dxa"/>
          </w:tcPr>
          <w:p w14:paraId="4C7BE5E3" w14:textId="77777777" w:rsidR="00DC773D" w:rsidRPr="000713F0" w:rsidRDefault="00DC773D" w:rsidP="00DC773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713F0">
              <w:rPr>
                <w:rFonts w:ascii="Calibri" w:eastAsia="Calibri" w:hAnsi="Calibri" w:cs="Calibri"/>
                <w:sz w:val="20"/>
                <w:szCs w:val="20"/>
              </w:rPr>
              <w:t>Reliability of skeletal maturity analysis using the cervical vertebrae maturation method on dedicated software</w:t>
            </w:r>
          </w:p>
          <w:p w14:paraId="482F1F1D" w14:textId="77777777" w:rsidR="00DC773D" w:rsidRPr="000713F0" w:rsidRDefault="00DC773D" w:rsidP="00DC773D">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p>
        </w:tc>
        <w:tc>
          <w:tcPr>
            <w:tcW w:w="3117" w:type="dxa"/>
          </w:tcPr>
          <w:p w14:paraId="52C979B8" w14:textId="77777777" w:rsidR="00DC773D" w:rsidRPr="000713F0" w:rsidRDefault="00DC773D" w:rsidP="00DC773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713F0">
              <w:rPr>
                <w:rFonts w:ascii="Calibri" w:eastAsia="Calibri" w:hAnsi="Calibri" w:cs="Calibri"/>
                <w:sz w:val="20"/>
                <w:szCs w:val="20"/>
              </w:rPr>
              <w:t>5 -stage classification</w:t>
            </w:r>
          </w:p>
        </w:tc>
      </w:tr>
      <w:tr w:rsidR="00DC773D" w:rsidRPr="000713F0" w14:paraId="5098EEBF" w14:textId="77777777" w:rsidTr="00DC77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03D92E9" w14:textId="77777777" w:rsidR="00DC773D" w:rsidRPr="000713F0" w:rsidRDefault="00DC773D" w:rsidP="00DC773D">
            <w:pPr>
              <w:jc w:val="center"/>
              <w:rPr>
                <w:rFonts w:ascii="Calibri" w:eastAsia="Calibri" w:hAnsi="Calibri" w:cs="Calibri"/>
                <w:sz w:val="20"/>
                <w:szCs w:val="20"/>
                <w:lang w:val="de-DE"/>
              </w:rPr>
            </w:pPr>
            <w:r w:rsidRPr="000713F0">
              <w:rPr>
                <w:rFonts w:ascii="Calibri" w:eastAsia="Calibri" w:hAnsi="Calibri" w:cs="Calibri"/>
                <w:sz w:val="20"/>
                <w:szCs w:val="20"/>
                <w:lang w:val="de-DE"/>
              </w:rPr>
              <w:t xml:space="preserve">Caldas, M. P., et al. 2010 </w:t>
            </w:r>
            <w:r w:rsidRPr="000713F0">
              <w:rPr>
                <w:rFonts w:ascii="Calibri" w:eastAsia="Calibri" w:hAnsi="Calibri" w:cs="Calibri"/>
                <w:sz w:val="20"/>
                <w:szCs w:val="20"/>
                <w:lang w:val="de-DE"/>
              </w:rPr>
              <w:fldChar w:fldCharType="begin"/>
            </w:r>
            <w:r w:rsidRPr="000713F0">
              <w:rPr>
                <w:rFonts w:ascii="Calibri" w:eastAsia="Calibri" w:hAnsi="Calibri" w:cs="Calibri"/>
                <w:sz w:val="20"/>
                <w:szCs w:val="20"/>
                <w:lang w:val="de-DE"/>
              </w:rPr>
              <w:instrText xml:space="preserve"> ADDIN EN.CITE &lt;EndNote&gt;&lt;Cite&gt;&lt;Author&gt;Caldas&lt;/Author&gt;&lt;Year&gt;2010&lt;/Year&gt;&lt;RecNum&gt;64&lt;/RecNum&gt;&lt;DisplayText&gt;(59)&lt;/DisplayText&gt;&lt;record&gt;&lt;rec-number&gt;64&lt;/rec-number&gt;&lt;foreign-keys&gt;&lt;key app="EN" db-id="xfss9dtviw5v2sep99wp2xatwtd2zpsetetd" timestamp="1696319793"&gt;64&lt;/key&gt;&lt;/foreign-keys&gt;&lt;ref-type name="Journal Article"&gt;17&lt;/ref-type&gt;&lt;contributors&gt;&lt;authors&gt;&lt;author&gt;Caldas, Maria de Paula&lt;/author&gt;&lt;author&gt;Ambrosano, Gláucia Maria Bovi&lt;/author&gt;&lt;author&gt;Haiter Neto, Francisco&lt;/author&gt;&lt;/authors&gt;&lt;/contributors&gt;&lt;titles&gt;&lt;title&gt;Computer-assisted analysis of cervical vertebral bone age using cephalometric radiographs in Brazilian subjects&lt;/title&gt;&lt;secondary-title&gt;Brazilian oral research&lt;/secondary-title&gt;&lt;/titles&gt;&lt;periodical&gt;&lt;full-title&gt;Brazilian oral research&lt;/full-title&gt;&lt;/periodical&gt;&lt;pages&gt;120-126&lt;/pages&gt;&lt;volume&gt;24&lt;/volume&gt;&lt;dates&gt;&lt;year&gt;2010&lt;/year&gt;&lt;/dates&gt;&lt;isbn&gt;1806-8324&lt;/isbn&gt;&lt;urls&gt;&lt;/urls&gt;&lt;/record&gt;&lt;/Cite&gt;&lt;/EndNote&gt;</w:instrText>
            </w:r>
            <w:r w:rsidRPr="000713F0">
              <w:rPr>
                <w:rFonts w:ascii="Calibri" w:eastAsia="Calibri" w:hAnsi="Calibri" w:cs="Calibri"/>
                <w:sz w:val="20"/>
                <w:szCs w:val="20"/>
                <w:lang w:val="de-DE"/>
              </w:rPr>
              <w:fldChar w:fldCharType="separate"/>
            </w:r>
            <w:r w:rsidRPr="000713F0">
              <w:rPr>
                <w:rFonts w:ascii="Calibri" w:eastAsia="Calibri" w:hAnsi="Calibri" w:cs="Calibri"/>
                <w:noProof/>
                <w:sz w:val="20"/>
                <w:szCs w:val="20"/>
                <w:lang w:val="de-DE"/>
              </w:rPr>
              <w:t>(59)</w:t>
            </w:r>
            <w:r w:rsidRPr="000713F0">
              <w:rPr>
                <w:rFonts w:ascii="Calibri" w:eastAsia="Calibri" w:hAnsi="Calibri" w:cs="Calibri"/>
                <w:sz w:val="20"/>
                <w:szCs w:val="20"/>
                <w:lang w:val="de-DE"/>
              </w:rPr>
              <w:fldChar w:fldCharType="end"/>
            </w:r>
          </w:p>
        </w:tc>
        <w:tc>
          <w:tcPr>
            <w:tcW w:w="3117" w:type="dxa"/>
          </w:tcPr>
          <w:p w14:paraId="5539B23C" w14:textId="77777777" w:rsidR="00DC773D" w:rsidRPr="000713F0" w:rsidRDefault="00DC773D" w:rsidP="00DC773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000713F0">
              <w:rPr>
                <w:rFonts w:ascii="Calibri" w:eastAsia="Calibri" w:hAnsi="Calibri" w:cs="Calibri"/>
                <w:sz w:val="20"/>
                <w:szCs w:val="20"/>
              </w:rPr>
              <w:t>Computer-assisted analysis of cervical vertebral bone age using cephalometric radiographs in Brazilian subjects</w:t>
            </w:r>
          </w:p>
          <w:p w14:paraId="21778D7A" w14:textId="77777777" w:rsidR="00DC773D" w:rsidRPr="000713F0" w:rsidRDefault="00DC773D" w:rsidP="00DC773D">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p>
        </w:tc>
        <w:tc>
          <w:tcPr>
            <w:tcW w:w="3117" w:type="dxa"/>
          </w:tcPr>
          <w:p w14:paraId="027B55D8" w14:textId="77777777" w:rsidR="00DC773D" w:rsidRPr="000713F0" w:rsidRDefault="00DC773D" w:rsidP="00DC773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000713F0">
              <w:rPr>
                <w:rFonts w:ascii="Calibri" w:eastAsia="Calibri" w:hAnsi="Calibri" w:cs="Calibri"/>
                <w:sz w:val="20"/>
                <w:szCs w:val="20"/>
              </w:rPr>
              <w:t xml:space="preserve">No </w:t>
            </w:r>
            <w:proofErr w:type="gramStart"/>
            <w:r w:rsidRPr="000713F0">
              <w:rPr>
                <w:rFonts w:ascii="Calibri" w:eastAsia="Calibri" w:hAnsi="Calibri" w:cs="Calibri"/>
                <w:sz w:val="20"/>
                <w:szCs w:val="20"/>
              </w:rPr>
              <w:t>outcome</w:t>
            </w:r>
            <w:proofErr w:type="gramEnd"/>
            <w:r w:rsidRPr="000713F0">
              <w:rPr>
                <w:rFonts w:ascii="Calibri" w:eastAsia="Calibri" w:hAnsi="Calibri" w:cs="Calibri"/>
                <w:sz w:val="20"/>
                <w:szCs w:val="20"/>
              </w:rPr>
              <w:t xml:space="preserve"> </w:t>
            </w:r>
            <w:proofErr w:type="gramStart"/>
            <w:r w:rsidRPr="000713F0">
              <w:rPr>
                <w:rFonts w:ascii="Calibri" w:eastAsia="Calibri" w:hAnsi="Calibri" w:cs="Calibri"/>
                <w:sz w:val="20"/>
                <w:szCs w:val="20"/>
              </w:rPr>
              <w:t>were</w:t>
            </w:r>
            <w:proofErr w:type="gramEnd"/>
            <w:r w:rsidRPr="000713F0">
              <w:rPr>
                <w:rFonts w:ascii="Calibri" w:eastAsia="Calibri" w:hAnsi="Calibri" w:cs="Calibri"/>
                <w:sz w:val="20"/>
                <w:szCs w:val="20"/>
              </w:rPr>
              <w:t xml:space="preserve"> reported about 6-stage classification</w:t>
            </w:r>
          </w:p>
        </w:tc>
      </w:tr>
      <w:tr w:rsidR="00DC773D" w:rsidRPr="000713F0" w14:paraId="4973E40A" w14:textId="77777777" w:rsidTr="00DC773D">
        <w:tc>
          <w:tcPr>
            <w:cnfStyle w:val="001000000000" w:firstRow="0" w:lastRow="0" w:firstColumn="1" w:lastColumn="0" w:oddVBand="0" w:evenVBand="0" w:oddHBand="0" w:evenHBand="0" w:firstRowFirstColumn="0" w:firstRowLastColumn="0" w:lastRowFirstColumn="0" w:lastRowLastColumn="0"/>
            <w:tcW w:w="3116" w:type="dxa"/>
            <w:hideMark/>
          </w:tcPr>
          <w:p w14:paraId="160C06D5" w14:textId="77777777" w:rsidR="00DC773D" w:rsidRPr="000713F0" w:rsidRDefault="00DC773D" w:rsidP="00DC773D">
            <w:pPr>
              <w:jc w:val="center"/>
              <w:rPr>
                <w:rFonts w:ascii="Calibri" w:eastAsia="Calibri" w:hAnsi="Calibri" w:cs="Calibri"/>
                <w:sz w:val="20"/>
                <w:szCs w:val="20"/>
                <w:lang w:val="de-DE"/>
              </w:rPr>
            </w:pPr>
            <w:r w:rsidRPr="000713F0">
              <w:rPr>
                <w:rFonts w:ascii="Calibri" w:eastAsia="Calibri" w:hAnsi="Calibri" w:cs="Calibri"/>
                <w:sz w:val="20"/>
                <w:szCs w:val="20"/>
              </w:rPr>
              <w:t>Santiago, R. C., et al. (2014)</w:t>
            </w:r>
          </w:p>
        </w:tc>
        <w:tc>
          <w:tcPr>
            <w:tcW w:w="3117" w:type="dxa"/>
            <w:hideMark/>
          </w:tcPr>
          <w:p w14:paraId="666EE401" w14:textId="77777777" w:rsidR="00DC773D" w:rsidRPr="000713F0" w:rsidRDefault="00DC773D" w:rsidP="00DC773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713F0">
              <w:rPr>
                <w:rFonts w:ascii="Calibri" w:eastAsia="Calibri" w:hAnsi="Calibri" w:cs="Calibri"/>
                <w:sz w:val="20"/>
                <w:szCs w:val="20"/>
              </w:rPr>
              <w:t>New software for cervical vertebral geometry assessment and its relationship to skeletal maturation-a pilot study</w:t>
            </w:r>
          </w:p>
        </w:tc>
        <w:tc>
          <w:tcPr>
            <w:tcW w:w="3117" w:type="dxa"/>
            <w:hideMark/>
          </w:tcPr>
          <w:p w14:paraId="472DF745" w14:textId="77777777" w:rsidR="00DC773D" w:rsidRPr="000713F0" w:rsidRDefault="00DC773D" w:rsidP="00DC773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713F0">
              <w:rPr>
                <w:rFonts w:ascii="Calibri" w:eastAsia="Calibri" w:hAnsi="Calibri" w:cs="Calibri"/>
                <w:sz w:val="20"/>
                <w:szCs w:val="20"/>
              </w:rPr>
              <w:t>4-stage classification</w:t>
            </w:r>
          </w:p>
        </w:tc>
      </w:tr>
    </w:tbl>
    <w:p w14:paraId="77714E09" w14:textId="77777777" w:rsidR="00DC773D" w:rsidRDefault="00DC773D"/>
    <w:p w14:paraId="66399F82" w14:textId="77777777" w:rsidR="00DC773D" w:rsidRDefault="00DC773D"/>
    <w:p w14:paraId="34E9E95C" w14:textId="77777777" w:rsidR="00DC773D" w:rsidRDefault="00DC773D"/>
    <w:p w14:paraId="7BD6C1AE" w14:textId="77777777" w:rsidR="00DC773D" w:rsidRDefault="00DC773D"/>
    <w:p w14:paraId="49A0D7BF" w14:textId="77777777" w:rsidR="00DC773D" w:rsidRDefault="00DC773D" w:rsidP="00DC773D">
      <w:pPr>
        <w:spacing w:line="360" w:lineRule="auto"/>
        <w:jc w:val="both"/>
        <w:rPr>
          <w:rFonts w:ascii="Calibri" w:hAnsi="Calibri" w:cs="Calibri"/>
          <w:sz w:val="20"/>
          <w:szCs w:val="20"/>
        </w:rPr>
      </w:pPr>
      <w:r w:rsidRPr="000713F0">
        <w:rPr>
          <w:rFonts w:ascii="Calibri" w:hAnsi="Calibri" w:cs="Calibri"/>
          <w:sz w:val="20"/>
          <w:szCs w:val="20"/>
        </w:rPr>
        <w:lastRenderedPageBreak/>
        <w:t xml:space="preserve">Supplementary table </w:t>
      </w:r>
      <w:r>
        <w:rPr>
          <w:rFonts w:ascii="Calibri" w:hAnsi="Calibri" w:cs="Calibri"/>
          <w:sz w:val="20"/>
          <w:szCs w:val="20"/>
        </w:rPr>
        <w:t>2:</w:t>
      </w:r>
      <w:r w:rsidRPr="000713F0">
        <w:rPr>
          <w:rFonts w:ascii="Calibri" w:hAnsi="Calibri" w:cs="Calibri"/>
          <w:sz w:val="20"/>
          <w:szCs w:val="20"/>
        </w:rPr>
        <w:t xml:space="preserve"> Metrics in AI serve as standardized measures to evaluate and compare the performance of various AI models </w:t>
      </w:r>
    </w:p>
    <w:tbl>
      <w:tblPr>
        <w:tblStyle w:val="PlainTable1"/>
        <w:tblW w:w="0" w:type="auto"/>
        <w:jc w:val="center"/>
        <w:tblCellMar>
          <w:left w:w="567" w:type="dxa"/>
        </w:tblCellMar>
        <w:tblLook w:val="04A0" w:firstRow="1" w:lastRow="0" w:firstColumn="1" w:lastColumn="0" w:noHBand="0" w:noVBand="1"/>
      </w:tblPr>
      <w:tblGrid>
        <w:gridCol w:w="1855"/>
        <w:gridCol w:w="4850"/>
        <w:gridCol w:w="2645"/>
      </w:tblGrid>
      <w:tr w:rsidR="00DC773D" w:rsidRPr="000713F0" w14:paraId="5C687AF0" w14:textId="77777777" w:rsidTr="00DC773D">
        <w:trPr>
          <w:cnfStyle w:val="100000000000" w:firstRow="1" w:lastRow="0" w:firstColumn="0" w:lastColumn="0" w:oddVBand="0" w:evenVBand="0" w:oddHBand="0"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CAEDFB" w:themeFill="accent4" w:themeFillTint="33"/>
          </w:tcPr>
          <w:p w14:paraId="24EE0727" w14:textId="77777777" w:rsidR="00DC773D" w:rsidRDefault="00DC773D" w:rsidP="00DC773D">
            <w:pPr>
              <w:spacing w:line="360" w:lineRule="auto"/>
              <w:rPr>
                <w:rFonts w:ascii="Calibri" w:hAnsi="Calibri" w:cs="Calibri"/>
                <w:b w:val="0"/>
                <w:bCs w:val="0"/>
                <w:sz w:val="20"/>
                <w:szCs w:val="20"/>
              </w:rPr>
            </w:pPr>
          </w:p>
          <w:p w14:paraId="3A818C49" w14:textId="682044CE" w:rsidR="00DC773D" w:rsidRPr="00DC773D" w:rsidRDefault="00DC773D" w:rsidP="00DC773D">
            <w:pPr>
              <w:spacing w:line="360" w:lineRule="auto"/>
              <w:rPr>
                <w:rFonts w:ascii="Calibri" w:hAnsi="Calibri" w:cs="Calibri"/>
                <w:sz w:val="20"/>
                <w:szCs w:val="20"/>
              </w:rPr>
            </w:pPr>
            <w:r>
              <w:rPr>
                <w:rFonts w:ascii="Calibri" w:hAnsi="Calibri" w:cs="Calibri"/>
                <w:sz w:val="20"/>
                <w:szCs w:val="20"/>
              </w:rPr>
              <w:t xml:space="preserve">   </w:t>
            </w:r>
            <w:r w:rsidRPr="00DC773D">
              <w:rPr>
                <w:rFonts w:ascii="Calibri" w:hAnsi="Calibri" w:cs="Calibri"/>
                <w:sz w:val="20"/>
                <w:szCs w:val="20"/>
              </w:rPr>
              <w:t>Metric</w:t>
            </w:r>
          </w:p>
          <w:p w14:paraId="16EF9474" w14:textId="77777777" w:rsidR="00DC773D" w:rsidRPr="000713F0" w:rsidRDefault="00DC773D" w:rsidP="00302FFD">
            <w:pPr>
              <w:spacing w:line="360" w:lineRule="auto"/>
              <w:jc w:val="center"/>
              <w:rPr>
                <w:rFonts w:ascii="Calibri" w:hAnsi="Calibri" w:cs="Calibri"/>
                <w:color w:val="FF0000"/>
                <w:sz w:val="20"/>
                <w:szCs w:val="20"/>
              </w:rPr>
            </w:pPr>
          </w:p>
        </w:tc>
        <w:tc>
          <w:tcPr>
            <w:tcW w:w="0" w:type="auto"/>
            <w:shd w:val="clear" w:color="auto" w:fill="CAEDFB" w:themeFill="accent4" w:themeFillTint="33"/>
            <w:vAlign w:val="center"/>
          </w:tcPr>
          <w:p w14:paraId="001EE802" w14:textId="0AD9FF35" w:rsidR="00DC773D" w:rsidRPr="000713F0" w:rsidRDefault="00DC773D" w:rsidP="00DC773D">
            <w:pPr>
              <w:spacing w:line="360"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 xml:space="preserve">                             </w:t>
            </w:r>
            <w:r w:rsidRPr="000713F0">
              <w:rPr>
                <w:rFonts w:ascii="Calibri" w:hAnsi="Calibri" w:cs="Calibri"/>
                <w:sz w:val="20"/>
                <w:szCs w:val="20"/>
              </w:rPr>
              <w:t>Definition</w:t>
            </w:r>
          </w:p>
        </w:tc>
        <w:tc>
          <w:tcPr>
            <w:tcW w:w="0" w:type="auto"/>
            <w:shd w:val="clear" w:color="auto" w:fill="CAEDFB" w:themeFill="accent4" w:themeFillTint="33"/>
            <w:vAlign w:val="center"/>
          </w:tcPr>
          <w:p w14:paraId="3CB73B3E" w14:textId="77777777" w:rsidR="00DC773D" w:rsidRPr="000713F0" w:rsidRDefault="00DC773D" w:rsidP="00302FFD">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i/>
                <w:sz w:val="20"/>
                <w:szCs w:val="20"/>
              </w:rPr>
            </w:pPr>
            <w:r w:rsidRPr="000713F0">
              <w:rPr>
                <w:rFonts w:ascii="Calibri" w:hAnsi="Calibri" w:cs="Calibri"/>
                <w:sz w:val="20"/>
                <w:szCs w:val="20"/>
              </w:rPr>
              <w:t>Formula</w:t>
            </w:r>
          </w:p>
        </w:tc>
      </w:tr>
      <w:tr w:rsidR="00DC773D" w:rsidRPr="000713F0" w14:paraId="7F88ED69" w14:textId="77777777" w:rsidTr="00302FFD">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F412101" w14:textId="77777777" w:rsidR="00DC773D" w:rsidRPr="000713F0" w:rsidRDefault="00DC773D" w:rsidP="00302FFD">
            <w:pPr>
              <w:spacing w:line="360" w:lineRule="auto"/>
              <w:jc w:val="center"/>
              <w:rPr>
                <w:rFonts w:ascii="Calibri" w:hAnsi="Calibri" w:cs="Calibri"/>
                <w:sz w:val="20"/>
                <w:szCs w:val="20"/>
              </w:rPr>
            </w:pPr>
            <w:r w:rsidRPr="000713F0">
              <w:rPr>
                <w:rFonts w:ascii="Calibri" w:hAnsi="Calibri" w:cs="Calibri"/>
                <w:sz w:val="20"/>
                <w:szCs w:val="20"/>
              </w:rPr>
              <w:t>Accuracy</w:t>
            </w:r>
          </w:p>
        </w:tc>
        <w:tc>
          <w:tcPr>
            <w:tcW w:w="0" w:type="auto"/>
            <w:vAlign w:val="center"/>
          </w:tcPr>
          <w:p w14:paraId="709BF8B4" w14:textId="77777777" w:rsidR="00DC773D" w:rsidRPr="000713F0" w:rsidRDefault="00DC773D" w:rsidP="00302FFD">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0713F0">
              <w:rPr>
                <w:rFonts w:ascii="Calibri" w:hAnsi="Calibri" w:cs="Calibri"/>
                <w:sz w:val="20"/>
                <w:szCs w:val="20"/>
              </w:rPr>
              <w:t>Represents the number of correct predictions (TP and TN cases) over all predictions (TP, TN, FP, FN)</w:t>
            </w:r>
          </w:p>
        </w:tc>
        <w:tc>
          <w:tcPr>
            <w:tcW w:w="0" w:type="auto"/>
            <w:vAlign w:val="center"/>
          </w:tcPr>
          <w:p w14:paraId="2AA10D53" w14:textId="77777777" w:rsidR="00DC773D" w:rsidRPr="000713F0" w:rsidRDefault="00DC773D" w:rsidP="00302FFD">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m:oMathPara>
              <m:oMath>
                <m:f>
                  <m:fPr>
                    <m:ctrlPr>
                      <w:rPr>
                        <w:rFonts w:ascii="Cambria Math" w:eastAsiaTheme="minorEastAsia" w:hAnsi="Cambria Math" w:cs="Calibri"/>
                        <w:i/>
                        <w:sz w:val="20"/>
                        <w:szCs w:val="20"/>
                      </w:rPr>
                    </m:ctrlPr>
                  </m:fPr>
                  <m:num>
                    <m:r>
                      <w:rPr>
                        <w:rFonts w:ascii="Cambria Math" w:eastAsiaTheme="minorEastAsia" w:hAnsi="Cambria Math" w:cs="Calibri"/>
                        <w:sz w:val="20"/>
                        <w:szCs w:val="20"/>
                      </w:rPr>
                      <m:t>TP+TN</m:t>
                    </m:r>
                  </m:num>
                  <m:den>
                    <m:r>
                      <w:rPr>
                        <w:rFonts w:ascii="Cambria Math" w:eastAsiaTheme="minorEastAsia" w:hAnsi="Cambria Math" w:cs="Calibri"/>
                        <w:sz w:val="20"/>
                        <w:szCs w:val="20"/>
                      </w:rPr>
                      <m:t>TP+TN+FP+FN</m:t>
                    </m:r>
                  </m:den>
                </m:f>
              </m:oMath>
            </m:oMathPara>
          </w:p>
        </w:tc>
      </w:tr>
      <w:tr w:rsidR="00DC773D" w:rsidRPr="000713F0" w14:paraId="75BE7B93" w14:textId="77777777" w:rsidTr="00302FFD">
        <w:trPr>
          <w:trHeight w:val="567"/>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308C131" w14:textId="77777777" w:rsidR="00DC773D" w:rsidRPr="000713F0" w:rsidRDefault="00DC773D" w:rsidP="00302FFD">
            <w:pPr>
              <w:spacing w:line="360" w:lineRule="auto"/>
              <w:jc w:val="center"/>
              <w:rPr>
                <w:rFonts w:ascii="Calibri" w:hAnsi="Calibri" w:cs="Calibri"/>
                <w:sz w:val="20"/>
                <w:szCs w:val="20"/>
              </w:rPr>
            </w:pPr>
            <w:r w:rsidRPr="000713F0">
              <w:rPr>
                <w:rFonts w:ascii="Calibri" w:hAnsi="Calibri" w:cs="Calibri"/>
                <w:sz w:val="20"/>
                <w:szCs w:val="20"/>
              </w:rPr>
              <w:t>Sensitivity (Recall)</w:t>
            </w:r>
          </w:p>
        </w:tc>
        <w:tc>
          <w:tcPr>
            <w:tcW w:w="0" w:type="auto"/>
            <w:vAlign w:val="center"/>
          </w:tcPr>
          <w:p w14:paraId="41E84BF1" w14:textId="77777777" w:rsidR="00DC773D" w:rsidRPr="000713F0" w:rsidRDefault="00DC773D" w:rsidP="00302FFD">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713F0">
              <w:rPr>
                <w:rFonts w:ascii="Calibri" w:hAnsi="Calibri" w:cs="Calibri"/>
                <w:sz w:val="20"/>
                <w:szCs w:val="20"/>
              </w:rPr>
              <w:t>The proportion of actual positive cases that were correctly identified by a model. It can be used in many tasks like classification and segmentation</w:t>
            </w:r>
          </w:p>
        </w:tc>
        <w:tc>
          <w:tcPr>
            <w:tcW w:w="0" w:type="auto"/>
            <w:vAlign w:val="center"/>
          </w:tcPr>
          <w:p w14:paraId="07B63FE9" w14:textId="77777777" w:rsidR="00DC773D" w:rsidRPr="000713F0" w:rsidRDefault="00DC773D" w:rsidP="00302FFD">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m:oMathPara>
              <m:oMath>
                <m:f>
                  <m:fPr>
                    <m:ctrlPr>
                      <w:rPr>
                        <w:rFonts w:ascii="Cambria Math" w:hAnsi="Cambria Math" w:cs="Calibri"/>
                        <w:i/>
                        <w:sz w:val="20"/>
                        <w:szCs w:val="20"/>
                      </w:rPr>
                    </m:ctrlPr>
                  </m:fPr>
                  <m:num>
                    <m:r>
                      <w:rPr>
                        <w:rFonts w:ascii="Cambria Math" w:hAnsi="Cambria Math" w:cs="Calibri"/>
                        <w:sz w:val="20"/>
                        <w:szCs w:val="20"/>
                      </w:rPr>
                      <m:t>TP</m:t>
                    </m:r>
                  </m:num>
                  <m:den>
                    <m:r>
                      <w:rPr>
                        <w:rFonts w:ascii="Cambria Math" w:hAnsi="Cambria Math" w:cs="Calibri"/>
                        <w:sz w:val="20"/>
                        <w:szCs w:val="20"/>
                      </w:rPr>
                      <m:t>TP+FN</m:t>
                    </m:r>
                  </m:den>
                </m:f>
              </m:oMath>
            </m:oMathPara>
          </w:p>
        </w:tc>
      </w:tr>
      <w:tr w:rsidR="00DC773D" w:rsidRPr="000713F0" w14:paraId="17B0F0DA" w14:textId="77777777" w:rsidTr="00302FFD">
        <w:trPr>
          <w:cnfStyle w:val="000000100000" w:firstRow="0" w:lastRow="0" w:firstColumn="0" w:lastColumn="0" w:oddVBand="0" w:evenVBand="0" w:oddHBand="1" w:evenHBand="0" w:firstRowFirstColumn="0" w:firstRowLastColumn="0" w:lastRowFirstColumn="0" w:lastRowLastColumn="0"/>
          <w:trHeight w:val="55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7979D81" w14:textId="77777777" w:rsidR="00DC773D" w:rsidRPr="000713F0" w:rsidRDefault="00DC773D" w:rsidP="00302FFD">
            <w:pPr>
              <w:spacing w:line="360" w:lineRule="auto"/>
              <w:jc w:val="center"/>
              <w:rPr>
                <w:rFonts w:ascii="Calibri" w:hAnsi="Calibri" w:cs="Calibri"/>
                <w:sz w:val="20"/>
                <w:szCs w:val="20"/>
              </w:rPr>
            </w:pPr>
            <w:r w:rsidRPr="000713F0">
              <w:rPr>
                <w:rFonts w:ascii="Calibri" w:hAnsi="Calibri" w:cs="Calibri"/>
                <w:sz w:val="20"/>
                <w:szCs w:val="20"/>
              </w:rPr>
              <w:t>Specificity</w:t>
            </w:r>
          </w:p>
        </w:tc>
        <w:tc>
          <w:tcPr>
            <w:tcW w:w="0" w:type="auto"/>
            <w:vAlign w:val="center"/>
          </w:tcPr>
          <w:p w14:paraId="7E82354D" w14:textId="77777777" w:rsidR="00DC773D" w:rsidRPr="000713F0" w:rsidRDefault="00DC773D" w:rsidP="00302FFD">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0713F0">
              <w:rPr>
                <w:rFonts w:ascii="Calibri" w:hAnsi="Calibri" w:cs="Calibri"/>
                <w:sz w:val="20"/>
                <w:szCs w:val="20"/>
              </w:rPr>
              <w:t>The proportion of actual negative cases that are correctly identified by a model.</w:t>
            </w:r>
          </w:p>
        </w:tc>
        <w:tc>
          <w:tcPr>
            <w:tcW w:w="0" w:type="auto"/>
            <w:vAlign w:val="center"/>
          </w:tcPr>
          <w:p w14:paraId="6443CA33" w14:textId="77777777" w:rsidR="00DC773D" w:rsidRPr="000713F0" w:rsidRDefault="00DC773D" w:rsidP="00302FFD">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m:oMathPara>
              <m:oMath>
                <m:f>
                  <m:fPr>
                    <m:ctrlPr>
                      <w:rPr>
                        <w:rFonts w:ascii="Cambria Math" w:hAnsi="Cambria Math" w:cs="Calibri"/>
                        <w:i/>
                        <w:sz w:val="20"/>
                        <w:szCs w:val="20"/>
                      </w:rPr>
                    </m:ctrlPr>
                  </m:fPr>
                  <m:num>
                    <m:r>
                      <w:rPr>
                        <w:rFonts w:ascii="Cambria Math" w:hAnsi="Cambria Math" w:cs="Calibri"/>
                        <w:sz w:val="20"/>
                        <w:szCs w:val="20"/>
                      </w:rPr>
                      <m:t>TN</m:t>
                    </m:r>
                  </m:num>
                  <m:den>
                    <m:r>
                      <w:rPr>
                        <w:rFonts w:ascii="Cambria Math" w:hAnsi="Cambria Math" w:cs="Calibri"/>
                        <w:sz w:val="20"/>
                        <w:szCs w:val="20"/>
                      </w:rPr>
                      <m:t>TN+FP</m:t>
                    </m:r>
                  </m:den>
                </m:f>
              </m:oMath>
            </m:oMathPara>
          </w:p>
        </w:tc>
      </w:tr>
      <w:tr w:rsidR="00DC773D" w:rsidRPr="000713F0" w14:paraId="5EFD427D" w14:textId="77777777" w:rsidTr="00302FFD">
        <w:trPr>
          <w:trHeight w:val="567"/>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A14AB5E" w14:textId="77777777" w:rsidR="00DC773D" w:rsidRPr="000713F0" w:rsidRDefault="00DC773D" w:rsidP="00302FFD">
            <w:pPr>
              <w:spacing w:line="360" w:lineRule="auto"/>
              <w:jc w:val="center"/>
              <w:rPr>
                <w:rFonts w:ascii="Calibri" w:hAnsi="Calibri" w:cs="Calibri"/>
                <w:sz w:val="20"/>
                <w:szCs w:val="20"/>
              </w:rPr>
            </w:pPr>
            <w:r w:rsidRPr="000713F0">
              <w:rPr>
                <w:rFonts w:ascii="Calibri" w:hAnsi="Calibri" w:cs="Calibri"/>
                <w:sz w:val="20"/>
                <w:szCs w:val="20"/>
              </w:rPr>
              <w:t>Precision (Positive predicted Value)</w:t>
            </w:r>
          </w:p>
        </w:tc>
        <w:tc>
          <w:tcPr>
            <w:tcW w:w="0" w:type="auto"/>
            <w:vAlign w:val="center"/>
          </w:tcPr>
          <w:p w14:paraId="05FF1CA1" w14:textId="77777777" w:rsidR="00DC773D" w:rsidRPr="000713F0" w:rsidRDefault="00DC773D" w:rsidP="00302FFD">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713F0">
              <w:rPr>
                <w:rFonts w:ascii="Calibri" w:hAnsi="Calibri" w:cs="Calibri"/>
                <w:sz w:val="20"/>
                <w:szCs w:val="20"/>
              </w:rPr>
              <w:t xml:space="preserve">The proportion of predicted positive cases that are </w:t>
            </w:r>
            <w:proofErr w:type="gramStart"/>
            <w:r w:rsidRPr="000713F0">
              <w:rPr>
                <w:rFonts w:ascii="Calibri" w:hAnsi="Calibri" w:cs="Calibri"/>
                <w:sz w:val="20"/>
                <w:szCs w:val="20"/>
              </w:rPr>
              <w:t>actually correct</w:t>
            </w:r>
            <w:proofErr w:type="gramEnd"/>
          </w:p>
        </w:tc>
        <w:tc>
          <w:tcPr>
            <w:tcW w:w="0" w:type="auto"/>
            <w:vAlign w:val="center"/>
          </w:tcPr>
          <w:p w14:paraId="26F9FA1F" w14:textId="77777777" w:rsidR="00DC773D" w:rsidRPr="000713F0" w:rsidRDefault="00DC773D" w:rsidP="00302FFD">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m:oMathPara>
              <m:oMath>
                <m:f>
                  <m:fPr>
                    <m:ctrlPr>
                      <w:rPr>
                        <w:rFonts w:ascii="Cambria Math" w:hAnsi="Cambria Math" w:cs="Calibri"/>
                        <w:i/>
                        <w:sz w:val="20"/>
                        <w:szCs w:val="20"/>
                      </w:rPr>
                    </m:ctrlPr>
                  </m:fPr>
                  <m:num>
                    <m:r>
                      <w:rPr>
                        <w:rFonts w:ascii="Cambria Math" w:hAnsi="Cambria Math" w:cs="Calibri"/>
                        <w:sz w:val="20"/>
                        <w:szCs w:val="20"/>
                      </w:rPr>
                      <m:t>TP</m:t>
                    </m:r>
                  </m:num>
                  <m:den>
                    <m:r>
                      <w:rPr>
                        <w:rFonts w:ascii="Cambria Math" w:hAnsi="Cambria Math" w:cs="Calibri"/>
                        <w:sz w:val="20"/>
                        <w:szCs w:val="20"/>
                      </w:rPr>
                      <m:t>TP+FP</m:t>
                    </m:r>
                  </m:den>
                </m:f>
              </m:oMath>
            </m:oMathPara>
          </w:p>
        </w:tc>
      </w:tr>
      <w:tr w:rsidR="00DC773D" w:rsidRPr="000713F0" w14:paraId="2C80EE0C" w14:textId="77777777" w:rsidTr="00302FFD">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4EC9D56" w14:textId="77777777" w:rsidR="00DC773D" w:rsidRPr="000713F0" w:rsidRDefault="00DC773D" w:rsidP="00302FFD">
            <w:pPr>
              <w:spacing w:line="360" w:lineRule="auto"/>
              <w:jc w:val="center"/>
              <w:rPr>
                <w:rFonts w:ascii="Calibri" w:hAnsi="Calibri" w:cs="Calibri"/>
                <w:sz w:val="20"/>
                <w:szCs w:val="20"/>
              </w:rPr>
            </w:pPr>
            <w:r w:rsidRPr="000713F0">
              <w:rPr>
                <w:rFonts w:ascii="Calibri" w:hAnsi="Calibri" w:cs="Calibri"/>
                <w:sz w:val="20"/>
                <w:szCs w:val="20"/>
              </w:rPr>
              <w:t xml:space="preserve">Negative predictive value </w:t>
            </w:r>
          </w:p>
        </w:tc>
        <w:tc>
          <w:tcPr>
            <w:tcW w:w="0" w:type="auto"/>
            <w:vAlign w:val="center"/>
          </w:tcPr>
          <w:p w14:paraId="745CC39B" w14:textId="77777777" w:rsidR="00DC773D" w:rsidRPr="000713F0" w:rsidRDefault="00DC773D" w:rsidP="00302FFD">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0713F0">
              <w:rPr>
                <w:rFonts w:ascii="Calibri" w:hAnsi="Calibri" w:cs="Calibri"/>
                <w:sz w:val="20"/>
                <w:szCs w:val="20"/>
              </w:rPr>
              <w:t>The proportion of negative test results that are true negatives</w:t>
            </w:r>
          </w:p>
        </w:tc>
        <w:tc>
          <w:tcPr>
            <w:tcW w:w="0" w:type="auto"/>
            <w:vAlign w:val="center"/>
          </w:tcPr>
          <w:p w14:paraId="25C90992" w14:textId="77777777" w:rsidR="00DC773D" w:rsidRPr="000713F0" w:rsidRDefault="00DC773D" w:rsidP="00302FFD">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m:oMathPara>
              <m:oMath>
                <m:f>
                  <m:fPr>
                    <m:ctrlPr>
                      <w:rPr>
                        <w:rFonts w:ascii="Cambria Math" w:hAnsi="Cambria Math" w:cs="Calibri"/>
                        <w:i/>
                        <w:sz w:val="20"/>
                        <w:szCs w:val="20"/>
                      </w:rPr>
                    </m:ctrlPr>
                  </m:fPr>
                  <m:num>
                    <m:r>
                      <w:rPr>
                        <w:rFonts w:ascii="Cambria Math" w:hAnsi="Cambria Math" w:cs="Calibri"/>
                        <w:sz w:val="20"/>
                        <w:szCs w:val="20"/>
                      </w:rPr>
                      <m:t>TN</m:t>
                    </m:r>
                  </m:num>
                  <m:den>
                    <m:r>
                      <w:rPr>
                        <w:rFonts w:ascii="Cambria Math" w:hAnsi="Cambria Math" w:cs="Calibri"/>
                        <w:sz w:val="20"/>
                        <w:szCs w:val="20"/>
                      </w:rPr>
                      <m:t>TN+FN</m:t>
                    </m:r>
                  </m:den>
                </m:f>
              </m:oMath>
            </m:oMathPara>
          </w:p>
        </w:tc>
      </w:tr>
      <w:tr w:rsidR="00DC773D" w:rsidRPr="000713F0" w14:paraId="37B08292" w14:textId="77777777" w:rsidTr="00302FFD">
        <w:trPr>
          <w:trHeight w:val="567"/>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9390B30" w14:textId="77777777" w:rsidR="00DC773D" w:rsidRPr="000713F0" w:rsidRDefault="00DC773D" w:rsidP="00302FFD">
            <w:pPr>
              <w:spacing w:line="360" w:lineRule="auto"/>
              <w:jc w:val="center"/>
              <w:rPr>
                <w:rFonts w:ascii="Calibri" w:hAnsi="Calibri" w:cs="Calibri"/>
                <w:sz w:val="20"/>
                <w:szCs w:val="20"/>
              </w:rPr>
            </w:pPr>
            <w:r w:rsidRPr="000713F0">
              <w:rPr>
                <w:rFonts w:ascii="Calibri" w:hAnsi="Calibri" w:cs="Calibri"/>
                <w:sz w:val="20"/>
                <w:szCs w:val="20"/>
              </w:rPr>
              <w:t>Average Precision</w:t>
            </w:r>
          </w:p>
        </w:tc>
        <w:tc>
          <w:tcPr>
            <w:tcW w:w="0" w:type="auto"/>
            <w:vAlign w:val="center"/>
          </w:tcPr>
          <w:p w14:paraId="4C6F1F8E" w14:textId="77777777" w:rsidR="00DC773D" w:rsidRPr="000713F0" w:rsidRDefault="00DC773D" w:rsidP="00302FFD">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713F0">
              <w:rPr>
                <w:rFonts w:ascii="Calibri" w:hAnsi="Calibri" w:cs="Calibri"/>
                <w:sz w:val="20"/>
                <w:szCs w:val="20"/>
              </w:rPr>
              <w:t>Represents the average of precision values at different recall thresholds. It summarizes the precision-recall curve and is particularly useful when dealing with imbalanced datasets.</w:t>
            </w:r>
          </w:p>
        </w:tc>
        <w:tc>
          <w:tcPr>
            <w:tcW w:w="0" w:type="auto"/>
            <w:vAlign w:val="center"/>
          </w:tcPr>
          <w:p w14:paraId="5E1A72BC" w14:textId="77777777" w:rsidR="00DC773D" w:rsidRPr="000713F0" w:rsidRDefault="00DC773D" w:rsidP="00302FFD">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0713F0">
              <w:rPr>
                <w:rFonts w:ascii="Calibri" w:hAnsi="Calibri" w:cs="Calibri"/>
                <w:sz w:val="20"/>
                <w:szCs w:val="20"/>
              </w:rPr>
              <w:t>----------------</w:t>
            </w:r>
          </w:p>
        </w:tc>
      </w:tr>
      <w:tr w:rsidR="00DC773D" w:rsidRPr="000713F0" w14:paraId="50ECE50B" w14:textId="77777777" w:rsidTr="00302FFD">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98DE093" w14:textId="77777777" w:rsidR="00DC773D" w:rsidRPr="000713F0" w:rsidRDefault="00DC773D" w:rsidP="00302FFD">
            <w:pPr>
              <w:spacing w:line="360" w:lineRule="auto"/>
              <w:jc w:val="center"/>
              <w:rPr>
                <w:rFonts w:ascii="Calibri" w:hAnsi="Calibri" w:cs="Calibri"/>
                <w:sz w:val="20"/>
                <w:szCs w:val="20"/>
              </w:rPr>
            </w:pPr>
            <w:r w:rsidRPr="000713F0">
              <w:rPr>
                <w:rFonts w:ascii="Calibri" w:hAnsi="Calibri" w:cs="Calibri"/>
                <w:sz w:val="20"/>
                <w:szCs w:val="20"/>
              </w:rPr>
              <w:t>F-1 score</w:t>
            </w:r>
          </w:p>
        </w:tc>
        <w:tc>
          <w:tcPr>
            <w:tcW w:w="0" w:type="auto"/>
            <w:vAlign w:val="center"/>
          </w:tcPr>
          <w:p w14:paraId="22ED3076" w14:textId="77777777" w:rsidR="00DC773D" w:rsidRPr="000713F0" w:rsidRDefault="00DC773D" w:rsidP="00302FFD">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0713F0">
              <w:rPr>
                <w:rFonts w:ascii="Calibri" w:hAnsi="Calibri" w:cs="Calibri"/>
                <w:sz w:val="20"/>
                <w:szCs w:val="20"/>
              </w:rPr>
              <w:t xml:space="preserve">The harmonic </w:t>
            </w:r>
            <w:proofErr w:type="gramStart"/>
            <w:r w:rsidRPr="000713F0">
              <w:rPr>
                <w:rFonts w:ascii="Calibri" w:hAnsi="Calibri" w:cs="Calibri"/>
                <w:sz w:val="20"/>
                <w:szCs w:val="20"/>
              </w:rPr>
              <w:t>mean</w:t>
            </w:r>
            <w:proofErr w:type="gramEnd"/>
            <w:r w:rsidRPr="000713F0">
              <w:rPr>
                <w:rFonts w:ascii="Calibri" w:hAnsi="Calibri" w:cs="Calibri"/>
                <w:sz w:val="20"/>
                <w:szCs w:val="20"/>
              </w:rPr>
              <w:t xml:space="preserve"> of precision and recall, providing a balance between the two metrics for evaluation of the model’s accuracy</w:t>
            </w:r>
          </w:p>
        </w:tc>
        <w:tc>
          <w:tcPr>
            <w:tcW w:w="0" w:type="auto"/>
            <w:vAlign w:val="center"/>
          </w:tcPr>
          <w:p w14:paraId="0068D62B" w14:textId="77777777" w:rsidR="00DC773D" w:rsidRPr="000713F0" w:rsidRDefault="00DC773D" w:rsidP="00302FFD">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m:oMathPara>
              <m:oMath>
                <m:r>
                  <w:rPr>
                    <w:rFonts w:ascii="Cambria Math" w:hAnsi="Cambria Math" w:cs="Calibri"/>
                    <w:sz w:val="20"/>
                    <w:szCs w:val="20"/>
                  </w:rPr>
                  <m:t>2*</m:t>
                </m:r>
                <m:f>
                  <m:fPr>
                    <m:ctrlPr>
                      <w:rPr>
                        <w:rFonts w:ascii="Cambria Math" w:hAnsi="Cambria Math" w:cs="Calibri"/>
                        <w:i/>
                        <w:sz w:val="20"/>
                        <w:szCs w:val="20"/>
                      </w:rPr>
                    </m:ctrlPr>
                  </m:fPr>
                  <m:num>
                    <m:r>
                      <w:rPr>
                        <w:rFonts w:ascii="Cambria Math" w:hAnsi="Cambria Math" w:cs="Calibri"/>
                        <w:sz w:val="20"/>
                        <w:szCs w:val="20"/>
                      </w:rPr>
                      <m:t>precision*recall</m:t>
                    </m:r>
                  </m:num>
                  <m:den>
                    <m:r>
                      <w:rPr>
                        <w:rFonts w:ascii="Cambria Math" w:hAnsi="Cambria Math" w:cs="Calibri"/>
                        <w:sz w:val="20"/>
                        <w:szCs w:val="20"/>
                      </w:rPr>
                      <m:t>precision+recall</m:t>
                    </m:r>
                  </m:den>
                </m:f>
              </m:oMath>
            </m:oMathPara>
          </w:p>
        </w:tc>
      </w:tr>
      <w:tr w:rsidR="00DC773D" w:rsidRPr="000713F0" w14:paraId="29DE0FB6" w14:textId="77777777" w:rsidTr="00302FFD">
        <w:trPr>
          <w:trHeight w:val="567"/>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B1BC465" w14:textId="77777777" w:rsidR="00DC773D" w:rsidRPr="000713F0" w:rsidRDefault="00DC773D" w:rsidP="00302FFD">
            <w:pPr>
              <w:spacing w:line="360" w:lineRule="auto"/>
              <w:jc w:val="center"/>
              <w:rPr>
                <w:rFonts w:ascii="Calibri" w:hAnsi="Calibri" w:cs="Calibri"/>
                <w:sz w:val="20"/>
                <w:szCs w:val="20"/>
              </w:rPr>
            </w:pPr>
            <w:r w:rsidRPr="000713F0">
              <w:rPr>
                <w:rFonts w:ascii="Calibri" w:hAnsi="Calibri" w:cs="Calibri"/>
                <w:sz w:val="20"/>
                <w:szCs w:val="20"/>
              </w:rPr>
              <w:t>LR+ (Positive Likelihood Ratio)</w:t>
            </w:r>
          </w:p>
        </w:tc>
        <w:tc>
          <w:tcPr>
            <w:tcW w:w="0" w:type="auto"/>
            <w:vAlign w:val="center"/>
          </w:tcPr>
          <w:p w14:paraId="634A200B" w14:textId="77777777" w:rsidR="00DC773D" w:rsidRPr="000713F0" w:rsidRDefault="00DC773D" w:rsidP="00302FFD">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713F0">
              <w:rPr>
                <w:rFonts w:ascii="Calibri" w:hAnsi="Calibri" w:cs="Calibri"/>
                <w:sz w:val="20"/>
                <w:szCs w:val="20"/>
              </w:rPr>
              <w:t>Measures how much the odds of the disease increase when a test is positive. It indicates how much more likely a positive test result is to be found in diseased versus non-diseased individuals</w:t>
            </w:r>
          </w:p>
        </w:tc>
        <w:tc>
          <w:tcPr>
            <w:tcW w:w="0" w:type="auto"/>
            <w:vAlign w:val="center"/>
          </w:tcPr>
          <w:p w14:paraId="2DBC3F88" w14:textId="77777777" w:rsidR="00DC773D" w:rsidRPr="000713F0" w:rsidRDefault="00DC773D" w:rsidP="00302FFD">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m:oMathPara>
              <m:oMath>
                <m:f>
                  <m:fPr>
                    <m:ctrlPr>
                      <w:rPr>
                        <w:rFonts w:ascii="Cambria Math" w:eastAsia="Calibri" w:hAnsi="Cambria Math" w:cs="Calibri"/>
                        <w:i/>
                        <w:sz w:val="20"/>
                        <w:szCs w:val="20"/>
                      </w:rPr>
                    </m:ctrlPr>
                  </m:fPr>
                  <m:num>
                    <m:r>
                      <w:rPr>
                        <w:rFonts w:ascii="Cambria Math" w:eastAsia="Calibri" w:hAnsi="Cambria Math" w:cs="Calibri"/>
                        <w:sz w:val="20"/>
                        <w:szCs w:val="20"/>
                      </w:rPr>
                      <m:t>sensitivity</m:t>
                    </m:r>
                  </m:num>
                  <m:den>
                    <m:r>
                      <w:rPr>
                        <w:rFonts w:ascii="Cambria Math" w:eastAsia="Calibri" w:hAnsi="Cambria Math" w:cs="Calibri"/>
                        <w:sz w:val="20"/>
                        <w:szCs w:val="20"/>
                      </w:rPr>
                      <m:t>1-specificity</m:t>
                    </m:r>
                  </m:den>
                </m:f>
              </m:oMath>
            </m:oMathPara>
          </w:p>
        </w:tc>
      </w:tr>
      <w:tr w:rsidR="00DC773D" w:rsidRPr="000713F0" w14:paraId="765323B1" w14:textId="77777777" w:rsidTr="00302FFD">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70D81A6" w14:textId="77777777" w:rsidR="00DC773D" w:rsidRPr="000713F0" w:rsidRDefault="00DC773D" w:rsidP="00302FFD">
            <w:pPr>
              <w:spacing w:line="360" w:lineRule="auto"/>
              <w:jc w:val="center"/>
              <w:rPr>
                <w:rFonts w:ascii="Calibri" w:hAnsi="Calibri" w:cs="Calibri"/>
                <w:sz w:val="20"/>
                <w:szCs w:val="20"/>
              </w:rPr>
            </w:pPr>
            <w:r w:rsidRPr="000713F0">
              <w:rPr>
                <w:rFonts w:ascii="Calibri" w:hAnsi="Calibri" w:cs="Calibri"/>
                <w:sz w:val="20"/>
                <w:szCs w:val="20"/>
              </w:rPr>
              <w:lastRenderedPageBreak/>
              <w:t>LR- (Negative Likelihood Ratio)</w:t>
            </w:r>
          </w:p>
        </w:tc>
        <w:tc>
          <w:tcPr>
            <w:tcW w:w="0" w:type="auto"/>
            <w:vAlign w:val="center"/>
          </w:tcPr>
          <w:p w14:paraId="6C33908C" w14:textId="77777777" w:rsidR="00DC773D" w:rsidRPr="000713F0" w:rsidRDefault="00DC773D" w:rsidP="00302FFD">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0713F0">
              <w:rPr>
                <w:rFonts w:ascii="Calibri" w:hAnsi="Calibri" w:cs="Calibri"/>
                <w:sz w:val="20"/>
                <w:szCs w:val="20"/>
              </w:rPr>
              <w:t>Measures how much the odds of the disease decrease when a test is negative. It indicates how much less likely a negative test result is to be found in diseased versus non-diseased individuals.</w:t>
            </w:r>
          </w:p>
        </w:tc>
        <w:tc>
          <w:tcPr>
            <w:tcW w:w="0" w:type="auto"/>
            <w:vAlign w:val="center"/>
          </w:tcPr>
          <w:p w14:paraId="113D437F" w14:textId="77777777" w:rsidR="00DC773D" w:rsidRPr="000713F0" w:rsidRDefault="00DC773D" w:rsidP="00302FFD">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m:oMathPara>
              <m:oMath>
                <m:f>
                  <m:fPr>
                    <m:ctrlPr>
                      <w:rPr>
                        <w:rFonts w:ascii="Cambria Math" w:eastAsia="Calibri" w:hAnsi="Cambria Math" w:cs="Calibri"/>
                        <w:i/>
                        <w:sz w:val="20"/>
                        <w:szCs w:val="20"/>
                      </w:rPr>
                    </m:ctrlPr>
                  </m:fPr>
                  <m:num>
                    <m:r>
                      <w:rPr>
                        <w:rFonts w:ascii="Cambria Math" w:eastAsia="Calibri" w:hAnsi="Cambria Math" w:cs="Calibri"/>
                        <w:sz w:val="20"/>
                        <w:szCs w:val="20"/>
                      </w:rPr>
                      <m:t>1-sensitivity</m:t>
                    </m:r>
                  </m:num>
                  <m:den>
                    <m:r>
                      <w:rPr>
                        <w:rFonts w:ascii="Cambria Math" w:eastAsia="Calibri" w:hAnsi="Cambria Math" w:cs="Calibri"/>
                        <w:sz w:val="20"/>
                        <w:szCs w:val="20"/>
                      </w:rPr>
                      <m:t>specificity</m:t>
                    </m:r>
                  </m:den>
                </m:f>
              </m:oMath>
            </m:oMathPara>
          </w:p>
        </w:tc>
      </w:tr>
      <w:tr w:rsidR="00DC773D" w:rsidRPr="000713F0" w14:paraId="44932FA8" w14:textId="77777777" w:rsidTr="00302FFD">
        <w:trPr>
          <w:trHeight w:val="207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E8D4538" w14:textId="77777777" w:rsidR="00DC773D" w:rsidRPr="000713F0" w:rsidRDefault="00DC773D" w:rsidP="00302FFD">
            <w:pPr>
              <w:spacing w:line="360" w:lineRule="auto"/>
              <w:jc w:val="center"/>
              <w:rPr>
                <w:rFonts w:ascii="Calibri" w:hAnsi="Calibri" w:cs="Calibri"/>
                <w:sz w:val="20"/>
                <w:szCs w:val="20"/>
              </w:rPr>
            </w:pPr>
            <w:r w:rsidRPr="000713F0">
              <w:rPr>
                <w:rFonts w:ascii="Calibri" w:hAnsi="Calibri" w:cs="Calibri"/>
                <w:sz w:val="20"/>
                <w:szCs w:val="20"/>
              </w:rPr>
              <w:t>DOR (Diagnostic Odds Ratio)</w:t>
            </w:r>
          </w:p>
        </w:tc>
        <w:tc>
          <w:tcPr>
            <w:tcW w:w="0" w:type="auto"/>
            <w:vAlign w:val="center"/>
          </w:tcPr>
          <w:p w14:paraId="3CA5625D" w14:textId="77777777" w:rsidR="00DC773D" w:rsidRPr="000713F0" w:rsidRDefault="00DC773D" w:rsidP="00302FFD">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713F0">
              <w:rPr>
                <w:rFonts w:ascii="Calibri" w:hAnsi="Calibri" w:cs="Calibri"/>
                <w:sz w:val="20"/>
                <w:szCs w:val="20"/>
              </w:rPr>
              <w:t>Measures the effectiveness of a diagnostic test. It is the ratio of the odds of the test being positive if the subject has a condition compared to the odds of the test being positive if the subject does not have the condition.</w:t>
            </w:r>
          </w:p>
        </w:tc>
        <w:tc>
          <w:tcPr>
            <w:tcW w:w="0" w:type="auto"/>
            <w:vAlign w:val="center"/>
          </w:tcPr>
          <w:p w14:paraId="2FBB6EB7" w14:textId="77777777" w:rsidR="00DC773D" w:rsidRPr="000713F0" w:rsidRDefault="00DC773D" w:rsidP="00302FFD">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m:oMathPara>
              <m:oMath>
                <m:f>
                  <m:fPr>
                    <m:ctrlPr>
                      <w:rPr>
                        <w:rFonts w:ascii="Cambria Math" w:eastAsia="Calibri" w:hAnsi="Cambria Math" w:cs="Calibri"/>
                        <w:i/>
                        <w:sz w:val="20"/>
                        <w:szCs w:val="20"/>
                      </w:rPr>
                    </m:ctrlPr>
                  </m:fPr>
                  <m:num>
                    <m:r>
                      <w:rPr>
                        <w:rFonts w:ascii="Cambria Math" w:eastAsia="Calibri" w:hAnsi="Cambria Math" w:cs="Calibri"/>
                        <w:sz w:val="20"/>
                        <w:szCs w:val="20"/>
                      </w:rPr>
                      <m:t>LR+</m:t>
                    </m:r>
                  </m:num>
                  <m:den>
                    <m:r>
                      <w:rPr>
                        <w:rFonts w:ascii="Cambria Math" w:eastAsia="Calibri" w:hAnsi="Cambria Math" w:cs="Calibri"/>
                        <w:sz w:val="20"/>
                        <w:szCs w:val="20"/>
                      </w:rPr>
                      <m:t>LR-</m:t>
                    </m:r>
                  </m:den>
                </m:f>
              </m:oMath>
            </m:oMathPara>
          </w:p>
        </w:tc>
      </w:tr>
      <w:tr w:rsidR="00DC773D" w:rsidRPr="000713F0" w14:paraId="5CDF5E48" w14:textId="77777777" w:rsidTr="00302FFD">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D981D51" w14:textId="77777777" w:rsidR="00DC773D" w:rsidRPr="000713F0" w:rsidRDefault="00DC773D" w:rsidP="00302FFD">
            <w:pPr>
              <w:spacing w:line="360" w:lineRule="auto"/>
              <w:jc w:val="center"/>
              <w:rPr>
                <w:rFonts w:ascii="Calibri" w:hAnsi="Calibri" w:cs="Calibri"/>
                <w:sz w:val="20"/>
                <w:szCs w:val="20"/>
              </w:rPr>
            </w:pPr>
            <w:r w:rsidRPr="000713F0">
              <w:rPr>
                <w:rFonts w:ascii="Calibri" w:hAnsi="Calibri" w:cs="Calibri"/>
                <w:sz w:val="20"/>
                <w:szCs w:val="20"/>
              </w:rPr>
              <w:t>AUC (Area Under Curve)</w:t>
            </w:r>
          </w:p>
        </w:tc>
        <w:tc>
          <w:tcPr>
            <w:tcW w:w="0" w:type="auto"/>
            <w:vAlign w:val="center"/>
          </w:tcPr>
          <w:p w14:paraId="2FA98BBC" w14:textId="77777777" w:rsidR="00DC773D" w:rsidRPr="000713F0" w:rsidRDefault="00DC773D" w:rsidP="00302FFD">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0713F0">
              <w:rPr>
                <w:rFonts w:ascii="Calibri" w:hAnsi="Calibri" w:cs="Calibri"/>
                <w:sz w:val="20"/>
                <w:szCs w:val="20"/>
              </w:rPr>
              <w:t>The AUC-ROC represents the ability of the model to distinguish between positive and negative classes. The AUC is the area under the receiver operating characteristic (ROC) curve which is plotted by assigning True Positive Rates (Sensitivity) against the False Positive Rate (1 - specificity) at various threshold settings.</w:t>
            </w:r>
          </w:p>
        </w:tc>
        <w:tc>
          <w:tcPr>
            <w:tcW w:w="0" w:type="auto"/>
            <w:vAlign w:val="center"/>
          </w:tcPr>
          <w:p w14:paraId="166286F0" w14:textId="77777777" w:rsidR="00DC773D" w:rsidRPr="000713F0" w:rsidRDefault="00DC773D" w:rsidP="00302FFD">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0713F0">
              <w:rPr>
                <w:rFonts w:ascii="Calibri" w:hAnsi="Calibri" w:cs="Calibri"/>
                <w:sz w:val="20"/>
                <w:szCs w:val="20"/>
              </w:rPr>
              <w:t>----------------</w:t>
            </w:r>
          </w:p>
        </w:tc>
      </w:tr>
      <w:tr w:rsidR="00DC773D" w:rsidRPr="000713F0" w14:paraId="1AB73EA0" w14:textId="77777777" w:rsidTr="00302FFD">
        <w:trPr>
          <w:trHeight w:val="567"/>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030D9BC" w14:textId="77777777" w:rsidR="00DC773D" w:rsidRPr="000713F0" w:rsidRDefault="00DC773D" w:rsidP="00302FFD">
            <w:pPr>
              <w:spacing w:line="360" w:lineRule="auto"/>
              <w:jc w:val="center"/>
              <w:rPr>
                <w:rFonts w:ascii="Calibri" w:hAnsi="Calibri" w:cs="Calibri"/>
                <w:sz w:val="20"/>
                <w:szCs w:val="20"/>
              </w:rPr>
            </w:pPr>
            <w:r w:rsidRPr="000713F0">
              <w:rPr>
                <w:rFonts w:ascii="Calibri" w:hAnsi="Calibri" w:cs="Calibri"/>
                <w:sz w:val="20"/>
                <w:szCs w:val="20"/>
              </w:rPr>
              <w:t xml:space="preserve">Gamma Value </w:t>
            </w:r>
          </w:p>
        </w:tc>
        <w:tc>
          <w:tcPr>
            <w:tcW w:w="0" w:type="auto"/>
            <w:vAlign w:val="center"/>
          </w:tcPr>
          <w:p w14:paraId="6D1DB226" w14:textId="77777777" w:rsidR="00DC773D" w:rsidRPr="000713F0" w:rsidRDefault="00DC773D" w:rsidP="00302FFD">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713F0">
              <w:rPr>
                <w:rFonts w:ascii="Calibri" w:hAnsi="Calibri" w:cs="Calibri"/>
                <w:sz w:val="20"/>
                <w:szCs w:val="20"/>
              </w:rPr>
              <w:t>A measure of the strength and direction of the association between two variables in ordinal scales. It reflects the degree of concordance or discordance between pairs of observations, ignoring ties.</w:t>
            </w:r>
          </w:p>
        </w:tc>
        <w:tc>
          <w:tcPr>
            <w:tcW w:w="0" w:type="auto"/>
            <w:vAlign w:val="center"/>
          </w:tcPr>
          <w:p w14:paraId="27484622" w14:textId="77777777" w:rsidR="00DC773D" w:rsidRPr="000713F0" w:rsidRDefault="00DC773D" w:rsidP="00302FFD">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s-ES"/>
              </w:rPr>
            </w:pPr>
            <w:proofErr w:type="spellStart"/>
            <w:r>
              <w:rPr>
                <w:rFonts w:ascii="Calibri" w:hAnsi="Calibri" w:cs="Calibri"/>
                <w:sz w:val="20"/>
                <w:szCs w:val="20"/>
                <w:lang w:val="es-ES"/>
              </w:rPr>
              <w:t>C</w:t>
            </w:r>
            <w:r w:rsidRPr="000713F0">
              <w:rPr>
                <w:rFonts w:ascii="Calibri" w:hAnsi="Calibri" w:cs="Calibri"/>
                <w:sz w:val="20"/>
                <w:szCs w:val="20"/>
                <w:lang w:val="es-ES"/>
              </w:rPr>
              <w:t>ounting</w:t>
            </w:r>
            <w:proofErr w:type="spellEnd"/>
            <w:r w:rsidRPr="000713F0">
              <w:rPr>
                <w:rFonts w:ascii="Calibri" w:hAnsi="Calibri" w:cs="Calibri"/>
                <w:sz w:val="20"/>
                <w:szCs w:val="20"/>
                <w:lang w:val="es-ES"/>
              </w:rPr>
              <w:t xml:space="preserve"> </w:t>
            </w:r>
            <w:proofErr w:type="spellStart"/>
            <w:r w:rsidRPr="000713F0">
              <w:rPr>
                <w:rFonts w:ascii="Calibri" w:hAnsi="Calibri" w:cs="Calibri"/>
                <w:sz w:val="20"/>
                <w:szCs w:val="20"/>
                <w:lang w:val="es-ES"/>
              </w:rPr>
              <w:t>concordant</w:t>
            </w:r>
            <w:proofErr w:type="spellEnd"/>
            <w:r w:rsidRPr="000713F0">
              <w:rPr>
                <w:rFonts w:ascii="Calibri" w:hAnsi="Calibri" w:cs="Calibri"/>
                <w:sz w:val="20"/>
                <w:szCs w:val="20"/>
                <w:lang w:val="es-ES"/>
              </w:rPr>
              <w:t xml:space="preserve"> and </w:t>
            </w:r>
            <w:proofErr w:type="spellStart"/>
            <w:r w:rsidRPr="000713F0">
              <w:rPr>
                <w:rFonts w:ascii="Calibri" w:hAnsi="Calibri" w:cs="Calibri"/>
                <w:sz w:val="20"/>
                <w:szCs w:val="20"/>
                <w:lang w:val="es-ES"/>
              </w:rPr>
              <w:t>discordant</w:t>
            </w:r>
            <w:proofErr w:type="spellEnd"/>
            <w:r w:rsidRPr="000713F0">
              <w:rPr>
                <w:rFonts w:ascii="Calibri" w:hAnsi="Calibri" w:cs="Calibri"/>
                <w:sz w:val="20"/>
                <w:szCs w:val="20"/>
                <w:lang w:val="es-ES"/>
              </w:rPr>
              <w:t xml:space="preserve"> </w:t>
            </w:r>
            <w:proofErr w:type="spellStart"/>
            <w:r w:rsidRPr="000713F0">
              <w:rPr>
                <w:rFonts w:ascii="Calibri" w:hAnsi="Calibri" w:cs="Calibri"/>
                <w:sz w:val="20"/>
                <w:szCs w:val="20"/>
                <w:lang w:val="es-ES"/>
              </w:rPr>
              <w:t>pairs</w:t>
            </w:r>
            <w:proofErr w:type="spellEnd"/>
            <w:r w:rsidRPr="000713F0">
              <w:rPr>
                <w:rFonts w:ascii="Calibri" w:hAnsi="Calibri" w:cs="Calibri"/>
                <w:sz w:val="20"/>
                <w:szCs w:val="20"/>
                <w:lang w:val="es-ES"/>
              </w:rPr>
              <w:t>.</w:t>
            </w:r>
          </w:p>
        </w:tc>
      </w:tr>
      <w:tr w:rsidR="00DC773D" w:rsidRPr="000713F0" w14:paraId="2ECDE3AB" w14:textId="77777777" w:rsidTr="00302FFD">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2EA436A" w14:textId="77777777" w:rsidR="00DC773D" w:rsidRPr="000713F0" w:rsidRDefault="00DC773D" w:rsidP="00302FFD">
            <w:pPr>
              <w:spacing w:line="360" w:lineRule="auto"/>
              <w:jc w:val="center"/>
              <w:rPr>
                <w:rFonts w:ascii="Calibri" w:hAnsi="Calibri" w:cs="Calibri"/>
                <w:b w:val="0"/>
                <w:bCs w:val="0"/>
                <w:sz w:val="20"/>
                <w:szCs w:val="20"/>
              </w:rPr>
            </w:pPr>
            <w:r w:rsidRPr="000713F0">
              <w:rPr>
                <w:rFonts w:ascii="Calibri" w:hAnsi="Calibri" w:cs="Calibri"/>
                <w:sz w:val="20"/>
                <w:szCs w:val="20"/>
              </w:rPr>
              <w:t>Kappa Coefficient</w:t>
            </w:r>
          </w:p>
          <w:p w14:paraId="7028F154" w14:textId="77777777" w:rsidR="00DC773D" w:rsidRPr="000713F0" w:rsidRDefault="00DC773D" w:rsidP="00302FFD">
            <w:pPr>
              <w:spacing w:line="360" w:lineRule="auto"/>
              <w:jc w:val="center"/>
              <w:rPr>
                <w:rFonts w:ascii="Calibri" w:hAnsi="Calibri" w:cs="Calibri"/>
                <w:sz w:val="20"/>
                <w:szCs w:val="20"/>
              </w:rPr>
            </w:pPr>
            <w:r w:rsidRPr="000713F0">
              <w:rPr>
                <w:rFonts w:ascii="Calibri" w:hAnsi="Calibri" w:cs="Calibri"/>
                <w:sz w:val="20"/>
                <w:szCs w:val="20"/>
              </w:rPr>
              <w:t>(K)</w:t>
            </w:r>
          </w:p>
        </w:tc>
        <w:tc>
          <w:tcPr>
            <w:tcW w:w="0" w:type="auto"/>
            <w:vAlign w:val="center"/>
          </w:tcPr>
          <w:p w14:paraId="6DBF09B8" w14:textId="77777777" w:rsidR="00DC773D" w:rsidRPr="000713F0" w:rsidRDefault="00DC773D" w:rsidP="00302FFD">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0713F0">
              <w:rPr>
                <w:rFonts w:ascii="Calibri" w:hAnsi="Calibri" w:cs="Calibri"/>
                <w:sz w:val="20"/>
                <w:szCs w:val="20"/>
              </w:rPr>
              <w:t xml:space="preserve">A statistic that measures inter-rater reliability (and sometimes intra-rater reliability) for qualitative (categorical) items. It is more robust than simple percent agreement calculation, as it </w:t>
            </w:r>
            <w:proofErr w:type="gramStart"/>
            <w:r w:rsidRPr="000713F0">
              <w:rPr>
                <w:rFonts w:ascii="Calibri" w:hAnsi="Calibri" w:cs="Calibri"/>
                <w:sz w:val="20"/>
                <w:szCs w:val="20"/>
              </w:rPr>
              <w:t>takes into account</w:t>
            </w:r>
            <w:proofErr w:type="gramEnd"/>
            <w:r w:rsidRPr="000713F0">
              <w:rPr>
                <w:rFonts w:ascii="Calibri" w:hAnsi="Calibri" w:cs="Calibri"/>
                <w:sz w:val="20"/>
                <w:szCs w:val="20"/>
              </w:rPr>
              <w:t xml:space="preserve"> the agreement occurring by chance.</w:t>
            </w:r>
          </w:p>
        </w:tc>
        <w:tc>
          <w:tcPr>
            <w:tcW w:w="0" w:type="auto"/>
            <w:vAlign w:val="center"/>
          </w:tcPr>
          <w:p w14:paraId="54E4BF78" w14:textId="77777777" w:rsidR="00DC773D" w:rsidRPr="000713F0" w:rsidRDefault="00DC773D" w:rsidP="00302FFD">
            <w:pPr>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D0D0D"/>
                <w:sz w:val="20"/>
                <w:szCs w:val="20"/>
                <w:shd w:val="clear" w:color="auto" w:fill="FFFFFF"/>
              </w:rPr>
            </w:pPr>
          </w:p>
          <w:p w14:paraId="66924086" w14:textId="77777777" w:rsidR="00DC773D" w:rsidRPr="000713F0" w:rsidRDefault="00DC773D" w:rsidP="00302FFD">
            <w:pPr>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D0D0D"/>
                <w:sz w:val="20"/>
                <w:szCs w:val="20"/>
                <w:shd w:val="clear" w:color="auto" w:fill="FFFFFF"/>
              </w:rPr>
            </w:pPr>
            <w:r w:rsidRPr="000713F0">
              <w:rPr>
                <w:rFonts w:ascii="Calibri" w:hAnsi="Calibri" w:cs="Calibri"/>
                <w:color w:val="0D0D0D"/>
                <w:sz w:val="20"/>
                <w:szCs w:val="20"/>
                <w:shd w:val="clear" w:color="auto" w:fill="FFFFFF"/>
              </w:rPr>
              <w:t>​</w:t>
            </w:r>
          </w:p>
          <w:p w14:paraId="13C23E08" w14:textId="77777777" w:rsidR="00DC773D" w:rsidRPr="000713F0" w:rsidRDefault="00DC773D" w:rsidP="00302FFD">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D0D0D"/>
                <w:sz w:val="20"/>
                <w:szCs w:val="20"/>
                <w:shd w:val="clear" w:color="auto" w:fill="FFFFFF"/>
              </w:rPr>
            </w:pPr>
            <w:r w:rsidRPr="000713F0">
              <w:rPr>
                <w:rFonts w:ascii="Calibri" w:hAnsi="Calibri" w:cs="Calibri"/>
                <w:color w:val="0D0D0D"/>
                <w:sz w:val="20"/>
                <w:szCs w:val="20"/>
                <w:shd w:val="clear" w:color="auto" w:fill="FFFFFF"/>
              </w:rPr>
              <w:t xml:space="preserve">K= </w:t>
            </w:r>
            <m:oMath>
              <m:f>
                <m:fPr>
                  <m:ctrlPr>
                    <w:rPr>
                      <w:rFonts w:ascii="Cambria Math" w:hAnsi="Cambria Math" w:cs="Calibri"/>
                      <w:i/>
                      <w:color w:val="0D0D0D"/>
                      <w:sz w:val="20"/>
                      <w:szCs w:val="20"/>
                      <w:shd w:val="clear" w:color="auto" w:fill="FFFFFF"/>
                    </w:rPr>
                  </m:ctrlPr>
                </m:fPr>
                <m:num>
                  <m:sSub>
                    <m:sSubPr>
                      <m:ctrlPr>
                        <w:rPr>
                          <w:rFonts w:ascii="Cambria Math" w:hAnsi="Cambria Math" w:cs="Calibri"/>
                          <w:i/>
                          <w:color w:val="0D0D0D"/>
                          <w:sz w:val="20"/>
                          <w:szCs w:val="20"/>
                          <w:shd w:val="clear" w:color="auto" w:fill="FFFFFF"/>
                        </w:rPr>
                      </m:ctrlPr>
                    </m:sSubPr>
                    <m:e>
                      <m:r>
                        <w:rPr>
                          <w:rFonts w:ascii="Cambria Math" w:hAnsi="Cambria Math" w:cs="Calibri"/>
                          <w:color w:val="0D0D0D"/>
                          <w:sz w:val="20"/>
                          <w:szCs w:val="20"/>
                          <w:shd w:val="clear" w:color="auto" w:fill="FFFFFF"/>
                        </w:rPr>
                        <m:t>P</m:t>
                      </m:r>
                    </m:e>
                    <m:sub>
                      <m:r>
                        <w:rPr>
                          <w:rFonts w:ascii="Cambria Math" w:hAnsi="Cambria Math" w:cs="Calibri"/>
                          <w:color w:val="0D0D0D"/>
                          <w:sz w:val="20"/>
                          <w:szCs w:val="20"/>
                          <w:shd w:val="clear" w:color="auto" w:fill="FFFFFF"/>
                        </w:rPr>
                        <m:t xml:space="preserve">0- </m:t>
                      </m:r>
                      <m:sSub>
                        <m:sSubPr>
                          <m:ctrlPr>
                            <w:rPr>
                              <w:rFonts w:ascii="Cambria Math" w:hAnsi="Cambria Math" w:cs="Calibri"/>
                              <w:i/>
                              <w:color w:val="0D0D0D"/>
                              <w:sz w:val="20"/>
                              <w:szCs w:val="20"/>
                              <w:shd w:val="clear" w:color="auto" w:fill="FFFFFF"/>
                            </w:rPr>
                          </m:ctrlPr>
                        </m:sSubPr>
                        <m:e>
                          <m:r>
                            <w:rPr>
                              <w:rFonts w:ascii="Cambria Math" w:hAnsi="Cambria Math" w:cs="Calibri"/>
                              <w:color w:val="0D0D0D"/>
                              <w:sz w:val="20"/>
                              <w:szCs w:val="20"/>
                              <w:shd w:val="clear" w:color="auto" w:fill="FFFFFF"/>
                            </w:rPr>
                            <m:t>P</m:t>
                          </m:r>
                        </m:e>
                        <m:sub>
                          <m:r>
                            <w:rPr>
                              <w:rFonts w:ascii="Cambria Math" w:hAnsi="Cambria Math" w:cs="Calibri"/>
                              <w:color w:val="0D0D0D"/>
                              <w:sz w:val="20"/>
                              <w:szCs w:val="20"/>
                              <w:shd w:val="clear" w:color="auto" w:fill="FFFFFF"/>
                            </w:rPr>
                            <m:t>e</m:t>
                          </m:r>
                        </m:sub>
                      </m:sSub>
                    </m:sub>
                  </m:sSub>
                </m:num>
                <m:den>
                  <m:r>
                    <w:rPr>
                      <w:rFonts w:ascii="Cambria Math" w:hAnsi="Cambria Math" w:cs="Calibri"/>
                      <w:color w:val="0D0D0D"/>
                      <w:sz w:val="20"/>
                      <w:szCs w:val="20"/>
                      <w:shd w:val="clear" w:color="auto" w:fill="FFFFFF"/>
                    </w:rPr>
                    <m:t>1-</m:t>
                  </m:r>
                  <m:sSub>
                    <m:sSubPr>
                      <m:ctrlPr>
                        <w:rPr>
                          <w:rFonts w:ascii="Cambria Math" w:hAnsi="Cambria Math" w:cs="Calibri"/>
                          <w:i/>
                          <w:color w:val="0D0D0D"/>
                          <w:sz w:val="20"/>
                          <w:szCs w:val="20"/>
                          <w:shd w:val="clear" w:color="auto" w:fill="FFFFFF"/>
                        </w:rPr>
                      </m:ctrlPr>
                    </m:sSubPr>
                    <m:e>
                      <m:r>
                        <w:rPr>
                          <w:rFonts w:ascii="Cambria Math" w:hAnsi="Cambria Math" w:cs="Calibri"/>
                          <w:color w:val="0D0D0D"/>
                          <w:sz w:val="20"/>
                          <w:szCs w:val="20"/>
                          <w:shd w:val="clear" w:color="auto" w:fill="FFFFFF"/>
                        </w:rPr>
                        <m:t>p</m:t>
                      </m:r>
                    </m:e>
                    <m:sub>
                      <m:r>
                        <w:rPr>
                          <w:rFonts w:ascii="Cambria Math" w:hAnsi="Cambria Math" w:cs="Calibri"/>
                          <w:color w:val="0D0D0D"/>
                          <w:sz w:val="20"/>
                          <w:szCs w:val="20"/>
                          <w:shd w:val="clear" w:color="auto" w:fill="FFFFFF"/>
                        </w:rPr>
                        <m:t>e</m:t>
                      </m:r>
                    </m:sub>
                  </m:sSub>
                </m:den>
              </m:f>
            </m:oMath>
            <w:r w:rsidRPr="000713F0">
              <w:rPr>
                <w:rFonts w:ascii="Calibri" w:eastAsiaTheme="minorEastAsia" w:hAnsi="Calibri" w:cs="Calibri"/>
                <w:color w:val="0D0D0D"/>
                <w:sz w:val="20"/>
                <w:szCs w:val="20"/>
                <w:shd w:val="clear" w:color="auto" w:fill="FFFFFF"/>
              </w:rPr>
              <w:br/>
            </w:r>
          </w:p>
          <w:p w14:paraId="1DD27B38" w14:textId="77777777" w:rsidR="00DC773D" w:rsidRPr="000713F0" w:rsidRDefault="00DC773D" w:rsidP="00302FFD">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s-ES"/>
              </w:rPr>
            </w:pPr>
            <w:r w:rsidRPr="000713F0">
              <w:rPr>
                <w:rFonts w:ascii="Calibri" w:hAnsi="Calibri" w:cs="Calibri"/>
                <w:color w:val="0D0D0D"/>
                <w:sz w:val="20"/>
                <w:szCs w:val="20"/>
                <w:shd w:val="clear" w:color="auto" w:fill="FFFFFF"/>
              </w:rPr>
              <w:t>​</w:t>
            </w:r>
            <w:r w:rsidRPr="000713F0">
              <w:rPr>
                <w:rFonts w:ascii="Calibri" w:hAnsi="Calibri" w:cs="Calibri"/>
                <w:color w:val="0D0D0D"/>
                <w:sz w:val="20"/>
                <w:szCs w:val="20"/>
                <w:shd w:val="clear" w:color="auto" w:fill="FFFFFF"/>
              </w:rPr>
              <w:br/>
            </w:r>
            <w:r w:rsidRPr="000713F0">
              <w:rPr>
                <w:rFonts w:ascii="Calibri" w:hAnsi="Calibri" w:cs="Calibri"/>
                <w:color w:val="0D0D0D"/>
                <w:sz w:val="20"/>
                <w:szCs w:val="20"/>
                <w:shd w:val="clear" w:color="auto" w:fill="FFFFFF"/>
              </w:rPr>
              <w:br/>
            </w:r>
          </w:p>
        </w:tc>
      </w:tr>
      <w:tr w:rsidR="00DC773D" w:rsidRPr="000713F0" w14:paraId="0C760336" w14:textId="77777777" w:rsidTr="00302FFD">
        <w:trPr>
          <w:trHeight w:val="567"/>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BA3E62C" w14:textId="77777777" w:rsidR="00DC773D" w:rsidRPr="000713F0" w:rsidRDefault="00DC773D" w:rsidP="00302FFD">
            <w:pPr>
              <w:spacing w:line="360" w:lineRule="auto"/>
              <w:jc w:val="center"/>
              <w:rPr>
                <w:rFonts w:ascii="Calibri" w:hAnsi="Calibri" w:cs="Calibri"/>
                <w:sz w:val="20"/>
                <w:szCs w:val="20"/>
              </w:rPr>
            </w:pPr>
            <w:r w:rsidRPr="000713F0">
              <w:rPr>
                <w:rFonts w:ascii="Calibri" w:hAnsi="Calibri" w:cs="Calibri"/>
                <w:sz w:val="20"/>
                <w:szCs w:val="20"/>
              </w:rPr>
              <w:lastRenderedPageBreak/>
              <w:t>Mean Absolute Error (</w:t>
            </w:r>
            <w:proofErr w:type="spellStart"/>
            <w:r w:rsidRPr="000713F0">
              <w:rPr>
                <w:rFonts w:ascii="Calibri" w:hAnsi="Calibri" w:cs="Calibri"/>
                <w:sz w:val="20"/>
                <w:szCs w:val="20"/>
              </w:rPr>
              <w:t>mAE</w:t>
            </w:r>
            <w:proofErr w:type="spellEnd"/>
            <w:r w:rsidRPr="000713F0">
              <w:rPr>
                <w:rFonts w:ascii="Calibri" w:hAnsi="Calibri" w:cs="Calibri"/>
                <w:sz w:val="20"/>
                <w:szCs w:val="20"/>
              </w:rPr>
              <w:t>)</w:t>
            </w:r>
          </w:p>
        </w:tc>
        <w:tc>
          <w:tcPr>
            <w:tcW w:w="0" w:type="auto"/>
            <w:vAlign w:val="center"/>
          </w:tcPr>
          <w:p w14:paraId="49C1F1A9" w14:textId="77777777" w:rsidR="00DC773D" w:rsidRPr="000713F0" w:rsidRDefault="00DC773D" w:rsidP="00302FFD">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713F0">
              <w:rPr>
                <w:rFonts w:ascii="Calibri" w:hAnsi="Calibri" w:cs="Calibri"/>
                <w:sz w:val="20"/>
                <w:szCs w:val="20"/>
              </w:rPr>
              <w:t>Average of the absolute differences between the predicted and actual values.</w:t>
            </w:r>
          </w:p>
        </w:tc>
        <w:tc>
          <w:tcPr>
            <w:tcW w:w="0" w:type="auto"/>
            <w:vAlign w:val="center"/>
          </w:tcPr>
          <w:p w14:paraId="3060CBC5" w14:textId="77777777" w:rsidR="00DC773D" w:rsidRPr="000713F0" w:rsidRDefault="00DC773D" w:rsidP="00302FFD">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s-ES"/>
              </w:rPr>
            </w:pPr>
            <m:oMathPara>
              <m:oMath>
                <m:f>
                  <m:fPr>
                    <m:ctrlPr>
                      <w:rPr>
                        <w:rFonts w:ascii="Cambria Math" w:hAnsi="Cambria Math" w:cs="Calibri"/>
                        <w:sz w:val="20"/>
                        <w:szCs w:val="20"/>
                        <w:lang w:val="es-ES"/>
                      </w:rPr>
                    </m:ctrlPr>
                  </m:fPr>
                  <m:num>
                    <m:r>
                      <w:rPr>
                        <w:rFonts w:ascii="Cambria Math" w:hAnsi="Cambria Math" w:cs="Calibri"/>
                        <w:sz w:val="20"/>
                        <w:szCs w:val="20"/>
                        <w:lang w:val="es-ES"/>
                      </w:rPr>
                      <m:t>1</m:t>
                    </m:r>
                  </m:num>
                  <m:den>
                    <m:r>
                      <w:rPr>
                        <w:rFonts w:ascii="Cambria Math" w:hAnsi="Cambria Math" w:cs="Calibri"/>
                        <w:sz w:val="20"/>
                        <w:szCs w:val="20"/>
                        <w:lang w:val="es-ES"/>
                      </w:rPr>
                      <m:t>n</m:t>
                    </m:r>
                  </m:den>
                </m:f>
                <m:nary>
                  <m:naryPr>
                    <m:chr m:val="∑"/>
                    <m:grow m:val="1"/>
                    <m:ctrlPr>
                      <w:rPr>
                        <w:rFonts w:ascii="Cambria Math" w:hAnsi="Cambria Math" w:cs="Calibri"/>
                        <w:sz w:val="20"/>
                        <w:szCs w:val="20"/>
                        <w:lang w:val="es-ES"/>
                      </w:rPr>
                    </m:ctrlPr>
                  </m:naryPr>
                  <m:sub/>
                  <m:sup/>
                  <m:e>
                    <m:r>
                      <m:rPr>
                        <m:sty m:val="p"/>
                      </m:rPr>
                      <w:rPr>
                        <w:rFonts w:ascii="Cambria Math" w:hAnsi="Cambria Math" w:cs="Calibri"/>
                        <w:sz w:val="20"/>
                        <w:szCs w:val="20"/>
                        <w:lang w:val="es-ES"/>
                      </w:rPr>
                      <m:t>|</m:t>
                    </m:r>
                    <m:sSup>
                      <m:sSupPr>
                        <m:ctrlPr>
                          <w:rPr>
                            <w:rFonts w:ascii="Cambria Math" w:hAnsi="Cambria Math" w:cs="Calibri"/>
                            <w:sz w:val="20"/>
                            <w:szCs w:val="20"/>
                            <w:lang w:val="es-ES"/>
                          </w:rPr>
                        </m:ctrlPr>
                      </m:sSupPr>
                      <m:e>
                        <m:r>
                          <m:rPr>
                            <m:sty m:val="p"/>
                          </m:rPr>
                          <w:rPr>
                            <w:rFonts w:ascii="Cambria Math" w:hAnsi="Cambria Math" w:cs="Calibri"/>
                            <w:sz w:val="20"/>
                            <w:szCs w:val="20"/>
                            <w:lang w:val="es-ES"/>
                          </w:rPr>
                          <m:t>y</m:t>
                        </m:r>
                      </m:e>
                      <m:sup>
                        <m:r>
                          <m:rPr>
                            <m:sty m:val="p"/>
                          </m:rPr>
                          <w:rPr>
                            <w:rFonts w:ascii="Cambria Math" w:hAnsi="Cambria Math" w:cs="Calibri"/>
                            <w:sz w:val="20"/>
                            <w:szCs w:val="20"/>
                            <w:lang w:val="es-ES"/>
                          </w:rPr>
                          <m:t>'</m:t>
                        </m:r>
                      </m:sup>
                    </m:sSup>
                    <m:r>
                      <m:rPr>
                        <m:sty m:val="p"/>
                      </m:rPr>
                      <w:rPr>
                        <w:rFonts w:ascii="Cambria Math" w:hAnsi="Cambria Math" w:cs="Calibri"/>
                        <w:sz w:val="20"/>
                        <w:szCs w:val="20"/>
                        <w:lang w:val="es-ES"/>
                      </w:rPr>
                      <m:t>-y|</m:t>
                    </m:r>
                  </m:e>
                </m:nary>
              </m:oMath>
            </m:oMathPara>
          </w:p>
        </w:tc>
      </w:tr>
    </w:tbl>
    <w:p w14:paraId="413B4314" w14:textId="77777777" w:rsidR="00DC773D" w:rsidRDefault="00DC773D" w:rsidP="00DC773D">
      <w:pPr>
        <w:spacing w:line="360" w:lineRule="auto"/>
        <w:rPr>
          <w:rFonts w:ascii="Calibri" w:hAnsi="Calibri" w:cs="Calibri"/>
          <w:b/>
          <w:bCs/>
          <w:sz w:val="20"/>
          <w:szCs w:val="20"/>
        </w:rPr>
      </w:pPr>
    </w:p>
    <w:p w14:paraId="2665DC66" w14:textId="398F1592" w:rsidR="00DC773D" w:rsidRPr="000713F0" w:rsidRDefault="00DC773D" w:rsidP="00DC773D">
      <w:pPr>
        <w:spacing w:line="360" w:lineRule="auto"/>
        <w:rPr>
          <w:rFonts w:ascii="Calibri" w:hAnsi="Calibri" w:cs="Calibri"/>
          <w:sz w:val="20"/>
          <w:szCs w:val="20"/>
        </w:rPr>
      </w:pPr>
      <w:r w:rsidRPr="000713F0">
        <w:rPr>
          <w:rFonts w:ascii="Calibri" w:hAnsi="Calibri" w:cs="Calibri"/>
          <w:b/>
          <w:bCs/>
          <w:sz w:val="20"/>
          <w:szCs w:val="20"/>
        </w:rPr>
        <w:t xml:space="preserve">TP: </w:t>
      </w:r>
      <w:r w:rsidRPr="000713F0">
        <w:rPr>
          <w:rFonts w:ascii="Calibri" w:hAnsi="Calibri" w:cs="Calibri"/>
          <w:sz w:val="20"/>
          <w:szCs w:val="20"/>
        </w:rPr>
        <w:t>True Positive,</w:t>
      </w:r>
      <w:r w:rsidRPr="000713F0">
        <w:rPr>
          <w:rFonts w:ascii="Calibri" w:hAnsi="Calibri" w:cs="Calibri"/>
          <w:b/>
          <w:bCs/>
          <w:sz w:val="20"/>
          <w:szCs w:val="20"/>
        </w:rPr>
        <w:t xml:space="preserve"> TN:</w:t>
      </w:r>
      <w:r w:rsidRPr="000713F0">
        <w:rPr>
          <w:rFonts w:ascii="Calibri" w:hAnsi="Calibri" w:cs="Calibri"/>
          <w:sz w:val="20"/>
          <w:szCs w:val="20"/>
        </w:rPr>
        <w:t xml:space="preserve"> True Negative, </w:t>
      </w:r>
      <w:r w:rsidRPr="000713F0">
        <w:rPr>
          <w:rFonts w:ascii="Calibri" w:hAnsi="Calibri" w:cs="Calibri"/>
          <w:b/>
          <w:bCs/>
          <w:sz w:val="20"/>
          <w:szCs w:val="20"/>
        </w:rPr>
        <w:t>FP: False</w:t>
      </w:r>
      <w:r w:rsidRPr="000713F0">
        <w:rPr>
          <w:rFonts w:ascii="Calibri" w:hAnsi="Calibri" w:cs="Calibri"/>
          <w:sz w:val="20"/>
          <w:szCs w:val="20"/>
        </w:rPr>
        <w:t xml:space="preserve"> Positive, </w:t>
      </w:r>
      <w:r w:rsidRPr="000713F0">
        <w:rPr>
          <w:rFonts w:ascii="Calibri" w:hAnsi="Calibri" w:cs="Calibri"/>
          <w:b/>
          <w:bCs/>
          <w:sz w:val="20"/>
          <w:szCs w:val="20"/>
        </w:rPr>
        <w:t>FN:</w:t>
      </w:r>
      <w:r w:rsidRPr="000713F0">
        <w:rPr>
          <w:rFonts w:ascii="Calibri" w:hAnsi="Calibri" w:cs="Calibri"/>
          <w:sz w:val="20"/>
          <w:szCs w:val="20"/>
        </w:rPr>
        <w:t xml:space="preserve"> False Negative, </w:t>
      </w:r>
      <w:r w:rsidRPr="000713F0">
        <w:rPr>
          <w:rFonts w:ascii="Calibri" w:hAnsi="Calibri" w:cs="Calibri"/>
          <w:b/>
          <w:bCs/>
          <w:sz w:val="20"/>
          <w:szCs w:val="20"/>
        </w:rPr>
        <w:t>AUC-ROC:</w:t>
      </w:r>
      <w:r w:rsidRPr="000713F0">
        <w:rPr>
          <w:rFonts w:ascii="Calibri" w:hAnsi="Calibri" w:cs="Calibri"/>
          <w:sz w:val="20"/>
          <w:szCs w:val="20"/>
        </w:rPr>
        <w:t xml:space="preserve"> Area Under the Receiver Operating Characteristic Curve, </w:t>
      </w:r>
      <m:oMath>
        <m:sSub>
          <m:sSubPr>
            <m:ctrlPr>
              <w:rPr>
                <w:rFonts w:ascii="Cambria Math" w:hAnsi="Cambria Math" w:cs="Calibri"/>
                <w:b/>
                <w:bCs/>
                <w:i/>
                <w:sz w:val="20"/>
                <w:szCs w:val="20"/>
              </w:rPr>
            </m:ctrlPr>
          </m:sSubPr>
          <m:e>
            <m:r>
              <m:rPr>
                <m:sty m:val="bi"/>
              </m:rPr>
              <w:rPr>
                <w:rFonts w:ascii="Cambria Math" w:hAnsi="Cambria Math" w:cs="Calibri"/>
                <w:sz w:val="20"/>
                <w:szCs w:val="20"/>
              </w:rPr>
              <m:t>p</m:t>
            </m:r>
          </m:e>
          <m:sub>
            <m:r>
              <m:rPr>
                <m:sty m:val="bi"/>
              </m:rPr>
              <w:rPr>
                <w:rFonts w:ascii="Cambria Math" w:hAnsi="Cambria Math" w:cs="Calibri"/>
                <w:sz w:val="20"/>
                <w:szCs w:val="20"/>
              </w:rPr>
              <m:t>0</m:t>
            </m:r>
          </m:sub>
        </m:sSub>
      </m:oMath>
      <w:r w:rsidRPr="000713F0">
        <w:rPr>
          <w:rFonts w:ascii="Calibri" w:eastAsiaTheme="minorEastAsia" w:hAnsi="Calibri" w:cs="Calibri"/>
          <w:sz w:val="20"/>
          <w:szCs w:val="20"/>
        </w:rPr>
        <w:t xml:space="preserve">: relative observed agreement among raters, </w:t>
      </w:r>
      <m:oMath>
        <m:sSub>
          <m:sSubPr>
            <m:ctrlPr>
              <w:rPr>
                <w:rFonts w:ascii="Cambria Math" w:eastAsiaTheme="minorEastAsia" w:hAnsi="Cambria Math" w:cs="Calibri"/>
                <w:b/>
                <w:bCs/>
                <w:i/>
                <w:sz w:val="20"/>
                <w:szCs w:val="20"/>
              </w:rPr>
            </m:ctrlPr>
          </m:sSubPr>
          <m:e>
            <m:r>
              <m:rPr>
                <m:sty m:val="bi"/>
              </m:rPr>
              <w:rPr>
                <w:rFonts w:ascii="Cambria Math" w:eastAsiaTheme="minorEastAsia" w:hAnsi="Cambria Math" w:cs="Calibri"/>
                <w:sz w:val="20"/>
                <w:szCs w:val="20"/>
              </w:rPr>
              <m:t>p</m:t>
            </m:r>
          </m:e>
          <m:sub>
            <m:r>
              <m:rPr>
                <m:sty m:val="bi"/>
              </m:rPr>
              <w:rPr>
                <w:rFonts w:ascii="Cambria Math" w:eastAsiaTheme="minorEastAsia" w:hAnsi="Cambria Math" w:cs="Calibri"/>
                <w:sz w:val="20"/>
                <w:szCs w:val="20"/>
              </w:rPr>
              <m:t>e</m:t>
            </m:r>
          </m:sub>
        </m:sSub>
      </m:oMath>
      <w:r w:rsidRPr="000713F0">
        <w:rPr>
          <w:rFonts w:ascii="Calibri" w:eastAsiaTheme="minorEastAsia" w:hAnsi="Calibri" w:cs="Calibri"/>
          <w:sz w:val="20"/>
          <w:szCs w:val="20"/>
        </w:rPr>
        <w:t>:</w:t>
      </w:r>
      <w:r w:rsidRPr="000713F0">
        <w:rPr>
          <w:rFonts w:ascii="Calibri" w:hAnsi="Calibri" w:cs="Calibri"/>
          <w:sz w:val="20"/>
          <w:szCs w:val="20"/>
        </w:rPr>
        <w:t xml:space="preserve"> </w:t>
      </w:r>
      <w:r w:rsidRPr="000713F0">
        <w:rPr>
          <w:rFonts w:ascii="Calibri" w:eastAsiaTheme="minorEastAsia" w:hAnsi="Calibri" w:cs="Calibri"/>
          <w:sz w:val="20"/>
          <w:szCs w:val="20"/>
        </w:rPr>
        <w:t>hypothetical probability of chance agreement.</w:t>
      </w:r>
    </w:p>
    <w:p w14:paraId="1DBC1818" w14:textId="77777777" w:rsidR="00DC773D" w:rsidRDefault="00DC773D"/>
    <w:sectPr w:rsidR="00DC773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354B9C" w14:textId="77777777" w:rsidR="00DC773D" w:rsidRDefault="00DC773D" w:rsidP="00DC773D">
      <w:pPr>
        <w:spacing w:after="0" w:line="240" w:lineRule="auto"/>
      </w:pPr>
      <w:r>
        <w:separator/>
      </w:r>
    </w:p>
  </w:endnote>
  <w:endnote w:type="continuationSeparator" w:id="0">
    <w:p w14:paraId="6E99B8E9" w14:textId="77777777" w:rsidR="00DC773D" w:rsidRDefault="00DC773D" w:rsidP="00DC7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C4B8C6" w14:textId="77777777" w:rsidR="00DC773D" w:rsidRDefault="00DC773D" w:rsidP="00DC773D">
      <w:pPr>
        <w:spacing w:after="0" w:line="240" w:lineRule="auto"/>
      </w:pPr>
      <w:r>
        <w:separator/>
      </w:r>
    </w:p>
  </w:footnote>
  <w:footnote w:type="continuationSeparator" w:id="0">
    <w:p w14:paraId="69ECBD39" w14:textId="77777777" w:rsidR="00DC773D" w:rsidRDefault="00DC773D" w:rsidP="00DC7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9B535E" w14:textId="77777777" w:rsidR="00DC773D" w:rsidRDefault="00DC773D">
    <w:pPr>
      <w:pStyle w:val="Header"/>
    </w:pPr>
  </w:p>
  <w:p w14:paraId="5D6C78B8" w14:textId="77777777" w:rsidR="00DC773D" w:rsidRDefault="00DC773D">
    <w:pPr>
      <w:pStyle w:val="Header"/>
    </w:pPr>
  </w:p>
  <w:p w14:paraId="704A179D" w14:textId="77777777" w:rsidR="00DC773D" w:rsidRDefault="00DC773D">
    <w:pPr>
      <w:pStyle w:val="Header"/>
    </w:pPr>
  </w:p>
  <w:p w14:paraId="678986FB" w14:textId="77777777" w:rsidR="00DC773D" w:rsidRDefault="00DC773D">
    <w:pPr>
      <w:pStyle w:val="Header"/>
    </w:pPr>
  </w:p>
  <w:p w14:paraId="48343A7F" w14:textId="77777777" w:rsidR="00DC773D" w:rsidRDefault="00DC773D">
    <w:pPr>
      <w:pStyle w:val="Header"/>
    </w:pPr>
  </w:p>
  <w:p w14:paraId="375F6B3A" w14:textId="77777777" w:rsidR="00DC773D" w:rsidRDefault="00DC773D">
    <w:pPr>
      <w:pStyle w:val="Header"/>
    </w:pPr>
  </w:p>
  <w:p w14:paraId="6235A62C" w14:textId="77777777" w:rsidR="00DC773D" w:rsidRDefault="00DC77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73D"/>
    <w:rsid w:val="00067FB1"/>
    <w:rsid w:val="008659DC"/>
    <w:rsid w:val="00DC77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D128A9"/>
  <w15:chartTrackingRefBased/>
  <w15:docId w15:val="{FFD6D6E7-4AAD-4C12-8B75-15F30505C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73D"/>
    <w:pPr>
      <w:spacing w:line="256" w:lineRule="auto"/>
    </w:pPr>
    <w:rPr>
      <w:kern w:val="0"/>
      <w14:ligatures w14:val="none"/>
    </w:rPr>
  </w:style>
  <w:style w:type="paragraph" w:styleId="Heading1">
    <w:name w:val="heading 1"/>
    <w:basedOn w:val="Normal"/>
    <w:next w:val="Normal"/>
    <w:link w:val="Heading1Char"/>
    <w:uiPriority w:val="9"/>
    <w:qFormat/>
    <w:rsid w:val="00DC773D"/>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C773D"/>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C773D"/>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C773D"/>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C773D"/>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C773D"/>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C773D"/>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C773D"/>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C773D"/>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7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77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77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77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77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77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77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77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773D"/>
    <w:rPr>
      <w:rFonts w:eastAsiaTheme="majorEastAsia" w:cstheme="majorBidi"/>
      <w:color w:val="272727" w:themeColor="text1" w:themeTint="D8"/>
    </w:rPr>
  </w:style>
  <w:style w:type="paragraph" w:styleId="Title">
    <w:name w:val="Title"/>
    <w:basedOn w:val="Normal"/>
    <w:next w:val="Normal"/>
    <w:link w:val="TitleChar"/>
    <w:uiPriority w:val="10"/>
    <w:qFormat/>
    <w:rsid w:val="00DC773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C77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773D"/>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C77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773D"/>
    <w:pPr>
      <w:spacing w:before="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DC773D"/>
    <w:rPr>
      <w:i/>
      <w:iCs/>
      <w:color w:val="404040" w:themeColor="text1" w:themeTint="BF"/>
    </w:rPr>
  </w:style>
  <w:style w:type="paragraph" w:styleId="ListParagraph">
    <w:name w:val="List Paragraph"/>
    <w:basedOn w:val="Normal"/>
    <w:uiPriority w:val="34"/>
    <w:qFormat/>
    <w:rsid w:val="00DC773D"/>
    <w:pPr>
      <w:spacing w:line="259" w:lineRule="auto"/>
      <w:ind w:left="720"/>
      <w:contextualSpacing/>
    </w:pPr>
    <w:rPr>
      <w:kern w:val="2"/>
      <w14:ligatures w14:val="standardContextual"/>
    </w:rPr>
  </w:style>
  <w:style w:type="character" w:styleId="IntenseEmphasis">
    <w:name w:val="Intense Emphasis"/>
    <w:basedOn w:val="DefaultParagraphFont"/>
    <w:uiPriority w:val="21"/>
    <w:qFormat/>
    <w:rsid w:val="00DC773D"/>
    <w:rPr>
      <w:i/>
      <w:iCs/>
      <w:color w:val="0F4761" w:themeColor="accent1" w:themeShade="BF"/>
    </w:rPr>
  </w:style>
  <w:style w:type="paragraph" w:styleId="IntenseQuote">
    <w:name w:val="Intense Quote"/>
    <w:basedOn w:val="Normal"/>
    <w:next w:val="Normal"/>
    <w:link w:val="IntenseQuoteChar"/>
    <w:uiPriority w:val="30"/>
    <w:qFormat/>
    <w:rsid w:val="00DC773D"/>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C773D"/>
    <w:rPr>
      <w:i/>
      <w:iCs/>
      <w:color w:val="0F4761" w:themeColor="accent1" w:themeShade="BF"/>
    </w:rPr>
  </w:style>
  <w:style w:type="character" w:styleId="IntenseReference">
    <w:name w:val="Intense Reference"/>
    <w:basedOn w:val="DefaultParagraphFont"/>
    <w:uiPriority w:val="32"/>
    <w:qFormat/>
    <w:rsid w:val="00DC773D"/>
    <w:rPr>
      <w:b/>
      <w:bCs/>
      <w:smallCaps/>
      <w:color w:val="0F4761" w:themeColor="accent1" w:themeShade="BF"/>
      <w:spacing w:val="5"/>
    </w:rPr>
  </w:style>
  <w:style w:type="table" w:customStyle="1" w:styleId="GridTable42">
    <w:name w:val="Grid Table 42"/>
    <w:basedOn w:val="TableNormal"/>
    <w:next w:val="GridTable4"/>
    <w:uiPriority w:val="49"/>
    <w:rsid w:val="00DC773D"/>
    <w:pPr>
      <w:spacing w:after="0" w:line="240" w:lineRule="auto"/>
    </w:pPr>
    <w:rPr>
      <w:kern w:val="0"/>
      <w:sz w:val="24"/>
      <w:szCs w:val="24"/>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
    <w:name w:val="Grid Table 4"/>
    <w:basedOn w:val="TableNormal"/>
    <w:uiPriority w:val="49"/>
    <w:rsid w:val="00DC773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DC77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73D"/>
    <w:rPr>
      <w:kern w:val="0"/>
      <w14:ligatures w14:val="none"/>
    </w:rPr>
  </w:style>
  <w:style w:type="paragraph" w:styleId="Footer">
    <w:name w:val="footer"/>
    <w:basedOn w:val="Normal"/>
    <w:link w:val="FooterChar"/>
    <w:uiPriority w:val="99"/>
    <w:unhideWhenUsed/>
    <w:rsid w:val="00DC77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773D"/>
    <w:rPr>
      <w:kern w:val="0"/>
      <w14:ligatures w14:val="none"/>
    </w:rPr>
  </w:style>
  <w:style w:type="table" w:styleId="PlainTable1">
    <w:name w:val="Plain Table 1"/>
    <w:basedOn w:val="TableNormal"/>
    <w:uiPriority w:val="41"/>
    <w:rsid w:val="00DC773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642</Words>
  <Characters>3818</Characters>
  <Application>Microsoft Office Word</Application>
  <DocSecurity>0</DocSecurity>
  <Lines>172</Lines>
  <Paragraphs>72</Paragraphs>
  <ScaleCrop>false</ScaleCrop>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 ourang</dc:creator>
  <cp:keywords/>
  <dc:description/>
  <cp:lastModifiedBy>Amir ourang</cp:lastModifiedBy>
  <cp:revision>1</cp:revision>
  <dcterms:created xsi:type="dcterms:W3CDTF">2024-11-04T16:30:00Z</dcterms:created>
  <dcterms:modified xsi:type="dcterms:W3CDTF">2024-11-04T16:40:00Z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2401a328-ec84-4c9c-a22a-06fdee0de3d6</vt:lpwstr>
  </property>
</Properties>
</file>