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15D50" w14:textId="6E5B29F7" w:rsidR="00E479BE" w:rsidRDefault="00000000">
      <w:pPr>
        <w:tabs>
          <w:tab w:val="left" w:pos="709"/>
        </w:tabs>
        <w:rPr>
          <w:rFonts w:ascii="Times New Roman" w:hAnsi="Times New Roman" w:cs="Times New Roman" w:hint="eastAsia"/>
          <w:sz w:val="20"/>
          <w:szCs w:val="20"/>
        </w:rPr>
      </w:pPr>
      <w:r>
        <w:rPr>
          <w:rFonts w:ascii="Times New Roman" w:eastAsia="等线" w:hAnsi="Times New Roman" w:cs="Times New Roman"/>
          <w:sz w:val="20"/>
          <w:szCs w:val="20"/>
          <w:lang w:bidi="ar"/>
        </w:rPr>
        <w:t>Supplementary Material 1</w:t>
      </w:r>
      <w:r>
        <w:rPr>
          <w:rFonts w:ascii="Times New Roman" w:eastAsia="等线" w:hAnsi="Times New Roman" w:cs="Times New Roman" w:hint="eastAsia"/>
          <w:sz w:val="20"/>
          <w:szCs w:val="20"/>
          <w:lang w:bidi="ar"/>
        </w:rPr>
        <w:t xml:space="preserve"> </w:t>
      </w:r>
      <w:r>
        <w:rPr>
          <w:rFonts w:ascii="Times New Roman" w:hAnsi="Times New Roman" w:cs="Times New Roman"/>
          <w:sz w:val="20"/>
          <w:szCs w:val="20"/>
        </w:rPr>
        <w:t>Indicators of periodontal status and methods of assessment</w:t>
      </w:r>
    </w:p>
    <w:tbl>
      <w:tblPr>
        <w:tblW w:w="8429" w:type="dxa"/>
        <w:tblInd w:w="93" w:type="dxa"/>
        <w:tblLayout w:type="fixed"/>
        <w:tblLook w:val="04A0" w:firstRow="1" w:lastRow="0" w:firstColumn="1" w:lastColumn="0" w:noHBand="0" w:noVBand="1"/>
      </w:tblPr>
      <w:tblGrid>
        <w:gridCol w:w="2127"/>
        <w:gridCol w:w="6302"/>
      </w:tblGrid>
      <w:tr w:rsidR="00E479BE" w14:paraId="69CD0054" w14:textId="77777777">
        <w:trPr>
          <w:trHeight w:val="540"/>
        </w:trPr>
        <w:tc>
          <w:tcPr>
            <w:tcW w:w="2127" w:type="dxa"/>
            <w:tcBorders>
              <w:top w:val="single" w:sz="12" w:space="0" w:color="000000"/>
              <w:left w:val="nil"/>
              <w:bottom w:val="single" w:sz="4" w:space="0" w:color="000000"/>
              <w:right w:val="nil"/>
            </w:tcBorders>
            <w:shd w:val="clear" w:color="auto" w:fill="auto"/>
            <w:noWrap/>
            <w:vAlign w:val="center"/>
          </w:tcPr>
          <w:p w14:paraId="191933C2" w14:textId="77777777" w:rsidR="00E479B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Periodontal Index</w:t>
            </w:r>
          </w:p>
        </w:tc>
        <w:tc>
          <w:tcPr>
            <w:tcW w:w="6302" w:type="dxa"/>
            <w:tcBorders>
              <w:top w:val="single" w:sz="12" w:space="0" w:color="000000"/>
              <w:left w:val="nil"/>
              <w:bottom w:val="single" w:sz="4" w:space="0" w:color="000000"/>
              <w:right w:val="nil"/>
            </w:tcBorders>
            <w:shd w:val="clear" w:color="auto" w:fill="auto"/>
            <w:noWrap/>
            <w:vAlign w:val="center"/>
          </w:tcPr>
          <w:p w14:paraId="5BF955AA" w14:textId="77777777" w:rsidR="00E479B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Evaluation Method</w:t>
            </w:r>
          </w:p>
        </w:tc>
      </w:tr>
      <w:tr w:rsidR="00E479BE" w14:paraId="5B20428E" w14:textId="77777777">
        <w:trPr>
          <w:trHeight w:val="1400"/>
        </w:trPr>
        <w:tc>
          <w:tcPr>
            <w:tcW w:w="2127" w:type="dxa"/>
            <w:tcBorders>
              <w:top w:val="nil"/>
              <w:left w:val="nil"/>
              <w:bottom w:val="nil"/>
              <w:right w:val="nil"/>
            </w:tcBorders>
            <w:shd w:val="clear" w:color="auto" w:fill="auto"/>
            <w:noWrap/>
            <w:vAlign w:val="center"/>
          </w:tcPr>
          <w:p w14:paraId="6B387D32" w14:textId="77777777" w:rsidR="00E479B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Attachment Level Loss</w:t>
            </w:r>
          </w:p>
        </w:tc>
        <w:tc>
          <w:tcPr>
            <w:tcW w:w="6302" w:type="dxa"/>
            <w:tcBorders>
              <w:top w:val="nil"/>
              <w:left w:val="nil"/>
              <w:bottom w:val="nil"/>
              <w:right w:val="nil"/>
            </w:tcBorders>
            <w:shd w:val="clear" w:color="auto" w:fill="auto"/>
            <w:noWrap/>
          </w:tcPr>
          <w:p w14:paraId="5341D32E" w14:textId="77777777" w:rsidR="00E479BE" w:rsidRDefault="00000000">
            <w:pPr>
              <w:widowControl/>
              <w:textAlignment w:val="top"/>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Use a calibrated periodontal probe to measure from the cementoenamel junction to the bottom of the periodontal pocket at multiple sites around each tooth, and calculate the average value.</w:t>
            </w:r>
          </w:p>
        </w:tc>
      </w:tr>
      <w:tr w:rsidR="00E479BE" w14:paraId="67D95A15" w14:textId="77777777">
        <w:trPr>
          <w:trHeight w:val="1400"/>
        </w:trPr>
        <w:tc>
          <w:tcPr>
            <w:tcW w:w="2127" w:type="dxa"/>
            <w:tcBorders>
              <w:top w:val="nil"/>
              <w:left w:val="nil"/>
              <w:bottom w:val="nil"/>
              <w:right w:val="nil"/>
            </w:tcBorders>
            <w:shd w:val="clear" w:color="auto" w:fill="auto"/>
            <w:noWrap/>
            <w:vAlign w:val="center"/>
          </w:tcPr>
          <w:p w14:paraId="679EB074" w14:textId="77777777" w:rsidR="00E479B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Degree of Bone Resorption</w:t>
            </w:r>
          </w:p>
        </w:tc>
        <w:tc>
          <w:tcPr>
            <w:tcW w:w="6302" w:type="dxa"/>
            <w:tcBorders>
              <w:top w:val="nil"/>
              <w:left w:val="nil"/>
              <w:bottom w:val="nil"/>
              <w:right w:val="nil"/>
            </w:tcBorders>
            <w:shd w:val="clear" w:color="auto" w:fill="auto"/>
            <w:noWrap/>
          </w:tcPr>
          <w:p w14:paraId="39D5A794" w14:textId="77777777" w:rsidR="00E479BE" w:rsidRDefault="00000000">
            <w:pPr>
              <w:widowControl/>
              <w:textAlignment w:val="top"/>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Examine through dental X - rays (such as periapical films or panoramic films) by professional dentists or radiologists. Measure the proportion of bone resorption relative to the root length.</w:t>
            </w:r>
          </w:p>
        </w:tc>
      </w:tr>
      <w:tr w:rsidR="00E479BE" w14:paraId="45A69933" w14:textId="77777777">
        <w:trPr>
          <w:trHeight w:val="1400"/>
        </w:trPr>
        <w:tc>
          <w:tcPr>
            <w:tcW w:w="2127" w:type="dxa"/>
            <w:tcBorders>
              <w:top w:val="nil"/>
              <w:left w:val="nil"/>
              <w:bottom w:val="nil"/>
              <w:right w:val="nil"/>
            </w:tcBorders>
            <w:shd w:val="clear" w:color="auto" w:fill="auto"/>
            <w:noWrap/>
            <w:vAlign w:val="center"/>
          </w:tcPr>
          <w:p w14:paraId="56A53A8D" w14:textId="77777777" w:rsidR="00E479B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Periodontal Probing Depth</w:t>
            </w:r>
          </w:p>
        </w:tc>
        <w:tc>
          <w:tcPr>
            <w:tcW w:w="6302" w:type="dxa"/>
            <w:tcBorders>
              <w:top w:val="nil"/>
              <w:left w:val="nil"/>
              <w:bottom w:val="nil"/>
              <w:right w:val="nil"/>
            </w:tcBorders>
            <w:shd w:val="clear" w:color="auto" w:fill="auto"/>
            <w:noWrap/>
          </w:tcPr>
          <w:p w14:paraId="5B6B33B4" w14:textId="77777777" w:rsidR="00E479BE" w:rsidRDefault="00000000">
            <w:pPr>
              <w:widowControl/>
              <w:textAlignment w:val="top"/>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Gently insert the periodontal probe into the periodontal pocket until resistance is felt. Record the depth at multiple sites of each tooth and calculate the average value.</w:t>
            </w:r>
          </w:p>
        </w:tc>
      </w:tr>
      <w:tr w:rsidR="00E479BE" w14:paraId="52A452EA" w14:textId="77777777">
        <w:trPr>
          <w:trHeight w:val="1780"/>
        </w:trPr>
        <w:tc>
          <w:tcPr>
            <w:tcW w:w="2127" w:type="dxa"/>
            <w:tcBorders>
              <w:top w:val="nil"/>
              <w:left w:val="nil"/>
              <w:bottom w:val="nil"/>
              <w:right w:val="nil"/>
            </w:tcBorders>
            <w:shd w:val="clear" w:color="auto" w:fill="auto"/>
            <w:noWrap/>
            <w:vAlign w:val="center"/>
          </w:tcPr>
          <w:p w14:paraId="1522DC19" w14:textId="77777777" w:rsidR="00E479B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Tooth Mobility</w:t>
            </w:r>
          </w:p>
        </w:tc>
        <w:tc>
          <w:tcPr>
            <w:tcW w:w="6302" w:type="dxa"/>
            <w:tcBorders>
              <w:top w:val="nil"/>
              <w:left w:val="nil"/>
              <w:bottom w:val="nil"/>
              <w:right w:val="nil"/>
            </w:tcBorders>
            <w:shd w:val="clear" w:color="auto" w:fill="auto"/>
            <w:noWrap/>
          </w:tcPr>
          <w:p w14:paraId="11A1C368" w14:textId="77777777" w:rsidR="00E479BE" w:rsidRDefault="00000000">
            <w:pPr>
              <w:widowControl/>
              <w:textAlignment w:val="top"/>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Gently hold the tooth with dental forceps and attempt to move the tooth in the buccolingual and mesiodistal directions. Judge the tooth mobility according to the degree of loosening. Grade Ⅰ mobility means the loosening range does not exceed 1mm; Grade Ⅱ mobility has a loosening range between 1 - 2mm; Grade Ⅲ mobility has a loosening range greater than 2mm.</w:t>
            </w:r>
          </w:p>
        </w:tc>
      </w:tr>
      <w:tr w:rsidR="00E479BE" w14:paraId="10F1E4A1" w14:textId="77777777">
        <w:trPr>
          <w:trHeight w:val="1400"/>
        </w:trPr>
        <w:tc>
          <w:tcPr>
            <w:tcW w:w="2127" w:type="dxa"/>
            <w:tcBorders>
              <w:top w:val="nil"/>
              <w:left w:val="nil"/>
              <w:bottom w:val="nil"/>
              <w:right w:val="nil"/>
            </w:tcBorders>
            <w:shd w:val="clear" w:color="auto" w:fill="auto"/>
            <w:noWrap/>
            <w:vAlign w:val="center"/>
          </w:tcPr>
          <w:p w14:paraId="656885FE" w14:textId="77777777" w:rsidR="00E479B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Gingival Health Status</w:t>
            </w:r>
          </w:p>
        </w:tc>
        <w:tc>
          <w:tcPr>
            <w:tcW w:w="6302" w:type="dxa"/>
            <w:tcBorders>
              <w:top w:val="nil"/>
              <w:left w:val="nil"/>
              <w:bottom w:val="nil"/>
              <w:right w:val="nil"/>
            </w:tcBorders>
            <w:shd w:val="clear" w:color="auto" w:fill="auto"/>
            <w:noWrap/>
          </w:tcPr>
          <w:p w14:paraId="7A57950D" w14:textId="77777777" w:rsidR="00E479BE" w:rsidRDefault="00000000">
            <w:pPr>
              <w:widowControl/>
              <w:textAlignment w:val="top"/>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Directly observe with the naked eye and gently touch the gingiva with gloved fingers or dental instruments to check the color, texture, and look for signs of inflammation such as redness, swelling, pain, and bleeding.</w:t>
            </w:r>
          </w:p>
        </w:tc>
      </w:tr>
      <w:tr w:rsidR="00E479BE" w14:paraId="2BCD0030" w14:textId="77777777">
        <w:trPr>
          <w:trHeight w:val="1260"/>
        </w:trPr>
        <w:tc>
          <w:tcPr>
            <w:tcW w:w="2127" w:type="dxa"/>
            <w:tcBorders>
              <w:top w:val="nil"/>
              <w:left w:val="nil"/>
              <w:bottom w:val="single" w:sz="12" w:space="0" w:color="000000"/>
              <w:right w:val="nil"/>
            </w:tcBorders>
            <w:shd w:val="clear" w:color="auto" w:fill="auto"/>
            <w:noWrap/>
            <w:vAlign w:val="center"/>
          </w:tcPr>
          <w:p w14:paraId="728EF901" w14:textId="77777777" w:rsidR="00E479B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Presence of Untreated Dental Caries</w:t>
            </w:r>
          </w:p>
        </w:tc>
        <w:tc>
          <w:tcPr>
            <w:tcW w:w="6302" w:type="dxa"/>
            <w:tcBorders>
              <w:top w:val="nil"/>
              <w:left w:val="nil"/>
              <w:bottom w:val="single" w:sz="12" w:space="0" w:color="000000"/>
              <w:right w:val="nil"/>
            </w:tcBorders>
            <w:shd w:val="clear" w:color="auto" w:fill="auto"/>
            <w:noWrap/>
          </w:tcPr>
          <w:p w14:paraId="1A05BC7C" w14:textId="77777777" w:rsidR="00E479BE" w:rsidRDefault="00000000">
            <w:pPr>
              <w:widowControl/>
              <w:textAlignment w:val="top"/>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Through clinical examination, use a dental mirror and probe to check for the presence of caries cavities or demineralization signs. Also, use X - rays to detect potentially hidden carious lesions.</w:t>
            </w:r>
          </w:p>
        </w:tc>
      </w:tr>
    </w:tbl>
    <w:p w14:paraId="085310FF" w14:textId="77777777" w:rsidR="00E479BE" w:rsidRDefault="00E479BE">
      <w:pPr>
        <w:tabs>
          <w:tab w:val="left" w:pos="709"/>
        </w:tabs>
      </w:pPr>
    </w:p>
    <w:sectPr w:rsidR="00E479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FD98F" w14:textId="77777777" w:rsidR="001A1125" w:rsidRDefault="001A1125" w:rsidP="00FE4B4C">
      <w:r>
        <w:separator/>
      </w:r>
    </w:p>
  </w:endnote>
  <w:endnote w:type="continuationSeparator" w:id="0">
    <w:p w14:paraId="68A207F8" w14:textId="77777777" w:rsidR="001A1125" w:rsidRDefault="001A1125" w:rsidP="00FE4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01675" w14:textId="77777777" w:rsidR="001A1125" w:rsidRDefault="001A1125" w:rsidP="00FE4B4C">
      <w:r>
        <w:separator/>
      </w:r>
    </w:p>
  </w:footnote>
  <w:footnote w:type="continuationSeparator" w:id="0">
    <w:p w14:paraId="0A3E39C1" w14:textId="77777777" w:rsidR="001A1125" w:rsidRDefault="001A1125" w:rsidP="00FE4B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37D41B5"/>
    <w:rsid w:val="001A1125"/>
    <w:rsid w:val="00754C18"/>
    <w:rsid w:val="00B7062F"/>
    <w:rsid w:val="00BF25D9"/>
    <w:rsid w:val="00E479BE"/>
    <w:rsid w:val="00FE4B4C"/>
    <w:rsid w:val="437D4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1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E4B4C"/>
    <w:pPr>
      <w:tabs>
        <w:tab w:val="center" w:pos="4153"/>
        <w:tab w:val="right" w:pos="8306"/>
      </w:tabs>
      <w:snapToGrid w:val="0"/>
      <w:jc w:val="center"/>
    </w:pPr>
    <w:rPr>
      <w:sz w:val="18"/>
      <w:szCs w:val="18"/>
    </w:rPr>
  </w:style>
  <w:style w:type="character" w:customStyle="1" w:styleId="a4">
    <w:name w:val="页眉 字符"/>
    <w:basedOn w:val="a0"/>
    <w:link w:val="a3"/>
    <w:rsid w:val="00FE4B4C"/>
    <w:rPr>
      <w:rFonts w:asciiTheme="minorHAnsi" w:eastAsiaTheme="minorEastAsia" w:hAnsiTheme="minorHAnsi" w:cstheme="minorBidi"/>
      <w:kern w:val="2"/>
      <w:sz w:val="18"/>
      <w:szCs w:val="18"/>
    </w:rPr>
  </w:style>
  <w:style w:type="paragraph" w:styleId="a5">
    <w:name w:val="footer"/>
    <w:basedOn w:val="a"/>
    <w:link w:val="a6"/>
    <w:rsid w:val="00FE4B4C"/>
    <w:pPr>
      <w:tabs>
        <w:tab w:val="center" w:pos="4153"/>
        <w:tab w:val="right" w:pos="8306"/>
      </w:tabs>
      <w:snapToGrid w:val="0"/>
      <w:jc w:val="left"/>
    </w:pPr>
    <w:rPr>
      <w:sz w:val="18"/>
      <w:szCs w:val="18"/>
    </w:rPr>
  </w:style>
  <w:style w:type="character" w:customStyle="1" w:styleId="a6">
    <w:name w:val="页脚 字符"/>
    <w:basedOn w:val="a0"/>
    <w:link w:val="a5"/>
    <w:rsid w:val="00FE4B4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2025-01-20T09:14:00Z</dcterms:created>
  <dcterms:modified xsi:type="dcterms:W3CDTF">2025-01-20T09:14:00Z</dcterms:modified>
</cp:coreProperties>
</file>