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C2EDDE">
      <w:pPr>
        <w:widowControl/>
        <w:textAlignment w:val="center"/>
        <w:rPr>
          <w:rFonts w:hint="eastAsia" w:ascii="Times New Roman" w:hAnsi="Times New Roman" w:cs="Times New Roman"/>
          <w:b/>
          <w:bCs/>
          <w:color w:val="auto"/>
          <w:sz w:val="24"/>
          <w:szCs w:val="32"/>
          <w:highlight w:val="none"/>
          <w:lang w:val="en-US" w:eastAsia="zh-CN"/>
        </w:rPr>
      </w:pPr>
      <w:bookmarkStart w:id="0" w:name="_GoBack"/>
      <w:r>
        <w:rPr>
          <w:rFonts w:hint="eastAsia" w:ascii="Times New Roman" w:hAnsi="Times New Roman" w:cs="Times New Roman"/>
          <w:b/>
          <w:bCs/>
          <w:color w:val="auto"/>
          <w:sz w:val="24"/>
          <w:szCs w:val="32"/>
          <w:highlight w:val="none"/>
          <w:lang w:val="en-US" w:eastAsia="zh-CN"/>
        </w:rPr>
        <w:t>Supplementary Results</w:t>
      </w:r>
    </w:p>
    <w:p w14:paraId="2EBA98BB">
      <w:pPr>
        <w:widowControl/>
        <w:textAlignment w:val="center"/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lang w:bidi="ar"/>
        </w:rPr>
        <w:t>Sensitivity analysis</w:t>
      </w:r>
      <w:r>
        <w:rPr>
          <w:rFonts w:hint="eastAsia" w:ascii="Times New Roman" w:hAnsi="Times New Roman" w:eastAsia="宋体" w:cs="Times New Roman"/>
          <w:b/>
          <w:bCs/>
          <w:color w:val="auto"/>
          <w:kern w:val="0"/>
          <w:sz w:val="22"/>
          <w:szCs w:val="22"/>
          <w:lang w:val="en-US" w:eastAsia="zh-CN" w:bidi="ar"/>
        </w:rPr>
        <w:t xml:space="preserve"> of EBER-EBV DNA combination</w:t>
      </w:r>
    </w:p>
    <w:p w14:paraId="61E70867">
      <w:pPr>
        <w:widowControl/>
        <w:textAlignment w:val="center"/>
        <w:rPr>
          <w:rFonts w:ascii="Times New Roman" w:hAnsi="Times New Roman" w:eastAsia="宋体" w:cs="Times New Roman"/>
          <w:b/>
          <w:bCs/>
          <w:color w:val="auto"/>
          <w:kern w:val="0"/>
          <w:sz w:val="22"/>
          <w:szCs w:val="22"/>
          <w:lang w:bidi="ar"/>
        </w:rPr>
      </w:pP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Sensitivity analysis was performed after excluding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three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p16-positive patients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lang w:val="en-US" w:eastAsia="zh-CN"/>
        </w:rPr>
        <w:t>(2 in double-nagetive group and 1 in EBER-/EBV DNA+ group)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out of 51 EBER negative patients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Patients in the double-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nega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tive subgroup demonstrated a significantly higher risk of recurrence compared to those in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the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double-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posi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tive 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LRF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FS rate: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58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.7% [95% CI,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-91.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%] vs. 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 [95% CI, 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%-8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%],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&lt; 0.001)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, EBER+/EBV NDA-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LRF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FS rate: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58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.7% [95% CI,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-91.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%] vs.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92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5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% [95% CI,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9%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97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4%]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i w:val="0"/>
          <w:iCs w:val="0"/>
          <w:color w:val="auto"/>
          <w:sz w:val="24"/>
          <w:szCs w:val="32"/>
          <w:highlight w:val="none"/>
        </w:rPr>
        <w:t xml:space="preserve"> &lt; 0.001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and EBER-/EBV NDA+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subgroup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s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LRF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FS rate: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58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.7% [95% CI,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-91.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%] vs.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 [95% CI, 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2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7%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100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0%]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Furthermore, the double-negative subgroup also exhibited a significantly higher risk of mortality than the double-positive group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 rate: 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 [95% CI, 5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-100.0%] vs. 86.0% [95% CI, 83.8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-88.1%],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15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. Additionally, 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atients in the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EBER+/EBV DNA-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group exhibited higher survival rate, when compared to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the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double-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posi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tive 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 rate: 94.6% [95% CI, 90.4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-99.1%] vs. 86.0% [95% CI, 83.8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-88.1%],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16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,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double-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nega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tive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 rate: 94.6% [95% CI, 90.4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-99.1%] vs. 7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6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 [95% CI, 5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3%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-100.0%],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&lt;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01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and EBER-/EBV NDA+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subgroup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s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(5-year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O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S rate: 94.6% [95% CI, 90.4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-99.1%] vs. 86.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% [95% CI, 72.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1%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-100.0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%]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, </w:t>
      </w:r>
      <w:r>
        <w:rPr>
          <w:rFonts w:hint="eastAsia" w:ascii="Times New Roman" w:hAnsi="Times New Roman" w:cs="Times New Roman"/>
          <w:i/>
          <w:iCs/>
          <w:color w:val="auto"/>
          <w:sz w:val="24"/>
          <w:szCs w:val="32"/>
          <w:highlight w:val="none"/>
        </w:rPr>
        <w:t>P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=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 xml:space="preserve"> 0.0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>44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</w:rPr>
        <w:t>).</w:t>
      </w:r>
      <w:r>
        <w:rPr>
          <w:rFonts w:hint="eastAsia" w:ascii="Times New Roman" w:hAnsi="Times New Roman" w:cs="Times New Roman"/>
          <w:color w:val="auto"/>
          <w:sz w:val="24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auto"/>
          <w:kern w:val="0"/>
          <w:sz w:val="22"/>
          <w:szCs w:val="22"/>
          <w:lang w:bidi="ar"/>
        </w:rPr>
        <w:br w:type="page"/>
      </w:r>
    </w:p>
    <w:tbl>
      <w:tblPr>
        <w:tblStyle w:val="3"/>
        <w:tblW w:w="7026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10"/>
        <w:gridCol w:w="2000"/>
        <w:gridCol w:w="1882"/>
        <w:gridCol w:w="1034"/>
      </w:tblGrid>
      <w:tr w14:paraId="44AF41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035AC23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Baseline characteristics of patients with nasopharyngeal carcinoma, stratified by EBER status</w:t>
            </w:r>
          </w:p>
        </w:tc>
      </w:tr>
      <w:tr w14:paraId="04A2E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3C8AAE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200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994FF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EBER+ (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= 2891)</w:t>
            </w:r>
          </w:p>
        </w:tc>
        <w:tc>
          <w:tcPr>
            <w:tcW w:w="188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F28B0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EBER- (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= 51)</w:t>
            </w:r>
          </w:p>
        </w:tc>
        <w:tc>
          <w:tcPr>
            <w:tcW w:w="10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2AE74F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i/>
                <w:iCs/>
                <w:color w:val="auto"/>
                <w:sz w:val="24"/>
                <w:szCs w:val="32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</w:tr>
      <w:tr w14:paraId="49BEFF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7EEE1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Age (years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, range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886A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Style w:val="5"/>
                <w:rFonts w:eastAsia="宋体"/>
                <w:color w:val="auto"/>
                <w:sz w:val="22"/>
                <w:szCs w:val="22"/>
                <w:lang w:bidi="ar"/>
              </w:rPr>
              <w:t>49 (8</w:t>
            </w:r>
            <w:r>
              <w:rPr>
                <w:rStyle w:val="5"/>
                <w:rFonts w:hint="eastAsia" w:eastAsia="宋体"/>
                <w:color w:val="auto"/>
                <w:sz w:val="22"/>
                <w:szCs w:val="22"/>
                <w:lang w:val="en-US" w:eastAsia="zh-CN" w:bidi="ar"/>
              </w:rPr>
              <w:t>-</w:t>
            </w:r>
            <w:r>
              <w:rPr>
                <w:rStyle w:val="5"/>
                <w:rFonts w:eastAsia="宋体"/>
                <w:color w:val="auto"/>
                <w:sz w:val="22"/>
                <w:szCs w:val="22"/>
                <w:lang w:bidi="ar"/>
              </w:rPr>
              <w:t>87</w:t>
            </w:r>
            <w:r>
              <w:rPr>
                <w:rStyle w:val="6"/>
                <w:rFonts w:hint="default"/>
                <w:color w:val="auto"/>
                <w:sz w:val="22"/>
                <w:szCs w:val="22"/>
                <w:lang w:bidi="ar"/>
              </w:rPr>
              <w:t>）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FF70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51 (25-74)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6A81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0.276</w:t>
            </w:r>
          </w:p>
        </w:tc>
      </w:tr>
      <w:tr w14:paraId="2F677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EFC6B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Gender,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945FA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8174C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04496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0.018</w:t>
            </w:r>
          </w:p>
        </w:tc>
      </w:tr>
      <w:tr w14:paraId="6FA5B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5ECB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CE36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2129 (73.6)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D5BC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30 (58.8)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A1E0D2">
            <w:pPr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1F925F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D84E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2F1B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762 (26.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4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16A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21 (41.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C8821A">
            <w:pPr>
              <w:jc w:val="left"/>
              <w:rPr>
                <w:rFonts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1B582F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2C64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Histology,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E25F5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774A9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A976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14:paraId="738E67E2"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D68BC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Keratinizing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71E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2BD5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(15.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95B2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18EFD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DE3B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Nonkeratinizing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0F99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2883 (99.7)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FAC6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43 (84.3)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5188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92A63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1ACCB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T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EB87E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49EF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E5D9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0.940 </w:t>
            </w:r>
          </w:p>
        </w:tc>
      </w:tr>
      <w:tr w14:paraId="1AC340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98E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T0-1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5B4DE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547 (18.9)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28F6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(15.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96653B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14:paraId="36AC83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845E71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03FA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468 (16.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3C8C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(15.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9240F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</w:p>
        </w:tc>
      </w:tr>
      <w:tr w14:paraId="09F664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3CEAB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4AB21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1218 (42.1)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F4A5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23 (45.1)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06437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7032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A8E4E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T4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D2E0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658 (22.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C968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12 (23.5)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C9408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1CC860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3F53E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N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456F27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AD5AE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AB58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0.326</w:t>
            </w:r>
          </w:p>
        </w:tc>
      </w:tr>
      <w:tr w14:paraId="718561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FC8E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N0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846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256 (8.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08BCD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 (5.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16F79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CC76F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A6274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N1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1FC4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1177 (40.7)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ED6E1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25 (49.0)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AD0A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0D0ED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7DBC0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N2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40C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863 (29.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9560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17 (33.3)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FB15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DEF90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75ED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N3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6AD3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595 (20.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6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D21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 (11.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7D79EC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BA1AC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6CE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Stage,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2C4B1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FEC0C1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5342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0.607</w:t>
            </w:r>
          </w:p>
        </w:tc>
      </w:tr>
      <w:tr w14:paraId="156BD2D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ED34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Stage Ⅰ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50AA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67 (2.3)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7089C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 (0.0)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317897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660D0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1FE8D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Stage Ⅱ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4BB6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365 (12.6)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545A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 (11.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61C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FA843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21819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Stage Ⅲ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0BFB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1284 (44.4)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9DD5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26 (5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25F58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DED7E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C891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Stage Ⅳa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9ED6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1175 (40.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493DD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19 (37.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6449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CF3A8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A0407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1DE5FF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0B6B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1CA1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&lt; 0.001</w:t>
            </w:r>
          </w:p>
        </w:tc>
      </w:tr>
      <w:tr w14:paraId="3A18F6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BF7F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DNA-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8527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195 (6.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2A03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24 (47.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23FC4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20585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91222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DNA+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A47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2696 (93.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E987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27 (52.9)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75649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3BA90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14B15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Received induction chemotherapy,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D0450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E8540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942C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0.519</w:t>
            </w:r>
          </w:p>
        </w:tc>
      </w:tr>
      <w:tr w14:paraId="6FBA98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10CF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C69AF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434 (15.0)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8001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 (11.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B4C35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297FC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5F0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D01D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2457 (8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77C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45 (88.2)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6A627C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29A15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EBF89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Received concurrent chemotherapy,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F640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35E0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80769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0.886</w:t>
            </w:r>
          </w:p>
        </w:tc>
      </w:tr>
      <w:tr w14:paraId="6BB451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51826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836A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1333 (46.1)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25FE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23 (45.1)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4CF26A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D854B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E214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72253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1558 (53.9)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21B0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28 (54.9)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795A44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F57DB4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920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-y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ear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outcomes: actuarial rate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95% CI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, %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A0D2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0D169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439EE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51AA296">
        <w:trPr>
          <w:trHeight w:val="312" w:hRule="atLeast"/>
        </w:trPr>
        <w:tc>
          <w:tcPr>
            <w:tcW w:w="21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036F5B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LRFFS</w:t>
            </w:r>
          </w:p>
        </w:tc>
        <w:tc>
          <w:tcPr>
            <w:tcW w:w="20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09FBD9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86.8 (85.0-88.6)</w:t>
            </w:r>
          </w:p>
        </w:tc>
        <w:tc>
          <w:tcPr>
            <w:tcW w:w="188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7389C1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76.5 (63.3-92.5)</w:t>
            </w:r>
          </w:p>
        </w:tc>
        <w:tc>
          <w:tcPr>
            <w:tcW w:w="10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A56D1C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0.012</w:t>
            </w:r>
          </w:p>
        </w:tc>
      </w:tr>
      <w:tr w14:paraId="546F49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11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78F8286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OS</w:t>
            </w:r>
          </w:p>
        </w:tc>
        <w:tc>
          <w:tcPr>
            <w:tcW w:w="20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4B7170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86.6 (84.7-88.7)</w:t>
            </w:r>
          </w:p>
        </w:tc>
        <w:tc>
          <w:tcPr>
            <w:tcW w:w="188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672661C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82.0 (70.3-95.6)</w:t>
            </w:r>
          </w:p>
        </w:tc>
        <w:tc>
          <w:tcPr>
            <w:tcW w:w="103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2A614DA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0.066</w:t>
            </w:r>
          </w:p>
        </w:tc>
      </w:tr>
      <w:tr w14:paraId="565CED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1" w:hRule="atLeast"/>
        </w:trPr>
        <w:tc>
          <w:tcPr>
            <w:tcW w:w="7026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9568E7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Patients with plasma EBV DNA load of 0 copies/mL at all three of the following stages (upon admission, before radiotherapy, and after radiotherapy) were defined as EBV DNA negative.</w:t>
            </w:r>
          </w:p>
          <w:p w14:paraId="58AC3BB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EBER, EBV-encoded small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; EBV, Epstein-Barr virus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; LRFFS, locoregional failure-free survival; OS, overall survival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.</w:t>
            </w:r>
          </w:p>
        </w:tc>
      </w:tr>
    </w:tbl>
    <w:p w14:paraId="1228D3B2">
      <w:pPr>
        <w:rPr>
          <w:rFonts w:ascii="Times New Roman" w:hAnsi="Times New Roman" w:eastAsia="宋体" w:cs="Times New Roman"/>
          <w:b/>
          <w:bCs/>
          <w:color w:val="auto"/>
          <w:kern w:val="0"/>
          <w:sz w:val="22"/>
          <w:szCs w:val="22"/>
          <w:lang w:bidi="ar"/>
        </w:rPr>
      </w:pPr>
      <w:r>
        <w:rPr>
          <w:rFonts w:ascii="Times New Roman" w:hAnsi="Times New Roman" w:eastAsia="宋体" w:cs="Times New Roman"/>
          <w:b/>
          <w:bCs/>
          <w:color w:val="auto"/>
          <w:kern w:val="0"/>
          <w:sz w:val="22"/>
          <w:szCs w:val="22"/>
          <w:lang w:bidi="ar"/>
        </w:rPr>
        <w:br w:type="page"/>
      </w:r>
    </w:p>
    <w:tbl>
      <w:tblPr>
        <w:tblStyle w:val="3"/>
        <w:tblW w:w="7265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05"/>
        <w:gridCol w:w="1960"/>
        <w:gridCol w:w="1840"/>
        <w:gridCol w:w="920"/>
        <w:gridCol w:w="240"/>
      </w:tblGrid>
      <w:tr w14:paraId="45AB7E4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</w:trPr>
        <w:tc>
          <w:tcPr>
            <w:tcW w:w="726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5F5C9A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Baseline characteristics of patients with nasopharyngeal carcinoma after propensity score matching analysis</w:t>
            </w:r>
          </w:p>
        </w:tc>
      </w:tr>
      <w:tr w14:paraId="7153496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30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60267C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Characteristic</w:t>
            </w:r>
          </w:p>
        </w:tc>
        <w:tc>
          <w:tcPr>
            <w:tcW w:w="1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005E87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EBER+ (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= 199)</w:t>
            </w:r>
          </w:p>
        </w:tc>
        <w:tc>
          <w:tcPr>
            <w:tcW w:w="18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D1152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EBER- (</w:t>
            </w: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n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= 51)</w:t>
            </w:r>
          </w:p>
        </w:tc>
        <w:tc>
          <w:tcPr>
            <w:tcW w:w="92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500F4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i/>
                <w:iCs/>
                <w:color w:val="auto"/>
                <w:kern w:val="0"/>
                <w:sz w:val="22"/>
                <w:szCs w:val="22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2B61EC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CC1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B223E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Age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, Median with range, years</w:t>
            </w:r>
          </w:p>
        </w:tc>
        <w:tc>
          <w:tcPr>
            <w:tcW w:w="196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1BBAD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51 (23-74)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C046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51 (25-74)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FB21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0.763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02024E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91570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CC80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Gender,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9DBDC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B55981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8E8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0.843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D5B62C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E0C2FE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342F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Male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CE1A7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114 (57.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9BD4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30 (58.8)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47A2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DB4E50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046427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7CA9D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Female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2577B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85 (42.7)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4BA36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21 (41.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B381F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3CAB3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A5956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B46A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A55CAC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4ADCF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82161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0.747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CB25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B7400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2763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T0-1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08B7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42 (21.1)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A9256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(15.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F7DB3A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C86264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CA6C7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2719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E502C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26 (13.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AF26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 (15.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7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7D4805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D1AB0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E7CFC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45FA0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9538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93 (46.7)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F598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23 (45.1)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6B29A1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A32C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50E23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97D6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T4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182D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38 (19.1)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F8C3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12 (23.5)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083EC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2234B0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1433B4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F289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N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ACE70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D5E0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A9CA4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0.966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8E12E7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C6C01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F291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N0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C268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15 (7.5)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BF0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3 (5.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9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4A790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39A0F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6ACC9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335BB1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N1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361B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98 (49.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78AFD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25 (49.0)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E424C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BD3FEC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EE3B9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541F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N2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820987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66 (33.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2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15D8B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17 (33.3)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1A00EA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2D86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22AFDE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A094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N3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16508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20 (10.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F009E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 (11.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862FF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BEB39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C4565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A6E30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C3C569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6DB4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1BC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0.865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0EB94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BE5103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DA527E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DNA-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F782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91 (45.7)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6729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24 (47.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919D2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7DA0EF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23C41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8763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EBV DNA+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12CB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108 (54.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3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32CA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27 (52.9)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8C615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73B06F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A9B5D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B3C0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Received induction chemotherapy,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FF49E1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2C48DD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AA780C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0.804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CB7F2B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16D8F9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D98E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5A2E2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26 (13.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1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7056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 (11.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B2C0FEE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99772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6B3DA84">
        <w:trPr>
          <w:trHeight w:val="31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065A2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95F52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173 (86.9)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D5F7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45 (88.2)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D8DE94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479A7F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CAB3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7ECFD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Received concurrent chemotherapy,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(%)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6C5E98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66BC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1D57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0.615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A641A6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68C6302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C8DC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No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FBB21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82 (41.2)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2907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23 (45.1)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12090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3C8204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0074E4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FF7A6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Yes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A86C2E">
            <w:pPr>
              <w:jc w:val="left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  <w:t>117 (58.</w:t>
            </w: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8</w:t>
            </w:r>
            <w:r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  <w:t>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24749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28 (54.9)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E9734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57170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548E8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18177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-y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ear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outcomes: actuarial rate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(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95% CI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)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, %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A6FB3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EE9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25AFF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AC7A25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C65D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2" w:hRule="atLeast"/>
        </w:trPr>
        <w:tc>
          <w:tcPr>
            <w:tcW w:w="23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8878D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LRFFS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BF9F82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87.3 (81.4-93.5)</w:t>
            </w: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3ABB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76.5 (63.3-92.5)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6B5410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color w:val="auto"/>
                <w:sz w:val="22"/>
                <w:szCs w:val="22"/>
                <w:lang w:val="en-US" w:eastAsia="zh-CN"/>
              </w:rPr>
              <w:t>0.037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34D6BE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37FFC9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2305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6C611D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OS</w:t>
            </w:r>
          </w:p>
        </w:tc>
        <w:tc>
          <w:tcPr>
            <w:tcW w:w="196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516A7E58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89.2 (83.7-95.1)</w:t>
            </w:r>
          </w:p>
        </w:tc>
        <w:tc>
          <w:tcPr>
            <w:tcW w:w="18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367C54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szCs w:val="32"/>
                <w:lang w:val="en-US" w:eastAsia="zh-CN"/>
              </w:rPr>
              <w:t>82.0 (70.3-95.6)</w:t>
            </w:r>
          </w:p>
        </w:tc>
        <w:tc>
          <w:tcPr>
            <w:tcW w:w="92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vAlign w:val="center"/>
          </w:tcPr>
          <w:p w14:paraId="7FE5EE0A">
            <w:pPr>
              <w:jc w:val="left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  <w:t>0.071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auto" w:sz="8" w:space="0"/>
              <w:right w:val="nil"/>
            </w:tcBorders>
            <w:shd w:val="clear" w:color="auto" w:fill="auto"/>
            <w:noWrap/>
            <w:vAlign w:val="center"/>
          </w:tcPr>
          <w:p w14:paraId="50422763">
            <w:pPr>
              <w:jc w:val="left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</w:p>
        </w:tc>
      </w:tr>
      <w:tr w14:paraId="7802FC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0" w:hRule="atLeast"/>
        </w:trPr>
        <w:tc>
          <w:tcPr>
            <w:tcW w:w="7265" w:type="dxa"/>
            <w:gridSpan w:val="5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E7112A">
            <w:pPr>
              <w:widowControl/>
              <w:jc w:val="both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 Patients with plasma EBV DNA load of 0 copies/mL at all three of the following stages (upon admission, before radiotherapy, and after radiotherapy) were defined as EBV DNA negative.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EBER, EBV-encoded small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; EBV, Epstein-Barr virus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; LRFFS, locoregional failure-free survival; OS, overall survival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.</w:t>
            </w:r>
          </w:p>
        </w:tc>
      </w:tr>
    </w:tbl>
    <w:p w14:paraId="0CC2A13B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"/>
        <w:tblW w:w="1198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24"/>
        <w:gridCol w:w="1488"/>
        <w:gridCol w:w="765"/>
        <w:gridCol w:w="240"/>
        <w:gridCol w:w="1530"/>
        <w:gridCol w:w="780"/>
        <w:gridCol w:w="240"/>
        <w:gridCol w:w="1440"/>
        <w:gridCol w:w="810"/>
        <w:gridCol w:w="240"/>
        <w:gridCol w:w="1455"/>
        <w:gridCol w:w="728"/>
        <w:gridCol w:w="240"/>
      </w:tblGrid>
      <w:tr w14:paraId="573927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119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AB0FBD">
            <w:pPr>
              <w:widowControl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Table 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  <w:t>S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1"/>
                <w:szCs w:val="21"/>
                <w:lang w:bidi="ar"/>
              </w:rPr>
              <w:t xml:space="preserve">3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Association of EBER-EBV DNA combination and survival outcomes in patients with nasopharyngeal carcinoma in PSM cohort</w:t>
            </w:r>
          </w:p>
        </w:tc>
      </w:tr>
      <w:tr w14:paraId="5CC03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024" w:type="dxa"/>
            <w:vMerge w:val="restart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F3F54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Characteristic</w:t>
            </w:r>
          </w:p>
        </w:tc>
        <w:tc>
          <w:tcPr>
            <w:tcW w:w="225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AC946C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Non-adjusted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CF810E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31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52A3D2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Model 1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517D6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250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CD51AC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Model 2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9F33159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183" w:type="dxa"/>
            <w:gridSpan w:val="2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C99FD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Model 3</w:t>
            </w:r>
          </w:p>
        </w:tc>
        <w:tc>
          <w:tcPr>
            <w:tcW w:w="240" w:type="dxa"/>
            <w:tcBorders>
              <w:top w:val="single" w:color="000000" w:sz="8" w:space="0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17F59D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17823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024" w:type="dxa"/>
            <w:vMerge w:val="continue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E01573B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8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996792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HR (95% CI)</w:t>
            </w:r>
          </w:p>
        </w:tc>
        <w:tc>
          <w:tcPr>
            <w:tcW w:w="76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1300E0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C26AD25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5E178E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HR (95% CI)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3B586AB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045381A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2E10699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HR (95% CI)</w:t>
            </w:r>
          </w:p>
        </w:tc>
        <w:tc>
          <w:tcPr>
            <w:tcW w:w="8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5772D0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5F84EDC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49BFDC2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HR (95% CI)</w:t>
            </w:r>
          </w:p>
        </w:tc>
        <w:tc>
          <w:tcPr>
            <w:tcW w:w="72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EACFF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i/>
                <w:iCs/>
                <w:color w:val="auto"/>
                <w:kern w:val="0"/>
                <w:sz w:val="21"/>
                <w:szCs w:val="21"/>
                <w:lang w:bidi="ar"/>
              </w:rPr>
              <w:t>P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 value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63544D1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5592CB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52798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LRFFS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04D228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5C26A0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DBE965C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BD32E9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B4F702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E9D9A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B99471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0C9DB4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7C4508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FFA5F6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8D634F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43BB28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47D71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546FB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50F9A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7DC01E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4302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ABC0A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5DAFC3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3BFF98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4A11E3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E6A69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2EF51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CB50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565A87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F1AC14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76FEC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A7A37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D40D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0.562 (0.217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1.452)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4BC2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0.234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D149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2585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0.524 (0.202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1.362)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070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0.185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70DE0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40627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0.629 (0.262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1.507)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92344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0.298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8DFDE9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62F0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0.625 (0.261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1.497)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28F8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0.292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C6A29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9EF04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736F9D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19B6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0.813 (0.22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2.917)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648A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0.750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34A6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602E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0.740 (0.203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2.692)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1B9FB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F0B15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6CF31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0.777 (0.232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2.605)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260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0.683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498A4F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9FC3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0.797 (0.238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2.667)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4AEE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0.713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446EC3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33EB1F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181D0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E789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3.490 (1.367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8.910)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6CB3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0.009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5A79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2821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3.338 (1.304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8.547)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443D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0.012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F7FB5D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D68D56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2.574 (1.041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6.368)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E58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0.041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7BAED3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C26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2.490 (1.005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6.170)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9471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0.049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6AD97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2D24DC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6E04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OS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5C747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02890D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B11C0E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C5DDA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E13E37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76F95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9AB9E6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A9590E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F9BDA7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6F872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99FB6E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8A8D4F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5ED17D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DF9D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4058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53C3B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5749D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165C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731DFE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528745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BBC46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34141">
            <w:pPr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652918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E6C45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1.000 (Reference)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F5F143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0076B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4DC7DE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1EF2A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A2B5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0.549 (0.187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1.614)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1588C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0.276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5E317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24AC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0.539 (0.183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1.590)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913B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0.263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BA71B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1AA58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0.641 (0.208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1.971)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445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0.438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7AB2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A4785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0.465 (0.149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1.456)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C567B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0.188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DC52E4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4523F8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AEE9F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+</w:t>
            </w:r>
          </w:p>
        </w:tc>
        <w:tc>
          <w:tcPr>
            <w:tcW w:w="14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38DA2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1.480 (0.458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4.782)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E687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0.512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14655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B02B2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1.435 (0.442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4.654)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5793B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0.548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4AEC97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D22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1.542 (0.451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5.274)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C79C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0.490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EC5BD0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61EE8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1.475 (0.489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4.450)</w:t>
            </w: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129D1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0.490</w:t>
            </w: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B35955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0F05EE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  <w:jc w:val="center"/>
        </w:trPr>
        <w:tc>
          <w:tcPr>
            <w:tcW w:w="2024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vAlign w:val="center"/>
          </w:tcPr>
          <w:p w14:paraId="7C92DA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EBER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/EBV DNA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</w:p>
        </w:tc>
        <w:tc>
          <w:tcPr>
            <w:tcW w:w="148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04E714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2.337 (0.729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7.495)</w:t>
            </w:r>
          </w:p>
        </w:tc>
        <w:tc>
          <w:tcPr>
            <w:tcW w:w="76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B4787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0.153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D3D5C4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88C7B7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2.430 (0.756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7.813)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47A227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highlight w:val="none"/>
                <w:lang w:bidi="ar"/>
              </w:rPr>
              <w:t>0.136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A549E74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A2E17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0.428 (0.034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5.385)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D12F6A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0.511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B06A5DB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  <w:tc>
          <w:tcPr>
            <w:tcW w:w="145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6F61DC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0.638 (0.234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>-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1.738)</w:t>
            </w:r>
          </w:p>
        </w:tc>
        <w:tc>
          <w:tcPr>
            <w:tcW w:w="72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1B40E5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0.379</w:t>
            </w:r>
          </w:p>
        </w:tc>
        <w:tc>
          <w:tcPr>
            <w:tcW w:w="24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44DA5A2">
            <w:pPr>
              <w:jc w:val="left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</w:p>
        </w:tc>
      </w:tr>
      <w:tr w14:paraId="7CAD9C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  <w:jc w:val="center"/>
        </w:trPr>
        <w:tc>
          <w:tcPr>
            <w:tcW w:w="11980" w:type="dxa"/>
            <w:gridSpan w:val="1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306D0E">
            <w:pPr>
              <w:widowControl/>
              <w:textAlignment w:val="center"/>
              <w:rPr>
                <w:rFonts w:ascii="Times New Roman" w:hAnsi="Times New Roman" w:eastAsia="宋体" w:cs="Times New Roman"/>
                <w:color w:val="auto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Model 1 was adjusted for age and gender.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Model 2 was adjusted for age, gender, T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, N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, and histology.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Model 3 was adjusted for age, gender, T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, N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category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, histology, induction and concurrent chemotherapy.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br w:type="textWrapping"/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EBER, EBV-encoded small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RNA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 xml:space="preserve">; EBV, Epstein-Barr virus; 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1"/>
                <w:szCs w:val="21"/>
                <w:lang w:val="en-US" w:eastAsia="zh-CN" w:bidi="ar"/>
              </w:rPr>
              <w:t xml:space="preserve">LRFFS, locoregional failure-free survival; OS, overall survival; 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1"/>
                <w:szCs w:val="21"/>
                <w:lang w:bidi="ar"/>
              </w:rPr>
              <w:t>PSM, propensity score matching.</w:t>
            </w:r>
          </w:p>
        </w:tc>
      </w:tr>
    </w:tbl>
    <w:p w14:paraId="4274D64E">
      <w:pPr>
        <w:rPr>
          <w:color w:val="auto"/>
        </w:rPr>
      </w:pPr>
      <w:r>
        <w:rPr>
          <w:color w:val="auto"/>
        </w:rPr>
        <w:br w:type="page"/>
      </w:r>
    </w:p>
    <w:tbl>
      <w:tblPr>
        <w:tblStyle w:val="3"/>
        <w:tblW w:w="8700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28"/>
        <w:gridCol w:w="1722"/>
        <w:gridCol w:w="2557"/>
        <w:gridCol w:w="2193"/>
      </w:tblGrid>
      <w:tr w14:paraId="34B55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87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0EC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Table S4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Treatment modality and outcomes in EBER-/EBV DNA- patients</w:t>
            </w:r>
          </w:p>
        </w:tc>
      </w:tr>
      <w:tr w14:paraId="73FC3A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C302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Treatment modality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FB08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No. of patients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064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No. of recurrent events</w:t>
            </w:r>
          </w:p>
        </w:tc>
        <w:tc>
          <w:tcPr>
            <w:tcW w:w="0" w:type="auto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01B7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No. of death events</w:t>
            </w:r>
          </w:p>
        </w:tc>
      </w:tr>
      <w:tr w14:paraId="4A57EC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6B034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RT alone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956C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988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790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8B8AD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666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CCRT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CA594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09F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14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</w:tr>
      <w:tr w14:paraId="0E9FE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202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IC + 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A2EA1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F1CC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82E5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0793C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76DE4F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IC + CCRT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8FCAC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B9B1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52C1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</w:tr>
      <w:tr w14:paraId="1DD528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2CDCF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CCRT, concurrent chemoradiotherapy; IC, induction chemotherapy; RT, radiotherapy.</w:t>
            </w:r>
          </w:p>
        </w:tc>
      </w:tr>
    </w:tbl>
    <w:p w14:paraId="18CC983F">
      <w:pPr>
        <w:rPr>
          <w:color w:val="auto"/>
        </w:rPr>
      </w:pPr>
      <w:r>
        <w:rPr>
          <w:color w:val="auto"/>
        </w:rPr>
        <w:br w:type="page"/>
      </w:r>
    </w:p>
    <w:p w14:paraId="50E7040C">
      <w:pPr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110490</wp:posOffset>
            </wp:positionV>
            <wp:extent cx="5817870" cy="2578735"/>
            <wp:effectExtent l="0" t="0" r="3810" b="12065"/>
            <wp:wrapNone/>
            <wp:docPr id="2" name="图片 2" descr="Figure S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igure S2"/>
                    <pic:cNvPicPr>
                      <a:picLocks noChangeAspect="1"/>
                    </pic:cNvPicPr>
                  </pic:nvPicPr>
                  <pic:blipFill>
                    <a:blip r:embed="rId4"/>
                    <a:srcRect r="16908"/>
                    <a:stretch>
                      <a:fillRect/>
                    </a:stretch>
                  </pic:blipFill>
                  <pic:spPr>
                    <a:xfrm>
                      <a:off x="0" y="0"/>
                      <a:ext cx="5817870" cy="25787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2B640C">
      <w:pPr>
        <w:rPr>
          <w:color w:val="auto"/>
        </w:rPr>
      </w:pPr>
    </w:p>
    <w:p w14:paraId="452DC596">
      <w:pPr>
        <w:rPr>
          <w:color w:val="auto"/>
        </w:rPr>
      </w:pPr>
    </w:p>
    <w:p w14:paraId="44657140">
      <w:pPr>
        <w:rPr>
          <w:color w:val="auto"/>
        </w:rPr>
      </w:pPr>
    </w:p>
    <w:p w14:paraId="455D3683">
      <w:pPr>
        <w:rPr>
          <w:color w:val="auto"/>
        </w:rPr>
      </w:pPr>
    </w:p>
    <w:p w14:paraId="059A9959">
      <w:pPr>
        <w:rPr>
          <w:color w:val="auto"/>
        </w:rPr>
      </w:pPr>
    </w:p>
    <w:p w14:paraId="443C3CAF">
      <w:pPr>
        <w:rPr>
          <w:color w:val="auto"/>
        </w:rPr>
      </w:pPr>
    </w:p>
    <w:p w14:paraId="79232711">
      <w:pPr>
        <w:rPr>
          <w:color w:val="auto"/>
        </w:rPr>
      </w:pPr>
    </w:p>
    <w:p w14:paraId="708DB59E">
      <w:pPr>
        <w:rPr>
          <w:color w:val="auto"/>
        </w:rPr>
      </w:pPr>
    </w:p>
    <w:p w14:paraId="190BFB63">
      <w:pPr>
        <w:rPr>
          <w:color w:val="auto"/>
        </w:rPr>
      </w:pPr>
    </w:p>
    <w:p w14:paraId="0D1DAD0F">
      <w:pPr>
        <w:rPr>
          <w:color w:val="auto"/>
        </w:rPr>
      </w:pPr>
    </w:p>
    <w:p w14:paraId="2CCD8F14">
      <w:pPr>
        <w:rPr>
          <w:color w:val="auto"/>
        </w:rPr>
      </w:pPr>
    </w:p>
    <w:p w14:paraId="786E9EAC">
      <w:pPr>
        <w:rPr>
          <w:color w:val="auto"/>
        </w:rPr>
      </w:pPr>
    </w:p>
    <w:p w14:paraId="586FB71D">
      <w:pPr>
        <w:rPr>
          <w:color w:val="auto"/>
        </w:rPr>
      </w:pPr>
    </w:p>
    <w:p w14:paraId="1241C2B5">
      <w:pPr>
        <w:rPr>
          <w:rFonts w:ascii="Times New Roman" w:hAnsi="Times New Roman" w:cs="Times New Roman"/>
          <w:color w:val="auto"/>
          <w:sz w:val="24"/>
        </w:rPr>
      </w:pPr>
      <w:r>
        <w:rPr>
          <w:rFonts w:hint="eastAsia" w:ascii="Times New Roman" w:hAnsi="Times New Roman" w:cs="Times New Roman"/>
          <w:b/>
          <w:bCs/>
          <w:color w:val="auto"/>
          <w:sz w:val="24"/>
        </w:rPr>
        <w:t xml:space="preserve">Supplementary Figure </w:t>
      </w:r>
      <w:r>
        <w:rPr>
          <w:rFonts w:hint="eastAsia" w:ascii="Times New Roman" w:hAnsi="Times New Roman" w:cs="Times New Roman"/>
          <w:b/>
          <w:bCs/>
          <w:color w:val="auto"/>
          <w:sz w:val="24"/>
          <w:lang w:val="en-US" w:eastAsia="zh-CN"/>
        </w:rPr>
        <w:t>1</w:t>
      </w:r>
      <w:r>
        <w:rPr>
          <w:rFonts w:ascii="Times New Roman" w:hAnsi="Times New Roman" w:cs="Times New Roman"/>
          <w:b/>
          <w:bCs/>
          <w:color w:val="auto"/>
          <w:sz w:val="24"/>
        </w:rPr>
        <w:t>.</w:t>
      </w:r>
      <w:r>
        <w:rPr>
          <w:rFonts w:ascii="Times New Roman" w:hAnsi="Times New Roman" w:cs="Times New Roman"/>
          <w:color w:val="auto"/>
          <w:sz w:val="24"/>
        </w:rPr>
        <w:t xml:space="preserve"> </w:t>
      </w:r>
      <w:r>
        <w:rPr>
          <w:rFonts w:hint="eastAsia" w:ascii="Times New Roman" w:hAnsi="Times New Roman" w:cs="Times New Roman"/>
          <w:color w:val="auto"/>
          <w:sz w:val="24"/>
        </w:rPr>
        <w:t>PSM</w:t>
      </w:r>
      <w:r>
        <w:rPr>
          <w:rFonts w:ascii="Times New Roman" w:hAnsi="Times New Roman" w:cs="Times New Roman"/>
          <w:color w:val="auto"/>
          <w:sz w:val="24"/>
        </w:rPr>
        <w:t xml:space="preserve"> effect between </w:t>
      </w:r>
      <w:r>
        <w:rPr>
          <w:rFonts w:hint="eastAsia" w:ascii="Times New Roman" w:hAnsi="Times New Roman" w:cs="Times New Roman"/>
          <w:color w:val="auto"/>
          <w:sz w:val="24"/>
        </w:rPr>
        <w:t xml:space="preserve">EBER-negative and EBER-positive groups. (A) Density graphs description comparisons of the weighting distributions in the EBER-negative and EBER-positive groups before and after PSM. (B) Standardized differences before and after PSM. Age, gender, histology, T stage, N stage, induction chemotherapy, and concurrent chemotherapy were used to match. </w:t>
      </w:r>
      <w:r>
        <w:rPr>
          <w:rFonts w:ascii="Times New Roman" w:hAnsi="Times New Roman" w:cs="Times New Roman"/>
          <w:color w:val="auto"/>
          <w:sz w:val="24"/>
          <w:szCs w:val="32"/>
        </w:rPr>
        <w:t xml:space="preserve">EBER, Epstein-Barr virus encoded small RNA; </w:t>
      </w:r>
      <w:r>
        <w:rPr>
          <w:rFonts w:hint="eastAsia" w:ascii="Times New Roman" w:hAnsi="Times New Roman" w:cs="Times New Roman"/>
          <w:color w:val="auto"/>
          <w:sz w:val="24"/>
          <w:szCs w:val="32"/>
        </w:rPr>
        <w:t>EBV DNA</w:t>
      </w:r>
      <w:r>
        <w:rPr>
          <w:rFonts w:ascii="Times New Roman" w:hAnsi="Times New Roman" w:cs="Times New Roman"/>
          <w:color w:val="auto"/>
          <w:sz w:val="24"/>
          <w:szCs w:val="32"/>
        </w:rPr>
        <w:t>, Epstein-Barr virus</w:t>
      </w:r>
      <w:r>
        <w:rPr>
          <w:rFonts w:hint="eastAsia" w:ascii="Times New Roman" w:hAnsi="Times New Roman" w:cs="Times New Roman"/>
          <w:color w:val="auto"/>
          <w:sz w:val="24"/>
          <w:szCs w:val="32"/>
        </w:rPr>
        <w:t xml:space="preserve"> DNA; </w:t>
      </w:r>
      <w:r>
        <w:rPr>
          <w:rFonts w:hint="eastAsia" w:ascii="Times New Roman" w:hAnsi="Times New Roman" w:cs="Times New Roman"/>
          <w:color w:val="auto"/>
          <w:sz w:val="24"/>
        </w:rPr>
        <w:t>PSM: Propensity score match.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RiZmZmMTE5MGUwN2I3OWQ4ZDc5NjgxMDFmYmE3NjQifQ=="/>
  </w:docVars>
  <w:rsids>
    <w:rsidRoot w:val="00DD2DAE"/>
    <w:rsid w:val="00C61DDD"/>
    <w:rsid w:val="00DB6C03"/>
    <w:rsid w:val="00DD2DAE"/>
    <w:rsid w:val="06CB25A0"/>
    <w:rsid w:val="0B4D652A"/>
    <w:rsid w:val="0B644BC2"/>
    <w:rsid w:val="0C205BD5"/>
    <w:rsid w:val="0D335A39"/>
    <w:rsid w:val="0DB62FC1"/>
    <w:rsid w:val="12D02544"/>
    <w:rsid w:val="17F0358A"/>
    <w:rsid w:val="1B065DB7"/>
    <w:rsid w:val="1BBC26CD"/>
    <w:rsid w:val="1C8C0DDC"/>
    <w:rsid w:val="1C904E3C"/>
    <w:rsid w:val="20073DD2"/>
    <w:rsid w:val="24B77C75"/>
    <w:rsid w:val="256112DB"/>
    <w:rsid w:val="26BF258E"/>
    <w:rsid w:val="2CC01E24"/>
    <w:rsid w:val="2F974B8C"/>
    <w:rsid w:val="300B6E48"/>
    <w:rsid w:val="31FE5396"/>
    <w:rsid w:val="3304559A"/>
    <w:rsid w:val="34147789"/>
    <w:rsid w:val="37393841"/>
    <w:rsid w:val="37CF4B13"/>
    <w:rsid w:val="42C408DA"/>
    <w:rsid w:val="42EF7E56"/>
    <w:rsid w:val="438001C1"/>
    <w:rsid w:val="4E8A62B1"/>
    <w:rsid w:val="507D12A8"/>
    <w:rsid w:val="52A32DEE"/>
    <w:rsid w:val="53B524FD"/>
    <w:rsid w:val="588F3D82"/>
    <w:rsid w:val="5F7206A6"/>
    <w:rsid w:val="60144BDF"/>
    <w:rsid w:val="665E6CAD"/>
    <w:rsid w:val="6AA44086"/>
    <w:rsid w:val="6D7E6C37"/>
    <w:rsid w:val="721A47FB"/>
    <w:rsid w:val="7BA00E72"/>
    <w:rsid w:val="7E584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character" w:customStyle="1" w:styleId="5">
    <w:name w:val="font31"/>
    <w:basedOn w:val="4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6">
    <w:name w:val="font61"/>
    <w:basedOn w:val="4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7">
    <w:name w:val="font11"/>
    <w:basedOn w:val="4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8">
    <w:name w:val="font21"/>
    <w:basedOn w:val="4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  <w:style w:type="character" w:customStyle="1" w:styleId="9">
    <w:name w:val="font41"/>
    <w:basedOn w:val="4"/>
    <w:qFormat/>
    <w:uiPriority w:val="0"/>
    <w:rPr>
      <w:rFonts w:hint="default" w:ascii="Times New Roman" w:hAnsi="Times New Roman" w:cs="Times New Roman"/>
      <w:i/>
      <w:i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989</Words>
  <Characters>5404</Characters>
  <Lines>38</Lines>
  <Paragraphs>10</Paragraphs>
  <TotalTime>3</TotalTime>
  <ScaleCrop>false</ScaleCrop>
  <LinksUpToDate>false</LinksUpToDate>
  <CharactersWithSpaces>6104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2024-08-22T11:06:00Z</dcterms:created>
  <dc:creator>lying</dc:creator>
  <cp:lastModifiedBy>L</cp:lastModifiedBy>
  <dcterms:modified xsi:type="dcterms:W3CDTF">2025-01-13T02:16:55Z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66D5AF8820734BB49A79C7C1C0DC369B_13</vt:lpwstr>
  </property>
</Properties>
</file>