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C1F8" w14:textId="77777777" w:rsidR="00D82994" w:rsidRPr="00D00389" w:rsidRDefault="00D82994" w:rsidP="00D829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00389"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14:paraId="36EC20A2" w14:textId="77777777" w:rsidR="00D82994" w:rsidRPr="00D00389" w:rsidRDefault="00D82994" w:rsidP="00D82994">
      <w:pPr>
        <w:rPr>
          <w:rFonts w:ascii="Times New Roman" w:hAnsi="Times New Roman" w:cs="Times New Roman"/>
        </w:rPr>
      </w:pPr>
    </w:p>
    <w:p w14:paraId="1BACC304" w14:textId="77777777" w:rsidR="00D82994" w:rsidRPr="00D00389" w:rsidRDefault="00D82994" w:rsidP="00D82994">
      <w:pPr>
        <w:rPr>
          <w:rFonts w:ascii="Times New Roman" w:hAnsi="Times New Roman" w:cs="Times New Roman"/>
          <w:sz w:val="24"/>
          <w:szCs w:val="28"/>
        </w:rPr>
      </w:pPr>
      <w:r w:rsidRPr="00D00389">
        <w:rPr>
          <w:rFonts w:ascii="Times New Roman" w:hAnsi="Times New Roman" w:cs="Times New Roman" w:hint="eastAsia"/>
          <w:b/>
          <w:bCs/>
          <w:sz w:val="24"/>
          <w:szCs w:val="28"/>
        </w:rPr>
        <w:t>Supplementary Table 1</w:t>
      </w:r>
      <w:r w:rsidRPr="00D00389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D00389">
        <w:rPr>
          <w:rFonts w:ascii="Times New Roman" w:hAnsi="Times New Roman" w:cs="Times New Roman"/>
          <w:sz w:val="24"/>
          <w:szCs w:val="28"/>
        </w:rPr>
        <w:t>Secretion severity scale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6"/>
      </w:tblGrid>
      <w:tr w:rsidR="00D82994" w:rsidRPr="00D00389" w14:paraId="5B37FD57" w14:textId="77777777" w:rsidTr="00D533BB">
        <w:tc>
          <w:tcPr>
            <w:tcW w:w="1271" w:type="dxa"/>
          </w:tcPr>
          <w:p w14:paraId="4DC233F7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Scale</w:t>
            </w:r>
          </w:p>
        </w:tc>
        <w:tc>
          <w:tcPr>
            <w:tcW w:w="6526" w:type="dxa"/>
          </w:tcPr>
          <w:p w14:paraId="2E505775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Description</w:t>
            </w:r>
          </w:p>
        </w:tc>
      </w:tr>
      <w:tr w:rsidR="00D82994" w:rsidRPr="00D00389" w14:paraId="4BB9EE52" w14:textId="77777777" w:rsidTr="00D533BB">
        <w:tc>
          <w:tcPr>
            <w:tcW w:w="1271" w:type="dxa"/>
          </w:tcPr>
          <w:p w14:paraId="0DFEEAA5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6526" w:type="dxa"/>
          </w:tcPr>
          <w:p w14:paraId="077C6EF9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Secretions are present only in the vallecula or pyriform.</w:t>
            </w:r>
          </w:p>
        </w:tc>
      </w:tr>
      <w:tr w:rsidR="00D82994" w:rsidRPr="00D00389" w14:paraId="50DA45D7" w14:textId="77777777" w:rsidTr="00D533BB">
        <w:tc>
          <w:tcPr>
            <w:tcW w:w="1271" w:type="dxa"/>
          </w:tcPr>
          <w:p w14:paraId="36F88B8B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6526" w:type="dxa"/>
          </w:tcPr>
          <w:p w14:paraId="780E1F78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Secretions are visible in the laryngeal vestibule but do not enter the airway.</w:t>
            </w:r>
          </w:p>
        </w:tc>
      </w:tr>
      <w:tr w:rsidR="00D82994" w:rsidRPr="00D00389" w14:paraId="61EFB289" w14:textId="77777777" w:rsidTr="00D533BB">
        <w:tc>
          <w:tcPr>
            <w:tcW w:w="1271" w:type="dxa"/>
          </w:tcPr>
          <w:p w14:paraId="60B61DB3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6526" w:type="dxa"/>
          </w:tcPr>
          <w:p w14:paraId="459E38A4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Secretions enter the airway but are expelled without coughing.</w:t>
            </w:r>
          </w:p>
        </w:tc>
      </w:tr>
      <w:tr w:rsidR="00D82994" w:rsidRPr="00D00389" w14:paraId="0E29BB99" w14:textId="77777777" w:rsidTr="00D533BB">
        <w:tc>
          <w:tcPr>
            <w:tcW w:w="1271" w:type="dxa"/>
          </w:tcPr>
          <w:p w14:paraId="43A10C22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6526" w:type="dxa"/>
          </w:tcPr>
          <w:p w14:paraId="145B5071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Secretions enter the airway and remain, causing a risk of silent aspiration.</w:t>
            </w:r>
          </w:p>
        </w:tc>
      </w:tr>
    </w:tbl>
    <w:p w14:paraId="720E8710" w14:textId="77777777" w:rsidR="00D82994" w:rsidRPr="00D00389" w:rsidRDefault="00D82994" w:rsidP="00D82994">
      <w:pPr>
        <w:rPr>
          <w:rFonts w:ascii="Times New Roman" w:hAnsi="Times New Roman" w:cs="Times New Roman"/>
        </w:rPr>
      </w:pPr>
    </w:p>
    <w:p w14:paraId="326070A4" w14:textId="77777777" w:rsidR="00D82994" w:rsidRPr="00220BE7" w:rsidRDefault="00D82994" w:rsidP="00D82994">
      <w:pPr>
        <w:rPr>
          <w:rFonts w:ascii="Times New Roman" w:hAnsi="Times New Roman" w:cs="Times New Roman"/>
          <w:sz w:val="24"/>
          <w:szCs w:val="40"/>
        </w:rPr>
      </w:pPr>
      <w:r w:rsidRPr="00D00389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2 </w:t>
      </w:r>
      <w:r w:rsidRPr="00220BE7">
        <w:rPr>
          <w:rFonts w:ascii="Times New Roman" w:hAnsi="Times New Roman" w:cs="Times New Roman"/>
          <w:sz w:val="24"/>
          <w:szCs w:val="40"/>
        </w:rPr>
        <w:t xml:space="preserve">Definitions for severity of vallecula </w:t>
      </w:r>
      <w:r>
        <w:rPr>
          <w:rFonts w:ascii="Times New Roman" w:hAnsi="Times New Roman" w:cs="Times New Roman" w:hint="eastAsia"/>
          <w:sz w:val="24"/>
          <w:szCs w:val="40"/>
        </w:rPr>
        <w:t>secretions/</w:t>
      </w:r>
      <w:r w:rsidRPr="00220BE7">
        <w:rPr>
          <w:rFonts w:ascii="Times New Roman" w:hAnsi="Times New Roman" w:cs="Times New Roman"/>
          <w:sz w:val="24"/>
          <w:szCs w:val="40"/>
        </w:rPr>
        <w:t xml:space="preserve">residue 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410"/>
        <w:gridCol w:w="1417"/>
        <w:gridCol w:w="3198"/>
      </w:tblGrid>
      <w:tr w:rsidR="00D82994" w:rsidRPr="00D00389" w14:paraId="4B9DE5EA" w14:textId="77777777" w:rsidTr="00D533BB">
        <w:tc>
          <w:tcPr>
            <w:tcW w:w="1271" w:type="dxa"/>
          </w:tcPr>
          <w:p w14:paraId="38CE18EC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I</w:t>
            </w:r>
          </w:p>
        </w:tc>
        <w:tc>
          <w:tcPr>
            <w:tcW w:w="2410" w:type="dxa"/>
          </w:tcPr>
          <w:p w14:paraId="559EEB4D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None</w:t>
            </w:r>
          </w:p>
        </w:tc>
        <w:tc>
          <w:tcPr>
            <w:tcW w:w="1417" w:type="dxa"/>
          </w:tcPr>
          <w:p w14:paraId="4CB5D372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0 %</w:t>
            </w:r>
          </w:p>
        </w:tc>
        <w:tc>
          <w:tcPr>
            <w:tcW w:w="3198" w:type="dxa"/>
          </w:tcPr>
          <w:p w14:paraId="767D9A85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 xml:space="preserve">No </w:t>
            </w:r>
            <w:r>
              <w:rPr>
                <w:rFonts w:ascii="Times New Roman" w:hAnsi="Times New Roman" w:cs="Times New Roman" w:hint="eastAsia"/>
                <w:sz w:val="20"/>
                <w:szCs w:val="28"/>
              </w:rPr>
              <w:t>secretions/</w:t>
            </w: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residue</w:t>
            </w:r>
          </w:p>
        </w:tc>
      </w:tr>
      <w:tr w:rsidR="00D82994" w:rsidRPr="00D00389" w14:paraId="123024C5" w14:textId="77777777" w:rsidTr="00D533BB">
        <w:tc>
          <w:tcPr>
            <w:tcW w:w="1271" w:type="dxa"/>
          </w:tcPr>
          <w:p w14:paraId="038A16C1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II</w:t>
            </w:r>
          </w:p>
        </w:tc>
        <w:tc>
          <w:tcPr>
            <w:tcW w:w="2410" w:type="dxa"/>
          </w:tcPr>
          <w:p w14:paraId="6397AE4C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Trace</w:t>
            </w:r>
          </w:p>
        </w:tc>
        <w:tc>
          <w:tcPr>
            <w:tcW w:w="1417" w:type="dxa"/>
          </w:tcPr>
          <w:p w14:paraId="4D067EB0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1–5 %</w:t>
            </w:r>
          </w:p>
        </w:tc>
        <w:tc>
          <w:tcPr>
            <w:tcW w:w="3198" w:type="dxa"/>
          </w:tcPr>
          <w:p w14:paraId="0D37010E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Trace coating of the mucosa</w:t>
            </w:r>
          </w:p>
        </w:tc>
      </w:tr>
      <w:tr w:rsidR="00D82994" w:rsidRPr="00D00389" w14:paraId="48C7754E" w14:textId="77777777" w:rsidTr="00D533BB">
        <w:tc>
          <w:tcPr>
            <w:tcW w:w="1271" w:type="dxa"/>
          </w:tcPr>
          <w:p w14:paraId="5BFF5343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III</w:t>
            </w:r>
          </w:p>
        </w:tc>
        <w:tc>
          <w:tcPr>
            <w:tcW w:w="2410" w:type="dxa"/>
          </w:tcPr>
          <w:p w14:paraId="6D2A05EE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Mild</w:t>
            </w:r>
          </w:p>
        </w:tc>
        <w:tc>
          <w:tcPr>
            <w:tcW w:w="1417" w:type="dxa"/>
          </w:tcPr>
          <w:p w14:paraId="00327E71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5–25 %</w:t>
            </w:r>
          </w:p>
        </w:tc>
        <w:tc>
          <w:tcPr>
            <w:tcW w:w="3198" w:type="dxa"/>
          </w:tcPr>
          <w:p w14:paraId="2C2955A5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Epiglottic ligament visible</w:t>
            </w:r>
          </w:p>
        </w:tc>
      </w:tr>
      <w:tr w:rsidR="00D82994" w:rsidRPr="00D00389" w14:paraId="53234D5B" w14:textId="77777777" w:rsidTr="00D533BB">
        <w:tc>
          <w:tcPr>
            <w:tcW w:w="1271" w:type="dxa"/>
          </w:tcPr>
          <w:p w14:paraId="26EC1BD0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IV</w:t>
            </w:r>
          </w:p>
        </w:tc>
        <w:tc>
          <w:tcPr>
            <w:tcW w:w="2410" w:type="dxa"/>
          </w:tcPr>
          <w:p w14:paraId="4AF3B24F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Moderate</w:t>
            </w:r>
          </w:p>
        </w:tc>
        <w:tc>
          <w:tcPr>
            <w:tcW w:w="1417" w:type="dxa"/>
          </w:tcPr>
          <w:p w14:paraId="020C5FF0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25–50 %</w:t>
            </w:r>
          </w:p>
        </w:tc>
        <w:tc>
          <w:tcPr>
            <w:tcW w:w="3198" w:type="dxa"/>
          </w:tcPr>
          <w:p w14:paraId="2FC9287F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Epiglottic ligament covered</w:t>
            </w:r>
          </w:p>
        </w:tc>
      </w:tr>
      <w:tr w:rsidR="00D82994" w:rsidRPr="00D00389" w14:paraId="432F1979" w14:textId="77777777" w:rsidTr="00D533BB">
        <w:tc>
          <w:tcPr>
            <w:tcW w:w="1271" w:type="dxa"/>
          </w:tcPr>
          <w:p w14:paraId="0C5B75E7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2410" w:type="dxa"/>
          </w:tcPr>
          <w:p w14:paraId="2BC6CA3A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Severe</w:t>
            </w:r>
          </w:p>
        </w:tc>
        <w:tc>
          <w:tcPr>
            <w:tcW w:w="1417" w:type="dxa"/>
          </w:tcPr>
          <w:p w14:paraId="0448EC77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sym w:font="Symbol" w:char="F03E"/>
            </w: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50 %</w:t>
            </w:r>
          </w:p>
        </w:tc>
        <w:tc>
          <w:tcPr>
            <w:tcW w:w="3198" w:type="dxa"/>
          </w:tcPr>
          <w:p w14:paraId="7CA43917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Filled to epiglottic rim</w:t>
            </w:r>
          </w:p>
        </w:tc>
      </w:tr>
    </w:tbl>
    <w:p w14:paraId="00F10303" w14:textId="77777777" w:rsidR="00D82994" w:rsidRPr="00D00389" w:rsidRDefault="00D82994" w:rsidP="00D82994">
      <w:pPr>
        <w:rPr>
          <w:rFonts w:ascii="Times New Roman" w:hAnsi="Times New Roman" w:cs="Times New Roman"/>
        </w:rPr>
      </w:pPr>
    </w:p>
    <w:p w14:paraId="390D4B94" w14:textId="77777777" w:rsidR="00D82994" w:rsidRPr="00D00389" w:rsidRDefault="00D82994" w:rsidP="00D82994">
      <w:pPr>
        <w:rPr>
          <w:rFonts w:ascii="Times New Roman" w:hAnsi="Times New Roman" w:cs="Times New Roman"/>
          <w:sz w:val="20"/>
          <w:szCs w:val="28"/>
        </w:rPr>
      </w:pPr>
      <w:r w:rsidRPr="00D00389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3 </w:t>
      </w:r>
      <w:r w:rsidRPr="00220BE7">
        <w:rPr>
          <w:rFonts w:ascii="Times New Roman" w:hAnsi="Times New Roman" w:cs="Times New Roman"/>
          <w:sz w:val="24"/>
          <w:szCs w:val="40"/>
        </w:rPr>
        <w:t xml:space="preserve">Definitions for severity of pyriform sinus </w:t>
      </w:r>
      <w:r>
        <w:rPr>
          <w:rFonts w:ascii="Times New Roman" w:hAnsi="Times New Roman" w:cs="Times New Roman" w:hint="eastAsia"/>
          <w:sz w:val="24"/>
          <w:szCs w:val="40"/>
        </w:rPr>
        <w:t>secretions/</w:t>
      </w:r>
      <w:r w:rsidRPr="00220BE7">
        <w:rPr>
          <w:rFonts w:ascii="Times New Roman" w:hAnsi="Times New Roman" w:cs="Times New Roman"/>
          <w:sz w:val="24"/>
          <w:szCs w:val="40"/>
        </w:rPr>
        <w:t xml:space="preserve">residue 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410"/>
        <w:gridCol w:w="1417"/>
        <w:gridCol w:w="3198"/>
      </w:tblGrid>
      <w:tr w:rsidR="00D82994" w:rsidRPr="00D00389" w14:paraId="6CB13EC5" w14:textId="77777777" w:rsidTr="00D533BB">
        <w:tc>
          <w:tcPr>
            <w:tcW w:w="1271" w:type="dxa"/>
          </w:tcPr>
          <w:p w14:paraId="4E193D2A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I</w:t>
            </w:r>
          </w:p>
        </w:tc>
        <w:tc>
          <w:tcPr>
            <w:tcW w:w="2410" w:type="dxa"/>
          </w:tcPr>
          <w:p w14:paraId="394C55BE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None</w:t>
            </w:r>
          </w:p>
        </w:tc>
        <w:tc>
          <w:tcPr>
            <w:tcW w:w="1417" w:type="dxa"/>
          </w:tcPr>
          <w:p w14:paraId="40821990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0 %</w:t>
            </w:r>
          </w:p>
        </w:tc>
        <w:tc>
          <w:tcPr>
            <w:tcW w:w="3198" w:type="dxa"/>
          </w:tcPr>
          <w:p w14:paraId="5A1B8459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 xml:space="preserve">No </w:t>
            </w:r>
            <w:r>
              <w:rPr>
                <w:rFonts w:ascii="Times New Roman" w:hAnsi="Times New Roman" w:cs="Times New Roman" w:hint="eastAsia"/>
                <w:sz w:val="20"/>
                <w:szCs w:val="28"/>
              </w:rPr>
              <w:t>secretions/</w:t>
            </w: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residue</w:t>
            </w:r>
          </w:p>
        </w:tc>
      </w:tr>
      <w:tr w:rsidR="00D82994" w:rsidRPr="00D00389" w14:paraId="3EEDD9BB" w14:textId="77777777" w:rsidTr="00D533BB">
        <w:tc>
          <w:tcPr>
            <w:tcW w:w="1271" w:type="dxa"/>
          </w:tcPr>
          <w:p w14:paraId="66C1EFBE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II</w:t>
            </w:r>
          </w:p>
        </w:tc>
        <w:tc>
          <w:tcPr>
            <w:tcW w:w="2410" w:type="dxa"/>
          </w:tcPr>
          <w:p w14:paraId="391746AF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Trace</w:t>
            </w:r>
          </w:p>
        </w:tc>
        <w:tc>
          <w:tcPr>
            <w:tcW w:w="1417" w:type="dxa"/>
          </w:tcPr>
          <w:p w14:paraId="4CFF6850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1–5 %</w:t>
            </w:r>
          </w:p>
        </w:tc>
        <w:tc>
          <w:tcPr>
            <w:tcW w:w="3198" w:type="dxa"/>
          </w:tcPr>
          <w:p w14:paraId="7D519C80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Trace coating of the mucosa</w:t>
            </w:r>
          </w:p>
        </w:tc>
      </w:tr>
      <w:tr w:rsidR="00D82994" w:rsidRPr="00D00389" w14:paraId="0696C679" w14:textId="77777777" w:rsidTr="00D533BB">
        <w:tc>
          <w:tcPr>
            <w:tcW w:w="1271" w:type="dxa"/>
          </w:tcPr>
          <w:p w14:paraId="45C69EE5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III</w:t>
            </w:r>
          </w:p>
        </w:tc>
        <w:tc>
          <w:tcPr>
            <w:tcW w:w="2410" w:type="dxa"/>
          </w:tcPr>
          <w:p w14:paraId="6FCA875D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Mild</w:t>
            </w:r>
          </w:p>
        </w:tc>
        <w:tc>
          <w:tcPr>
            <w:tcW w:w="1417" w:type="dxa"/>
          </w:tcPr>
          <w:p w14:paraId="47B7E243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5–25 %</w:t>
            </w:r>
          </w:p>
        </w:tc>
        <w:tc>
          <w:tcPr>
            <w:tcW w:w="3198" w:type="dxa"/>
          </w:tcPr>
          <w:p w14:paraId="746FF855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Up wall to quarter full</w:t>
            </w:r>
          </w:p>
        </w:tc>
      </w:tr>
      <w:tr w:rsidR="00D82994" w:rsidRPr="00D00389" w14:paraId="3EDBAEB1" w14:textId="77777777" w:rsidTr="00D533BB">
        <w:tc>
          <w:tcPr>
            <w:tcW w:w="1271" w:type="dxa"/>
          </w:tcPr>
          <w:p w14:paraId="6148D185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IV</w:t>
            </w:r>
          </w:p>
        </w:tc>
        <w:tc>
          <w:tcPr>
            <w:tcW w:w="2410" w:type="dxa"/>
          </w:tcPr>
          <w:p w14:paraId="419AB2AF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Moderate</w:t>
            </w:r>
          </w:p>
        </w:tc>
        <w:tc>
          <w:tcPr>
            <w:tcW w:w="1417" w:type="dxa"/>
          </w:tcPr>
          <w:p w14:paraId="66C5B578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25–50 %</w:t>
            </w:r>
          </w:p>
        </w:tc>
        <w:tc>
          <w:tcPr>
            <w:tcW w:w="3198" w:type="dxa"/>
          </w:tcPr>
          <w:p w14:paraId="49CFAAE3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Up wall to half full</w:t>
            </w:r>
          </w:p>
        </w:tc>
      </w:tr>
      <w:tr w:rsidR="00D82994" w:rsidRPr="00D00389" w14:paraId="681ED340" w14:textId="77777777" w:rsidTr="00D533BB">
        <w:tc>
          <w:tcPr>
            <w:tcW w:w="1271" w:type="dxa"/>
          </w:tcPr>
          <w:p w14:paraId="0CC9892E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2410" w:type="dxa"/>
          </w:tcPr>
          <w:p w14:paraId="2AA06B20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Severe</w:t>
            </w:r>
          </w:p>
        </w:tc>
        <w:tc>
          <w:tcPr>
            <w:tcW w:w="1417" w:type="dxa"/>
          </w:tcPr>
          <w:p w14:paraId="673A740D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sym w:font="Symbol" w:char="F03E"/>
            </w: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50 %</w:t>
            </w:r>
          </w:p>
        </w:tc>
        <w:tc>
          <w:tcPr>
            <w:tcW w:w="3198" w:type="dxa"/>
          </w:tcPr>
          <w:p w14:paraId="48831739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Filled to aryepiglottic fold</w:t>
            </w:r>
          </w:p>
        </w:tc>
      </w:tr>
    </w:tbl>
    <w:p w14:paraId="019B2D86" w14:textId="77777777" w:rsidR="00D82994" w:rsidRPr="00D00389" w:rsidRDefault="00D82994" w:rsidP="00D82994">
      <w:pPr>
        <w:rPr>
          <w:rFonts w:ascii="Times New Roman" w:hAnsi="Times New Roman" w:cs="Times New Roman"/>
        </w:rPr>
      </w:pPr>
    </w:p>
    <w:p w14:paraId="392E170A" w14:textId="77777777" w:rsidR="00D82994" w:rsidRPr="00D00389" w:rsidRDefault="00D82994" w:rsidP="00D82994">
      <w:pPr>
        <w:rPr>
          <w:rFonts w:ascii="Times New Roman" w:hAnsi="Times New Roman" w:cs="Times New Roman"/>
        </w:rPr>
      </w:pPr>
      <w:r w:rsidRPr="00D00389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 w:rsidRPr="00220BE7">
        <w:rPr>
          <w:rFonts w:ascii="Times New Roman" w:hAnsi="Times New Roman" w:cs="Times New Roman" w:hint="eastAsia"/>
          <w:b/>
          <w:bCs/>
          <w:sz w:val="32"/>
          <w:szCs w:val="36"/>
        </w:rPr>
        <w:t xml:space="preserve"> </w:t>
      </w:r>
      <w:r w:rsidRPr="00220BE7">
        <w:rPr>
          <w:rFonts w:ascii="Times New Roman" w:hAnsi="Times New Roman" w:cs="Times New Roman"/>
          <w:sz w:val="24"/>
          <w:szCs w:val="28"/>
        </w:rPr>
        <w:t xml:space="preserve">The </w:t>
      </w:r>
      <w:r>
        <w:rPr>
          <w:rFonts w:ascii="Times New Roman" w:hAnsi="Times New Roman" w:cs="Times New Roman" w:hint="eastAsia"/>
          <w:sz w:val="24"/>
          <w:szCs w:val="28"/>
        </w:rPr>
        <w:t>p</w:t>
      </w:r>
      <w:r w:rsidRPr="00220BE7">
        <w:rPr>
          <w:rFonts w:ascii="Times New Roman" w:hAnsi="Times New Roman" w:cs="Times New Roman"/>
          <w:sz w:val="24"/>
          <w:szCs w:val="28"/>
        </w:rPr>
        <w:t xml:space="preserve">enetration &amp; </w:t>
      </w:r>
      <w:r>
        <w:rPr>
          <w:rFonts w:ascii="Times New Roman" w:hAnsi="Times New Roman" w:cs="Times New Roman" w:hint="eastAsia"/>
          <w:sz w:val="24"/>
          <w:szCs w:val="28"/>
        </w:rPr>
        <w:t>a</w:t>
      </w:r>
      <w:r w:rsidRPr="00220BE7">
        <w:rPr>
          <w:rFonts w:ascii="Times New Roman" w:hAnsi="Times New Roman" w:cs="Times New Roman"/>
          <w:sz w:val="24"/>
          <w:szCs w:val="28"/>
        </w:rPr>
        <w:t xml:space="preserve">spiration </w:t>
      </w:r>
      <w:r>
        <w:rPr>
          <w:rFonts w:ascii="Times New Roman" w:hAnsi="Times New Roman" w:cs="Times New Roman" w:hint="eastAsia"/>
          <w:sz w:val="24"/>
          <w:szCs w:val="28"/>
        </w:rPr>
        <w:t>s</w:t>
      </w:r>
      <w:r w:rsidRPr="00220BE7">
        <w:rPr>
          <w:rFonts w:ascii="Times New Roman" w:hAnsi="Times New Roman" w:cs="Times New Roman"/>
          <w:sz w:val="24"/>
          <w:szCs w:val="28"/>
        </w:rPr>
        <w:t>cale (PAS)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6"/>
      </w:tblGrid>
      <w:tr w:rsidR="00D82994" w:rsidRPr="00D00389" w14:paraId="766CA238" w14:textId="77777777" w:rsidTr="00D533BB">
        <w:tc>
          <w:tcPr>
            <w:tcW w:w="1271" w:type="dxa"/>
          </w:tcPr>
          <w:p w14:paraId="3836BEAA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Scale</w:t>
            </w:r>
          </w:p>
        </w:tc>
        <w:tc>
          <w:tcPr>
            <w:tcW w:w="6526" w:type="dxa"/>
          </w:tcPr>
          <w:p w14:paraId="273D5182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Description</w:t>
            </w:r>
          </w:p>
        </w:tc>
      </w:tr>
      <w:tr w:rsidR="00D82994" w:rsidRPr="00D00389" w14:paraId="643F07A0" w14:textId="77777777" w:rsidTr="00D533BB">
        <w:tc>
          <w:tcPr>
            <w:tcW w:w="1271" w:type="dxa"/>
          </w:tcPr>
          <w:p w14:paraId="40982ED0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6526" w:type="dxa"/>
          </w:tcPr>
          <w:p w14:paraId="2948ADC4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Material does not enter the airway.</w:t>
            </w:r>
          </w:p>
        </w:tc>
      </w:tr>
      <w:tr w:rsidR="00D82994" w:rsidRPr="00D00389" w14:paraId="2A22A1A2" w14:textId="77777777" w:rsidTr="00D533BB">
        <w:tc>
          <w:tcPr>
            <w:tcW w:w="1271" w:type="dxa"/>
          </w:tcPr>
          <w:p w14:paraId="611473A4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6526" w:type="dxa"/>
          </w:tcPr>
          <w:p w14:paraId="68A557B5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Material enters the airway, remains above the vocal folds, and is ejected from the airway.</w:t>
            </w:r>
          </w:p>
        </w:tc>
      </w:tr>
      <w:tr w:rsidR="00D82994" w:rsidRPr="00D00389" w14:paraId="041765DB" w14:textId="77777777" w:rsidTr="00D533BB">
        <w:tc>
          <w:tcPr>
            <w:tcW w:w="1271" w:type="dxa"/>
          </w:tcPr>
          <w:p w14:paraId="0D9F8664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6526" w:type="dxa"/>
          </w:tcPr>
          <w:p w14:paraId="3BF36932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Material enters the airway, remains above the vocal folds, and is not ejected from the airway.</w:t>
            </w:r>
          </w:p>
        </w:tc>
      </w:tr>
      <w:tr w:rsidR="00D82994" w:rsidRPr="00D00389" w14:paraId="5D01A5F7" w14:textId="77777777" w:rsidTr="00D533BB">
        <w:tc>
          <w:tcPr>
            <w:tcW w:w="1271" w:type="dxa"/>
          </w:tcPr>
          <w:p w14:paraId="10AB2900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6526" w:type="dxa"/>
          </w:tcPr>
          <w:p w14:paraId="11509F72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Material enters the airway, contacts the vocal folds, and is ejected from the airway.</w:t>
            </w:r>
          </w:p>
        </w:tc>
      </w:tr>
      <w:tr w:rsidR="00D82994" w:rsidRPr="00D00389" w14:paraId="55281D9D" w14:textId="77777777" w:rsidTr="00D533BB">
        <w:tc>
          <w:tcPr>
            <w:tcW w:w="1271" w:type="dxa"/>
          </w:tcPr>
          <w:p w14:paraId="2348CE7F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6526" w:type="dxa"/>
          </w:tcPr>
          <w:p w14:paraId="3B26A8D7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Material enters the airway, contacts the vocal folds, and is not ejected from the airway.</w:t>
            </w:r>
          </w:p>
        </w:tc>
      </w:tr>
      <w:tr w:rsidR="00D82994" w:rsidRPr="00D00389" w14:paraId="304C276A" w14:textId="77777777" w:rsidTr="00D533BB">
        <w:tc>
          <w:tcPr>
            <w:tcW w:w="1271" w:type="dxa"/>
          </w:tcPr>
          <w:p w14:paraId="7F05043F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6526" w:type="dxa"/>
          </w:tcPr>
          <w:p w14:paraId="7E80DA85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Material enters the airway, passes below the vocal folds, and is ejected into the larynx or out of the airway.</w:t>
            </w:r>
          </w:p>
        </w:tc>
      </w:tr>
      <w:tr w:rsidR="00D82994" w:rsidRPr="00D00389" w14:paraId="686402E4" w14:textId="77777777" w:rsidTr="00D533BB">
        <w:tc>
          <w:tcPr>
            <w:tcW w:w="1271" w:type="dxa"/>
          </w:tcPr>
          <w:p w14:paraId="7490D42A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7</w:t>
            </w:r>
          </w:p>
        </w:tc>
        <w:tc>
          <w:tcPr>
            <w:tcW w:w="6526" w:type="dxa"/>
          </w:tcPr>
          <w:p w14:paraId="7328341C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Material enters the airway, passes below the vocal folds, and is not ejected from the trachea despite efforts.</w:t>
            </w:r>
          </w:p>
        </w:tc>
      </w:tr>
      <w:tr w:rsidR="00D82994" w:rsidRPr="00D00389" w14:paraId="1781A0A6" w14:textId="77777777" w:rsidTr="00D533BB">
        <w:tc>
          <w:tcPr>
            <w:tcW w:w="1271" w:type="dxa"/>
          </w:tcPr>
          <w:p w14:paraId="5FCFD43F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6526" w:type="dxa"/>
          </w:tcPr>
          <w:p w14:paraId="430E528C" w14:textId="77777777" w:rsidR="00D82994" w:rsidRPr="00D00389" w:rsidRDefault="00D82994" w:rsidP="00D533B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D00389">
              <w:rPr>
                <w:rFonts w:ascii="Times New Roman" w:hAnsi="Times New Roman" w:cs="Times New Roman"/>
                <w:sz w:val="20"/>
                <w:szCs w:val="28"/>
              </w:rPr>
              <w:t>Material enters the airway, passes below the vocal folds, and no effort is made to eject it (silent aspiration).</w:t>
            </w:r>
          </w:p>
        </w:tc>
      </w:tr>
    </w:tbl>
    <w:p w14:paraId="62FCC756" w14:textId="77777777" w:rsidR="00D82994" w:rsidRDefault="00D82994" w:rsidP="00D82994">
      <w:pPr>
        <w:rPr>
          <w:rFonts w:ascii="Times New Roman" w:hAnsi="Times New Roman" w:cs="Times New Roman"/>
          <w:sz w:val="24"/>
          <w:szCs w:val="40"/>
        </w:rPr>
      </w:pPr>
    </w:p>
    <w:p w14:paraId="34F47D8C" w14:textId="77777777" w:rsidR="00B96AF4" w:rsidRPr="00D82994" w:rsidRDefault="00B96AF4">
      <w:pPr>
        <w:rPr>
          <w:rFonts w:hint="eastAsia"/>
        </w:rPr>
      </w:pPr>
    </w:p>
    <w:sectPr w:rsidR="00B96AF4" w:rsidRPr="00D829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ABC31" w14:textId="77777777" w:rsidR="0023642C" w:rsidRDefault="0023642C" w:rsidP="00D82994">
      <w:pPr>
        <w:rPr>
          <w:rFonts w:hint="eastAsia"/>
        </w:rPr>
      </w:pPr>
      <w:r>
        <w:separator/>
      </w:r>
    </w:p>
  </w:endnote>
  <w:endnote w:type="continuationSeparator" w:id="0">
    <w:p w14:paraId="2E905815" w14:textId="77777777" w:rsidR="0023642C" w:rsidRDefault="0023642C" w:rsidP="00D829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2655C" w14:textId="77777777" w:rsidR="0023642C" w:rsidRDefault="0023642C" w:rsidP="00D82994">
      <w:pPr>
        <w:rPr>
          <w:rFonts w:hint="eastAsia"/>
        </w:rPr>
      </w:pPr>
      <w:r>
        <w:separator/>
      </w:r>
    </w:p>
  </w:footnote>
  <w:footnote w:type="continuationSeparator" w:id="0">
    <w:p w14:paraId="72103260" w14:textId="77777777" w:rsidR="0023642C" w:rsidRDefault="0023642C" w:rsidP="00D8299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11"/>
    <w:rsid w:val="00027C53"/>
    <w:rsid w:val="0023642C"/>
    <w:rsid w:val="00804F11"/>
    <w:rsid w:val="00A836E3"/>
    <w:rsid w:val="00B96AF4"/>
    <w:rsid w:val="00BF4E7E"/>
    <w:rsid w:val="00D82994"/>
    <w:rsid w:val="00FE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9499930-0DCA-4D67-8AB2-6AE464F2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99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F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F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F1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F1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F1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F1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F1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F1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04F1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04F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04F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04F1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04F1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04F1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04F1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04F1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04F1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04F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04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4F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04F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4F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04F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4F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4F1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4F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04F1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04F1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29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299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29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2994"/>
    <w:rPr>
      <w:sz w:val="18"/>
      <w:szCs w:val="18"/>
    </w:rPr>
  </w:style>
  <w:style w:type="table" w:styleId="af2">
    <w:name w:val="Table Grid"/>
    <w:basedOn w:val="a1"/>
    <w:uiPriority w:val="39"/>
    <w:rsid w:val="00D829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Company>中山大学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 zhang</dc:creator>
  <cp:keywords/>
  <dc:description/>
  <cp:lastModifiedBy>jie zhang</cp:lastModifiedBy>
  <cp:revision>2</cp:revision>
  <dcterms:created xsi:type="dcterms:W3CDTF">2025-01-27T15:11:00Z</dcterms:created>
  <dcterms:modified xsi:type="dcterms:W3CDTF">2025-01-27T15:11:00Z</dcterms:modified>
</cp:coreProperties>
</file>