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3923D" w14:textId="77777777" w:rsidR="00522ABC" w:rsidRPr="00081737" w:rsidRDefault="00522ABC" w:rsidP="00522A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1737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67CB6790" w14:textId="77777777" w:rsidR="00BF1228" w:rsidRPr="001B1ACE" w:rsidRDefault="00BF1228" w:rsidP="00BF122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B1ACE">
        <w:rPr>
          <w:rFonts w:ascii="Times New Roman" w:hAnsi="Times New Roman" w:cs="Times New Roman"/>
          <w:b/>
          <w:bCs/>
          <w:sz w:val="32"/>
          <w:szCs w:val="32"/>
        </w:rPr>
        <w:t>Biological Impact of Adding Albumin and Silver Nanoparticles to Concentrated Growth Factors</w:t>
      </w:r>
    </w:p>
    <w:p w14:paraId="24C6CD63" w14:textId="77777777" w:rsidR="00522ABC" w:rsidRPr="00A202A9" w:rsidRDefault="00522ABC" w:rsidP="00522ABC">
      <w:pPr>
        <w:jc w:val="both"/>
        <w:rPr>
          <w:rFonts w:ascii="Times New Roman" w:hAnsi="Times New Roman" w:cs="Times New Roman"/>
          <w:b/>
          <w:bCs/>
          <w:color w:val="131413"/>
          <w:kern w:val="0"/>
          <w:sz w:val="20"/>
          <w:szCs w:val="20"/>
        </w:rPr>
      </w:pPr>
    </w:p>
    <w:p w14:paraId="79C2207C" w14:textId="77777777" w:rsidR="00522ABC" w:rsidRDefault="00522ABC" w:rsidP="00522A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  <w14:ligatures w14:val="none"/>
        </w:rPr>
      </w:pPr>
      <w:r w:rsidRPr="0060644A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  <w14:ligatures w14:val="none"/>
        </w:rPr>
        <w:t>Authors and Affiliations</w:t>
      </w:r>
    </w:p>
    <w:p w14:paraId="7312B844" w14:textId="77777777" w:rsidR="009E7B64" w:rsidRPr="00100812" w:rsidRDefault="009E7B64" w:rsidP="009E7B64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lang w:eastAsia="en-GB"/>
          <w14:ligatures w14:val="none"/>
        </w:rPr>
      </w:pPr>
      <w:r w:rsidRPr="00100812">
        <w:rPr>
          <w:rFonts w:ascii="Times New Roman" w:hAnsi="Times New Roman" w:cs="Times New Roman"/>
          <w:i/>
          <w:iCs/>
          <w:kern w:val="0"/>
        </w:rPr>
        <w:t>Akram A. Alshirah¹˒²*, Mohamed Hassan Elnaem², Ziad Al-Ani³, Ibrahim M. Banat⁴, Barry</w:t>
      </w:r>
      <w:r>
        <w:rPr>
          <w:rFonts w:ascii="Times New Roman" w:hAnsi="Times New Roman" w:cs="Times New Roman"/>
          <w:i/>
          <w:iCs/>
          <w:kern w:val="0"/>
        </w:rPr>
        <w:t xml:space="preserve"> M. G. </w:t>
      </w:r>
      <w:r w:rsidRPr="00100812">
        <w:rPr>
          <w:rFonts w:ascii="Times New Roman" w:hAnsi="Times New Roman" w:cs="Times New Roman"/>
          <w:i/>
          <w:iCs/>
          <w:kern w:val="0"/>
        </w:rPr>
        <w:t>O’Hagan⁴, Deborah Lowry², Nigel</w:t>
      </w:r>
      <w:r>
        <w:rPr>
          <w:rFonts w:ascii="Times New Roman" w:hAnsi="Times New Roman" w:cs="Times New Roman"/>
          <w:i/>
          <w:iCs/>
          <w:kern w:val="0"/>
        </w:rPr>
        <w:t xml:space="preserve"> G.</w:t>
      </w:r>
      <w:r w:rsidRPr="00100812">
        <w:rPr>
          <w:rFonts w:ascii="Times New Roman" w:hAnsi="Times New Roman" w:cs="Times New Roman"/>
          <w:i/>
          <w:iCs/>
          <w:kern w:val="0"/>
        </w:rPr>
        <w:t xml:space="preserve"> Ternan⁴, Maher Almasri⁵, Paul A. McCarron²*</w:t>
      </w:r>
    </w:p>
    <w:p w14:paraId="43FC7B2C" w14:textId="77777777" w:rsidR="00070E7B" w:rsidRPr="006716ED" w:rsidRDefault="00070E7B" w:rsidP="00070E7B">
      <w:pPr>
        <w:spacing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</w:pPr>
      <w:r w:rsidRPr="006716ED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t>¹ Periodontology Department, College of Medicine and Dentistry, Ulster University,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t xml:space="preserve"> Birmingham</w:t>
      </w:r>
      <w:r w:rsidRPr="006716ED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t xml:space="preserve"> B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t>4 6BN</w:t>
      </w:r>
      <w:r w:rsidRPr="006716ED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t>, United Kingdom</w:t>
      </w:r>
      <w:r w:rsidRPr="006716ED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br/>
        <w:t>² School of Pharmacy and Pharmaceutical Sciences, Faculty of Life &amp; Health Sciences, Ulster University, Coleraine BT52 1SA, United Kingdom</w:t>
      </w:r>
      <w:r w:rsidRPr="006716ED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br/>
        <w:t>³ School of Medicine, Dentistry &amp; Nursing, Glasgow Dental Hospital &amp; School, 378 Sauchiehall Street, Glasgow G2 3JZ, United Kingdom</w:t>
      </w:r>
      <w:r w:rsidRPr="006716ED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br/>
        <w:t>⁴ School of Biomedical Sciences, Faculty of Life &amp; Health Sciences, Ulster University, Coleraine BT52 1SA, United Kingdom</w:t>
      </w:r>
      <w:r w:rsidRPr="006716ED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br/>
        <w:t>⁵ Director, College of Medicine and Dentistry, Independent Researcher</w:t>
      </w:r>
    </w:p>
    <w:p w14:paraId="480E0D0B" w14:textId="77777777" w:rsidR="00070E7B" w:rsidRPr="006716ED" w:rsidRDefault="00070E7B" w:rsidP="00070E7B">
      <w:pPr>
        <w:spacing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</w:pPr>
      <w:r w:rsidRPr="006716ED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  <w14:ligatures w14:val="none"/>
        </w:rPr>
        <w:t>*Correspondence: Dr. Akram A. Alshirah (alshirahakram@gmail.com); Prof. Paul A. McCarron (p.mccarron@ulster.ac.uk)</w:t>
      </w:r>
    </w:p>
    <w:p w14:paraId="3722462F" w14:textId="77777777" w:rsidR="00862AE6" w:rsidRPr="0060644A" w:rsidRDefault="00862AE6" w:rsidP="00522A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  <w14:ligatures w14:val="none"/>
        </w:rPr>
      </w:pPr>
    </w:p>
    <w:p w14:paraId="6E224B1B" w14:textId="77777777" w:rsidR="00522ABC" w:rsidRPr="00081737" w:rsidRDefault="00000000" w:rsidP="00522A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  <w14:ligatures w14:val="none"/>
        </w:rPr>
        <w:pict w14:anchorId="2540860E">
          <v:rect id="_x0000_i1025" style="width:0;height:1.5pt" o:hralign="center" o:bullet="t" o:hrstd="t" o:hr="t" fillcolor="#a0a0a0" stroked="f"/>
        </w:pict>
      </w:r>
    </w:p>
    <w:p w14:paraId="34A832F6" w14:textId="77777777" w:rsidR="00522ABC" w:rsidRPr="002A67CE" w:rsidRDefault="00522ABC" w:rsidP="00522AB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  <w14:ligatures w14:val="none"/>
        </w:rPr>
      </w:pPr>
      <w:r w:rsidRPr="002A67CE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  <w14:ligatures w14:val="none"/>
        </w:rPr>
        <w:t>Abbreviations Arranged Alphabetically:</w:t>
      </w:r>
    </w:p>
    <w:p w14:paraId="3C2372BB" w14:textId="07468BD2" w:rsidR="007D3C88" w:rsidRDefault="00B52D35" w:rsidP="00B52D35">
      <w:pPr>
        <w:pStyle w:val="NormalWeb"/>
        <w:jc w:val="both"/>
        <w:rPr>
          <w:b/>
          <w:bCs/>
        </w:rPr>
      </w:pPr>
      <w:r w:rsidRPr="00B52D35">
        <w:rPr>
          <w:sz w:val="20"/>
          <w:szCs w:val="20"/>
        </w:rPr>
        <w:t>A-PRF (Advanced Platelet-Rich Fibrin); A-PRF+ (Advanced Platelet-Rich Fibrin Plus); A</w:t>
      </w:r>
      <w:r>
        <w:rPr>
          <w:sz w:val="20"/>
          <w:szCs w:val="20"/>
        </w:rPr>
        <w:t>LB</w:t>
      </w:r>
      <w:r w:rsidRPr="00B52D35">
        <w:rPr>
          <w:sz w:val="20"/>
          <w:szCs w:val="20"/>
        </w:rPr>
        <w:t>-CGF (Albumin-Concentrated Growth Factor); A</w:t>
      </w:r>
      <w:r>
        <w:rPr>
          <w:sz w:val="20"/>
          <w:szCs w:val="20"/>
        </w:rPr>
        <w:t>LB</w:t>
      </w:r>
      <w:r w:rsidRPr="00B52D35">
        <w:rPr>
          <w:sz w:val="20"/>
          <w:szCs w:val="20"/>
        </w:rPr>
        <w:t xml:space="preserve">-CGF-SNP (Albumin-Concentrated Growth Factor with Silver Nanoparticles); ALB-PRF (Albumin–Platelet-Rich Fibrin); ANOVA (Analysis of Variance); AP-1 (Activator Protein-1); APAG® (Activated Plasma Albumin Gel); APCs (Autologous Platelet Concentrates); ATCC (American Type Culture Collection); BCA (Bicinchoninic Acid Assay); CFU (Colony-Forming Unit); C-PRF (Concentrated Platelet-Rich Fibrin); CGF (Concentrated Growth Factor); CI (Confidence Interval); CTG (Connective Tissue Graft); DMEM (Dulbecco’s Modified Eagle Medium); e-PRF (Extended Platelet-Rich Fibrin); EDTA (Ethylenediaminetetraacetic Acid); EGF (Epidermal Growth Factor); ELISA (Enzyme-Linked Immunosorbent Assay); FDA (Food and Drug Administration); GBR (Guided Bone Regeneration); GRO-α (Growth-Regulated Alpha Protein); GTR (Guided Tissue Regeneration); h (hour); HDFs (Human Dermal Fibroblasts); HISU (Human Intervention Studies Unit); H-PRF (Horizontal Platelet-Rich Fibrin); HSD (Honestly Significant Difference); </w:t>
      </w:r>
      <w:proofErr w:type="spellStart"/>
      <w:r w:rsidRPr="00B52D35">
        <w:rPr>
          <w:sz w:val="20"/>
          <w:szCs w:val="20"/>
        </w:rPr>
        <w:t>i</w:t>
      </w:r>
      <w:proofErr w:type="spellEnd"/>
      <w:r w:rsidRPr="00B52D35">
        <w:rPr>
          <w:sz w:val="20"/>
          <w:szCs w:val="20"/>
        </w:rPr>
        <w:t xml:space="preserve">-PRF (Injectable Platelet-Rich Fibrin); IL-6 (Interleukin-6); IL-8 (Interleukin-8); L-PRF® (Leukocyte-Platelet Rich Fibrin); MAPK (Mitogen-Activated Protein Kinase); MBC (Minimum Bactericidal Concentration); MIC (Minimum Inhibitory Concentration); min (minute); MIP-1α (Macrophage Inflammatory Protein-1 alpha); NAP-2 (Neutrophil-Activating Peptide-2); </w:t>
      </w:r>
      <w:proofErr w:type="spellStart"/>
      <w:r w:rsidRPr="00B52D35">
        <w:rPr>
          <w:sz w:val="20"/>
          <w:szCs w:val="20"/>
        </w:rPr>
        <w:t>ncHA</w:t>
      </w:r>
      <w:proofErr w:type="spellEnd"/>
      <w:r w:rsidRPr="00B52D35">
        <w:rPr>
          <w:sz w:val="20"/>
          <w:szCs w:val="20"/>
        </w:rPr>
        <w:t xml:space="preserve"> (Nano-Carbonated Hydroxyapatite); PASS (Primary closure, Angiogenesis, Stability, Space maintenance); PBMCs (Peripheral Blood Mononuclear Cells); PDGF (Platelet-Derived Growth Factor); PDI (Polydispersity Index); PPP (Platelet-Poor Plasma); PPTF (Platelet-Poor Plasma–Thrombin Activated Fibrin); PRF (Platelet-Rich Fibrin); PRFM (Platelet-Rich Fibrin Matrix); PRGF (Plasma Rich in Growth Factors); PRP (Platelet-Rich Plasma); PVA (Polyvinyl Alcohol); RANTES (Regulated upon Activation, Normal T-cell Expressed and Secreted); RCTs (Randomised Controlled Trials); REC (Research Ethics Committee); RNA (Ribonucleic Acid); s (second); SDF-1α (Stromal Cell-Derived Factor-1 alpha); SEM (Scanning Electron Microscopy); SNPs (Silver Nanoparticles); TGF (Transforming Growth Factor); TSA (Tryptone Soya Agar); TSB (Tryptone Soya Broth); UVA (Ultraviolet A); VEGF (Vascular Endothelial Growth Factor); Z-Ave (Z-Average Particle Size)</w:t>
      </w:r>
    </w:p>
    <w:p w14:paraId="78BCC4C2" w14:textId="77777777" w:rsidR="00B52D35" w:rsidRDefault="00B52D35" w:rsidP="00522ABC">
      <w:pPr>
        <w:pStyle w:val="NormalWeb"/>
        <w:rPr>
          <w:b/>
          <w:bCs/>
        </w:rPr>
      </w:pPr>
    </w:p>
    <w:p w14:paraId="3851648E" w14:textId="0E589E47" w:rsidR="00522ABC" w:rsidRPr="004A081C" w:rsidRDefault="00522ABC" w:rsidP="00522ABC">
      <w:pPr>
        <w:pStyle w:val="NormalWeb"/>
        <w:rPr>
          <w:b/>
          <w:bCs/>
          <w:sz w:val="20"/>
          <w:szCs w:val="20"/>
        </w:rPr>
      </w:pPr>
      <w:r w:rsidRPr="004A081C">
        <w:rPr>
          <w:b/>
          <w:bCs/>
          <w:sz w:val="20"/>
          <w:szCs w:val="20"/>
        </w:rPr>
        <w:lastRenderedPageBreak/>
        <w:t>Appendix Table</w:t>
      </w:r>
      <w:r w:rsidR="007D3C88" w:rsidRPr="004A081C">
        <w:rPr>
          <w:b/>
          <w:bCs/>
          <w:sz w:val="20"/>
          <w:szCs w:val="20"/>
        </w:rPr>
        <w:t xml:space="preserve"> 1</w:t>
      </w:r>
      <w:r w:rsidRPr="004A081C">
        <w:rPr>
          <w:b/>
          <w:bCs/>
          <w:sz w:val="20"/>
          <w:szCs w:val="20"/>
        </w:rPr>
        <w:t>:</w:t>
      </w:r>
    </w:p>
    <w:tbl>
      <w:tblPr>
        <w:tblW w:w="1041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6"/>
        <w:gridCol w:w="6082"/>
      </w:tblGrid>
      <w:tr w:rsidR="00522ABC" w:rsidRPr="002A67CE" w14:paraId="05DAAE0F" w14:textId="77777777" w:rsidTr="000F3477">
        <w:trPr>
          <w:trHeight w:val="349"/>
          <w:tblHeader/>
          <w:tblCellSpacing w:w="15" w:type="dxa"/>
        </w:trPr>
        <w:tc>
          <w:tcPr>
            <w:tcW w:w="0" w:type="auto"/>
            <w:shd w:val="clear" w:color="auto" w:fill="0B769F" w:themeFill="accent4" w:themeFillShade="BF"/>
            <w:vAlign w:val="center"/>
            <w:hideMark/>
          </w:tcPr>
          <w:p w14:paraId="258B5FC6" w14:textId="77777777" w:rsidR="00522ABC" w:rsidRPr="002A67CE" w:rsidRDefault="00522ABC" w:rsidP="000F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n-GB"/>
                <w14:ligatures w14:val="none"/>
              </w:rPr>
              <w:t>Inclusion Criteria</w:t>
            </w:r>
          </w:p>
        </w:tc>
        <w:tc>
          <w:tcPr>
            <w:tcW w:w="0" w:type="auto"/>
            <w:shd w:val="clear" w:color="auto" w:fill="0B769F" w:themeFill="accent4" w:themeFillShade="BF"/>
            <w:vAlign w:val="center"/>
            <w:hideMark/>
          </w:tcPr>
          <w:p w14:paraId="6EE5EDA4" w14:textId="77777777" w:rsidR="00522ABC" w:rsidRPr="002A67CE" w:rsidRDefault="00522ABC" w:rsidP="000F3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kern w:val="0"/>
                <w:sz w:val="20"/>
                <w:szCs w:val="20"/>
                <w:lang w:eastAsia="en-GB"/>
                <w14:ligatures w14:val="none"/>
              </w:rPr>
              <w:t>Exclusion Criteria</w:t>
            </w:r>
          </w:p>
        </w:tc>
      </w:tr>
      <w:tr w:rsidR="00522ABC" w:rsidRPr="002A67CE" w14:paraId="4B582EF4" w14:textId="77777777" w:rsidTr="000F3477">
        <w:trPr>
          <w:trHeight w:val="698"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31542421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Systemically healthy individuals aged between 25 and 50 years.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03FAE60D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Pregnant or lactating women, and those menstruating at the time of the study.</w:t>
            </w:r>
          </w:p>
        </w:tc>
      </w:tr>
      <w:tr w:rsidR="00522ABC" w:rsidRPr="002A67CE" w14:paraId="3AD92A67" w14:textId="77777777" w:rsidTr="000F3477">
        <w:trPr>
          <w:trHeight w:val="1049"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110E2341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No use of local or systemic antibiotics or antiseptics within three months prior to the study.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666B3B91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Individuals with blood-borne infections (e.g., HIV, Hepatitis B or C).</w:t>
            </w:r>
          </w:p>
        </w:tc>
      </w:tr>
      <w:tr w:rsidR="00522ABC" w:rsidRPr="002A67CE" w14:paraId="4CAC066A" w14:textId="77777777" w:rsidTr="000F3477">
        <w:trPr>
          <w:trHeight w:val="698"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383C8D81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Willing to consent to donating blood for the research.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060D70C6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Individuals are unable to provide informed consent.</w:t>
            </w:r>
          </w:p>
        </w:tc>
      </w:tr>
      <w:tr w:rsidR="00522ABC" w:rsidRPr="002A67CE" w14:paraId="48853060" w14:textId="77777777" w:rsidTr="000F3477">
        <w:trPr>
          <w:trHeight w:val="1049"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7E7EE9F8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Able to comprehend the study's objectives and provide informed consent.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65E2CAA6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Those with medical conditions or a history of systemic disorders.</w:t>
            </w:r>
          </w:p>
        </w:tc>
      </w:tr>
      <w:tr w:rsidR="00522ABC" w:rsidRPr="002A67CE" w14:paraId="27BF4712" w14:textId="77777777" w:rsidTr="000F3477">
        <w:trPr>
          <w:trHeight w:val="698"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389DA632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Non-smokers and free from infections or systemic disorders.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12FDA568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Recent use of anticoagulants or other medications in the past three months.</w:t>
            </w:r>
          </w:p>
        </w:tc>
      </w:tr>
      <w:tr w:rsidR="00522ABC" w:rsidRPr="002A67CE" w14:paraId="52CC8190" w14:textId="77777777" w:rsidTr="000F3477">
        <w:trPr>
          <w:trHeight w:val="698"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70165188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No use of non-steroidal anti-inflammatory drugs.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2342C000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Smokers and individuals who consumed alcohol within the previous 72 hours.</w:t>
            </w:r>
          </w:p>
        </w:tc>
      </w:tr>
      <w:tr w:rsidR="00522ABC" w:rsidRPr="002A67CE" w14:paraId="7FFBB319" w14:textId="77777777" w:rsidTr="000F3477">
        <w:trPr>
          <w:trHeight w:val="1049"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0A9348AF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Hemoglobin</w:t>
            </w:r>
            <w:proofErr w:type="spellEnd"/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levels greater than 11g/dl and platelet count exceeding 150,000/mm³.</w:t>
            </w:r>
          </w:p>
        </w:tc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4F580D1B" w14:textId="77777777" w:rsidR="00522ABC" w:rsidRPr="002A67CE" w:rsidRDefault="00522ABC" w:rsidP="000F34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A67C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Men who have donated more than 500ml of blood or women who have donated more than 250ml of blood within the past six months.</w:t>
            </w:r>
          </w:p>
        </w:tc>
      </w:tr>
    </w:tbl>
    <w:p w14:paraId="7612D4AB" w14:textId="106A4954" w:rsidR="00522ABC" w:rsidRPr="004A081C" w:rsidRDefault="00522ABC" w:rsidP="00522A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  <w14:ligatures w14:val="none"/>
        </w:rPr>
      </w:pPr>
      <w:r w:rsidRPr="004A081C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4A081C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  <w14:ligatures w14:val="none"/>
        </w:rPr>
        <w:t>ppendix Table</w:t>
      </w:r>
      <w:r w:rsidR="00C21774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  <w14:ligatures w14:val="none"/>
        </w:rPr>
        <w:t xml:space="preserve"> 1.</w:t>
      </w:r>
      <w:r w:rsidRPr="004A081C">
        <w:rPr>
          <w:rFonts w:ascii="Times New Roman" w:eastAsia="Times New Roman" w:hAnsi="Times New Roman" w:cs="Times New Roman"/>
          <w:sz w:val="20"/>
          <w:szCs w:val="20"/>
          <w:lang w:eastAsia="en-GB"/>
          <w14:ligatures w14:val="none"/>
        </w:rPr>
        <w:t xml:space="preserve"> Inclusion and exclusion criteria for study participants.</w:t>
      </w:r>
    </w:p>
    <w:p w14:paraId="0A249C0E" w14:textId="566881DC" w:rsidR="00BE31CA" w:rsidRDefault="00D0653F" w:rsidP="00CC0131">
      <w:pPr>
        <w:jc w:val="both"/>
      </w:pPr>
      <w:r w:rsidRPr="00D0653F">
        <w:t xml:space="preserve"> </w:t>
      </w:r>
    </w:p>
    <w:sectPr w:rsidR="00BE31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57584"/>
    <w:multiLevelType w:val="multilevel"/>
    <w:tmpl w:val="2E6A1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4100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73"/>
    <w:rsid w:val="000244D0"/>
    <w:rsid w:val="00062A38"/>
    <w:rsid w:val="00070E7B"/>
    <w:rsid w:val="001B23AF"/>
    <w:rsid w:val="001F380B"/>
    <w:rsid w:val="00246E20"/>
    <w:rsid w:val="00260995"/>
    <w:rsid w:val="00284C5F"/>
    <w:rsid w:val="002A3D13"/>
    <w:rsid w:val="002A67CE"/>
    <w:rsid w:val="00306C36"/>
    <w:rsid w:val="003A77B7"/>
    <w:rsid w:val="003C03E0"/>
    <w:rsid w:val="004A081C"/>
    <w:rsid w:val="004D4D7E"/>
    <w:rsid w:val="00522885"/>
    <w:rsid w:val="00522ABC"/>
    <w:rsid w:val="005535C5"/>
    <w:rsid w:val="00582FFE"/>
    <w:rsid w:val="005F1E4F"/>
    <w:rsid w:val="0060644A"/>
    <w:rsid w:val="0061655E"/>
    <w:rsid w:val="00675421"/>
    <w:rsid w:val="006C5639"/>
    <w:rsid w:val="007D3C88"/>
    <w:rsid w:val="00820273"/>
    <w:rsid w:val="00862AE6"/>
    <w:rsid w:val="008C41A1"/>
    <w:rsid w:val="009358F2"/>
    <w:rsid w:val="00967BDB"/>
    <w:rsid w:val="009E5F3F"/>
    <w:rsid w:val="009E7B64"/>
    <w:rsid w:val="00A33108"/>
    <w:rsid w:val="00AA528B"/>
    <w:rsid w:val="00B36F91"/>
    <w:rsid w:val="00B52D35"/>
    <w:rsid w:val="00B81989"/>
    <w:rsid w:val="00BC26E3"/>
    <w:rsid w:val="00BE31CA"/>
    <w:rsid w:val="00BF1228"/>
    <w:rsid w:val="00C0642B"/>
    <w:rsid w:val="00C21774"/>
    <w:rsid w:val="00CB2184"/>
    <w:rsid w:val="00CC0131"/>
    <w:rsid w:val="00D00B54"/>
    <w:rsid w:val="00D0653F"/>
    <w:rsid w:val="00D748CD"/>
    <w:rsid w:val="00D76938"/>
    <w:rsid w:val="00D94D78"/>
    <w:rsid w:val="00E15C82"/>
    <w:rsid w:val="00E30612"/>
    <w:rsid w:val="00E338CC"/>
    <w:rsid w:val="00E62C0F"/>
    <w:rsid w:val="00E870A9"/>
    <w:rsid w:val="00E8722A"/>
    <w:rsid w:val="00F21E91"/>
    <w:rsid w:val="00F31471"/>
    <w:rsid w:val="00F60FC6"/>
    <w:rsid w:val="00FA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CBB984"/>
  <w15:chartTrackingRefBased/>
  <w15:docId w15:val="{82B0DA24-5308-46DA-B3B3-D85B0728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ABC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2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2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2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2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2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ABC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22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573</Words>
  <Characters>4021</Characters>
  <Application>Microsoft Office Word</Application>
  <DocSecurity>0</DocSecurity>
  <Lines>74</Lines>
  <Paragraphs>29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Alshirah</dc:creator>
  <cp:keywords/>
  <dc:description/>
  <cp:lastModifiedBy>User</cp:lastModifiedBy>
  <cp:revision>45</cp:revision>
  <dcterms:created xsi:type="dcterms:W3CDTF">2025-03-09T04:58:00Z</dcterms:created>
  <dcterms:modified xsi:type="dcterms:W3CDTF">2025-10-31T21:34:00Z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51cc4ab9-5769-478a-bb5a-0df3a282c71c</vt:lpwstr>
  </property>
</Properties>
</file>