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1DE7F" w14:textId="77777777" w:rsidR="00A8038A" w:rsidRDefault="00DD35B0" w:rsidP="00DD35B0">
      <w:pPr>
        <w:jc w:val="center"/>
      </w:pPr>
      <w:r>
        <w:rPr>
          <w:noProof/>
        </w:rPr>
        <w:drawing>
          <wp:inline distT="0" distB="0" distL="0" distR="0" wp14:anchorId="2E1A026D" wp14:editId="36DBD85B">
            <wp:extent cx="5731510" cy="3441065"/>
            <wp:effectExtent l="0" t="0" r="2540" b="69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 figure_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17252" w14:textId="7864D90C" w:rsidR="00DD35B0" w:rsidRDefault="00DD35B0" w:rsidP="00DD35B0">
      <w:pPr>
        <w:jc w:val="left"/>
        <w:rPr>
          <w:rFonts w:ascii="Times New Roman" w:hAnsi="Times New Roman" w:cs="Times New Roman"/>
        </w:rPr>
      </w:pPr>
      <w:r w:rsidRPr="00DD35B0">
        <w:rPr>
          <w:rFonts w:ascii="Times New Roman" w:hAnsi="Times New Roman" w:cs="Times New Roman"/>
          <w:b/>
        </w:rPr>
        <w:t>Fig. S1</w:t>
      </w:r>
      <w:r>
        <w:rPr>
          <w:rFonts w:ascii="Times New Roman" w:hAnsi="Times New Roman" w:cs="Times New Roman"/>
        </w:rPr>
        <w:t xml:space="preserve"> </w:t>
      </w:r>
      <w:r w:rsidR="009F3618">
        <w:rPr>
          <w:rFonts w:ascii="Times New Roman" w:hAnsi="Times New Roman" w:cs="Times New Roman" w:hint="eastAsia"/>
        </w:rPr>
        <w:t>The s</w:t>
      </w:r>
      <w:r w:rsidRPr="00DD35B0">
        <w:rPr>
          <w:rFonts w:ascii="Times New Roman" w:hAnsi="Times New Roman" w:cs="Times New Roman"/>
        </w:rPr>
        <w:t xml:space="preserve">chematic </w:t>
      </w:r>
      <w:r w:rsidR="009F3618">
        <w:rPr>
          <w:rFonts w:ascii="Times New Roman" w:hAnsi="Times New Roman" w:cs="Times New Roman" w:hint="eastAsia"/>
        </w:rPr>
        <w:t xml:space="preserve">illustration </w:t>
      </w:r>
      <w:r w:rsidRPr="00DD35B0">
        <w:rPr>
          <w:rFonts w:ascii="Times New Roman" w:hAnsi="Times New Roman" w:cs="Times New Roman"/>
        </w:rPr>
        <w:t>of the microwave plasma system for generating plasma-activated water (PAW). The setup includes a magnetron with</w:t>
      </w:r>
      <w:r w:rsidR="009F3618">
        <w:rPr>
          <w:rFonts w:ascii="Times New Roman" w:hAnsi="Times New Roman" w:cs="Times New Roman" w:hint="eastAsia"/>
        </w:rPr>
        <w:t xml:space="preserve"> a</w:t>
      </w:r>
      <w:r w:rsidRPr="00DD35B0">
        <w:rPr>
          <w:rFonts w:ascii="Times New Roman" w:hAnsi="Times New Roman" w:cs="Times New Roman"/>
        </w:rPr>
        <w:t xml:space="preserve"> power supply, isolator, directional coupler, 2-stub tuner, and WR-340 waveguide connected to a quartz discharge tube with swirl gas input and ignitor. Plasma effluent was cooled and bubbled into water, with excess gas released through a urea water trap.</w:t>
      </w:r>
    </w:p>
    <w:p w14:paraId="7DAB98DD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3B1457C3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1677A8E3" w14:textId="77777777" w:rsidR="00812FB5" w:rsidRDefault="00812FB5" w:rsidP="00DD35B0">
      <w:pPr>
        <w:jc w:val="left"/>
        <w:rPr>
          <w:rFonts w:ascii="Times New Roman" w:hAnsi="Times New Roman" w:cs="Times New Roman"/>
        </w:rPr>
      </w:pPr>
    </w:p>
    <w:p w14:paraId="0796C62A" w14:textId="77777777" w:rsidR="00812FB5" w:rsidRDefault="00812FB5" w:rsidP="00DD35B0">
      <w:pPr>
        <w:jc w:val="left"/>
        <w:rPr>
          <w:rFonts w:ascii="Times New Roman" w:hAnsi="Times New Roman" w:cs="Times New Roman"/>
        </w:rPr>
      </w:pPr>
    </w:p>
    <w:p w14:paraId="3E3CE77D" w14:textId="77777777" w:rsidR="00812FB5" w:rsidRDefault="00812FB5" w:rsidP="00DD35B0">
      <w:pPr>
        <w:jc w:val="left"/>
        <w:rPr>
          <w:rFonts w:ascii="Times New Roman" w:hAnsi="Times New Roman" w:cs="Times New Roman"/>
        </w:rPr>
      </w:pPr>
    </w:p>
    <w:p w14:paraId="41898306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53744423" w14:textId="77777777" w:rsidR="006E411D" w:rsidRDefault="00812FB5" w:rsidP="00812FB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B07DCD9" wp14:editId="67B036BD">
            <wp:extent cx="5731510" cy="3241675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_1-2_PAW특성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6545A" w14:textId="5DDC5934" w:rsidR="006E411D" w:rsidRDefault="00812FB5" w:rsidP="00AE6F91">
      <w:pPr>
        <w:pStyle w:val="a5"/>
        <w:spacing w:before="0" w:beforeAutospacing="0" w:after="0" w:afterAutospacing="0"/>
        <w:rPr>
          <w:rFonts w:ascii="Times New Roman" w:hAnsi="Times New Roman" w:cs="Times New Roman"/>
        </w:rPr>
      </w:pPr>
      <w:r w:rsidRPr="00532747">
        <w:rPr>
          <w:rFonts w:ascii="Times New Roman" w:hAnsi="Times New Roman" w:cs="Times New Roman"/>
          <w:b/>
          <w:sz w:val="20"/>
        </w:rPr>
        <w:t xml:space="preserve">Fig. </w:t>
      </w:r>
      <w:r w:rsidR="00BC7B8F">
        <w:rPr>
          <w:rFonts w:ascii="Times New Roman" w:hAnsi="Times New Roman" w:cs="Times New Roman"/>
          <w:b/>
          <w:sz w:val="20"/>
        </w:rPr>
        <w:t>S2</w:t>
      </w:r>
      <w:r w:rsidRPr="006E15F8">
        <w:rPr>
          <w:rFonts w:ascii="Times New Roman" w:hAnsi="Times New Roman" w:cs="Times New Roman"/>
          <w:sz w:val="20"/>
        </w:rPr>
        <w:t xml:space="preserve"> </w:t>
      </w:r>
      <w:r w:rsidRPr="00FA70D4">
        <w:rPr>
          <w:rFonts w:ascii="Times New Roman" w:hAnsi="Times New Roman" w:cs="Times New Roman"/>
          <w:sz w:val="20"/>
        </w:rPr>
        <w:t>Time-dependent changes in (a) nitrate (NO</w:t>
      </w:r>
      <w:r w:rsidRPr="00D467BA">
        <w:rPr>
          <w:rFonts w:ascii="Times New Roman" w:hAnsi="Times New Roman" w:cs="Times New Roman"/>
          <w:sz w:val="20"/>
          <w:vertAlign w:val="subscript"/>
        </w:rPr>
        <w:t>3</w:t>
      </w:r>
      <w:r w:rsidRPr="00FA70D4">
        <w:rPr>
          <w:rFonts w:ascii="Times New Roman" w:hAnsi="Times New Roman" w:cs="Times New Roman"/>
          <w:sz w:val="20"/>
        </w:rPr>
        <w:t>⁻), (b) nitrite (NO</w:t>
      </w:r>
      <w:r w:rsidRPr="00D467BA">
        <w:rPr>
          <w:rFonts w:ascii="Times New Roman" w:hAnsi="Times New Roman" w:cs="Times New Roman"/>
          <w:sz w:val="20"/>
          <w:vertAlign w:val="subscript"/>
        </w:rPr>
        <w:t>2</w:t>
      </w:r>
      <w:r w:rsidRPr="00FA70D4">
        <w:rPr>
          <w:rFonts w:ascii="Times New Roman" w:hAnsi="Times New Roman" w:cs="Times New Roman"/>
          <w:sz w:val="20"/>
        </w:rPr>
        <w:t xml:space="preserve">⁻), </w:t>
      </w:r>
      <w:r>
        <w:rPr>
          <w:rFonts w:ascii="Times New Roman" w:hAnsi="Times New Roman" w:cs="Times New Roman"/>
          <w:sz w:val="20"/>
        </w:rPr>
        <w:t>(c) H</w:t>
      </w:r>
      <w:r w:rsidRPr="00690E23">
        <w:rPr>
          <w:rFonts w:ascii="Times New Roman" w:hAnsi="Times New Roman" w:cs="Times New Roman"/>
          <w:sz w:val="20"/>
          <w:vertAlign w:val="subscript"/>
        </w:rPr>
        <w:t>2</w:t>
      </w:r>
      <w:r>
        <w:rPr>
          <w:rFonts w:ascii="Times New Roman" w:hAnsi="Times New Roman" w:cs="Times New Roman"/>
          <w:sz w:val="20"/>
        </w:rPr>
        <w:t>O</w:t>
      </w:r>
      <w:r w:rsidRPr="00690E23">
        <w:rPr>
          <w:rFonts w:ascii="Times New Roman" w:hAnsi="Times New Roman" w:cs="Times New Roman"/>
          <w:sz w:val="20"/>
          <w:vertAlign w:val="subscript"/>
        </w:rPr>
        <w:t>2</w:t>
      </w:r>
      <w:r>
        <w:rPr>
          <w:rFonts w:ascii="Times New Roman" w:hAnsi="Times New Roman" w:cs="Times New Roman"/>
          <w:sz w:val="20"/>
        </w:rPr>
        <w:t xml:space="preserve">, </w:t>
      </w:r>
      <w:r w:rsidRPr="00FA70D4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>d</w:t>
      </w:r>
      <w:r w:rsidRPr="00FA70D4">
        <w:rPr>
          <w:rFonts w:ascii="Times New Roman" w:hAnsi="Times New Roman" w:cs="Times New Roman"/>
          <w:sz w:val="20"/>
        </w:rPr>
        <w:t>) pH, (</w:t>
      </w:r>
      <w:r>
        <w:rPr>
          <w:rFonts w:ascii="Times New Roman" w:hAnsi="Times New Roman" w:cs="Times New Roman"/>
          <w:sz w:val="20"/>
        </w:rPr>
        <w:t>e</w:t>
      </w:r>
      <w:r w:rsidRPr="00FA70D4">
        <w:rPr>
          <w:rFonts w:ascii="Times New Roman" w:hAnsi="Times New Roman" w:cs="Times New Roman"/>
          <w:sz w:val="20"/>
        </w:rPr>
        <w:t>) conductivity, and (</w:t>
      </w:r>
      <w:r>
        <w:rPr>
          <w:rFonts w:ascii="Times New Roman" w:hAnsi="Times New Roman" w:cs="Times New Roman"/>
          <w:sz w:val="20"/>
        </w:rPr>
        <w:t>f</w:t>
      </w:r>
      <w:r w:rsidRPr="00FA70D4">
        <w:rPr>
          <w:rFonts w:ascii="Times New Roman" w:hAnsi="Times New Roman" w:cs="Times New Roman"/>
          <w:sz w:val="20"/>
        </w:rPr>
        <w:t>) oxidation–reduction potential (ORP) of PAW during storage up to 14 days after manufacturing. Data are presented as mean ± standard deviation</w:t>
      </w:r>
      <w:r w:rsidR="00AE6F91" w:rsidRPr="00AE6F91">
        <w:rPr>
          <w:rFonts w:asciiTheme="minorHAnsi" w:eastAsiaTheme="minorEastAsia" w:hAnsiTheme="minorHAnsi" w:cstheme="minorBidi"/>
          <w:kern w:val="2"/>
          <w:sz w:val="20"/>
          <w:szCs w:val="22"/>
        </w:rPr>
        <w:t xml:space="preserve"> </w:t>
      </w:r>
      <w:r w:rsidR="00AE6F91" w:rsidRPr="00AE6F91">
        <w:rPr>
          <w:rFonts w:ascii="Times New Roman" w:hAnsi="Times New Roman" w:cs="Times New Roman"/>
          <w:color w:val="C00000"/>
          <w:sz w:val="20"/>
        </w:rPr>
        <w:t>(SD; n = 3 independent PAW batches)</w:t>
      </w:r>
      <w:r w:rsidRPr="00AE6F91">
        <w:rPr>
          <w:rFonts w:ascii="Times New Roman" w:hAnsi="Times New Roman" w:cs="Times New Roman"/>
          <w:color w:val="C00000"/>
          <w:sz w:val="20"/>
        </w:rPr>
        <w:t>.</w:t>
      </w:r>
      <w:r w:rsidR="008F51E0" w:rsidRPr="00AE6F91">
        <w:rPr>
          <w:color w:val="C00000"/>
        </w:rPr>
        <w:t xml:space="preserve"> </w:t>
      </w:r>
      <w:r w:rsidR="008F51E0" w:rsidRPr="008F51E0">
        <w:rPr>
          <w:rFonts w:ascii="Times New Roman" w:hAnsi="Times New Roman" w:cs="Times New Roman"/>
          <w:sz w:val="20"/>
        </w:rPr>
        <w:t>Concentrations of NO₃⁻, NO₂⁻, and H₂O₂ rapidly declined within the first few days and reached near-baseline levels by day 14, while pH slightly decreased and both conductivity and ORP remained stable during storage.</w:t>
      </w:r>
      <w:r w:rsidR="00AE6F91">
        <w:rPr>
          <w:rFonts w:ascii="Times New Roman" w:hAnsi="Times New Roman" w:cs="Times New Roman" w:hint="eastAsia"/>
          <w:sz w:val="20"/>
        </w:rPr>
        <w:t xml:space="preserve"> </w:t>
      </w:r>
    </w:p>
    <w:p w14:paraId="116EE39B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661E5BCA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35B45436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620F70CF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0567A333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73EC8183" w14:textId="77777777" w:rsidR="006E411D" w:rsidRDefault="006E411D" w:rsidP="00DD35B0">
      <w:pPr>
        <w:jc w:val="left"/>
        <w:rPr>
          <w:rFonts w:ascii="Times New Roman" w:hAnsi="Times New Roman" w:cs="Times New Roman"/>
        </w:rPr>
      </w:pPr>
    </w:p>
    <w:p w14:paraId="53318250" w14:textId="77777777" w:rsidR="006E411D" w:rsidRDefault="006E411D" w:rsidP="006E41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E30DC8E" wp14:editId="638A2301">
            <wp:extent cx="5731510" cy="1190625"/>
            <wp:effectExtent l="0" t="0" r="2540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Supplementary figure_치아 시편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1D7E" w14:textId="77777777" w:rsidR="006E411D" w:rsidRDefault="006E411D" w:rsidP="006E411D">
      <w:pPr>
        <w:jc w:val="left"/>
        <w:rPr>
          <w:rFonts w:ascii="Times New Roman" w:hAnsi="Times New Roman" w:cs="Times New Roman"/>
        </w:rPr>
      </w:pPr>
      <w:r w:rsidRPr="006E411D">
        <w:rPr>
          <w:rFonts w:ascii="Times New Roman" w:hAnsi="Times New Roman" w:cs="Times New Roman"/>
          <w:b/>
        </w:rPr>
        <w:t>Fig. S</w:t>
      </w:r>
      <w:r w:rsidR="00BC7B8F">
        <w:rPr>
          <w:rFonts w:ascii="Times New Roman" w:hAnsi="Times New Roman" w:cs="Times New Roman"/>
          <w:b/>
        </w:rPr>
        <w:t>3</w:t>
      </w:r>
      <w:r w:rsidRPr="006E411D">
        <w:rPr>
          <w:rFonts w:ascii="Times New Roman" w:hAnsi="Times New Roman" w:cs="Times New Roman"/>
        </w:rPr>
        <w:t xml:space="preserve"> Representative images of standardized tooth samples prepared for mechanical and structural evaluations. Extracted human teeth were embedded in epoxy resin, sectioned longitudinally, and polished to a mirror finish (1 µm).</w:t>
      </w:r>
    </w:p>
    <w:p w14:paraId="01B529DE" w14:textId="77777777" w:rsidR="00386738" w:rsidRDefault="00386738" w:rsidP="006E411D">
      <w:pPr>
        <w:jc w:val="left"/>
        <w:rPr>
          <w:rFonts w:ascii="Times New Roman" w:hAnsi="Times New Roman" w:cs="Times New Roman"/>
        </w:rPr>
      </w:pPr>
    </w:p>
    <w:p w14:paraId="1E13DAE1" w14:textId="77777777" w:rsidR="00386738" w:rsidRDefault="00386738" w:rsidP="006E411D">
      <w:pPr>
        <w:jc w:val="left"/>
        <w:rPr>
          <w:rFonts w:ascii="Times New Roman" w:hAnsi="Times New Roman" w:cs="Times New Roman"/>
        </w:rPr>
      </w:pPr>
    </w:p>
    <w:p w14:paraId="7AC0AA2D" w14:textId="77777777" w:rsidR="00386738" w:rsidRDefault="00386738" w:rsidP="006E411D">
      <w:pPr>
        <w:jc w:val="left"/>
        <w:rPr>
          <w:rFonts w:ascii="Times New Roman" w:hAnsi="Times New Roman" w:cs="Times New Roman"/>
        </w:rPr>
      </w:pPr>
    </w:p>
    <w:p w14:paraId="4C4D7948" w14:textId="77777777" w:rsidR="00386738" w:rsidRDefault="00386738" w:rsidP="006E411D">
      <w:pPr>
        <w:jc w:val="left"/>
        <w:rPr>
          <w:rFonts w:ascii="Times New Roman" w:hAnsi="Times New Roman" w:cs="Times New Roman"/>
        </w:rPr>
      </w:pPr>
    </w:p>
    <w:p w14:paraId="53329F97" w14:textId="77777777" w:rsidR="00386738" w:rsidRDefault="00386738" w:rsidP="006E411D">
      <w:pPr>
        <w:jc w:val="left"/>
        <w:rPr>
          <w:rFonts w:ascii="Times New Roman" w:hAnsi="Times New Roman" w:cs="Times New Roman"/>
        </w:rPr>
      </w:pPr>
    </w:p>
    <w:p w14:paraId="582134ED" w14:textId="280F4CD8" w:rsidR="00386738" w:rsidRPr="002B163E" w:rsidRDefault="00386738" w:rsidP="003867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456DBB19" wp14:editId="1DAF90D7">
            <wp:extent cx="5731510" cy="3462655"/>
            <wp:effectExtent l="0" t="0" r="2540" b="4445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ure_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6738">
        <w:rPr>
          <w:rFonts w:ascii="Times New Roman" w:hAnsi="Times New Roman" w:cs="Times New Roman"/>
          <w:b/>
        </w:rPr>
        <w:t xml:space="preserve"> </w:t>
      </w:r>
      <w:r w:rsidRPr="002B163E">
        <w:rPr>
          <w:rFonts w:ascii="Times New Roman" w:hAnsi="Times New Roman" w:cs="Times New Roman"/>
          <w:b/>
        </w:rPr>
        <w:t>Fig. S4</w:t>
      </w:r>
      <w:r w:rsidRPr="002B163E">
        <w:rPr>
          <w:rFonts w:ascii="Times New Roman" w:hAnsi="Times New Roman" w:cs="Times New Roman"/>
        </w:rPr>
        <w:t xml:space="preserve"> (a) Cell viability of three human oral cell lines (HSC-2, Ca9-22, and YD-10B) after treatment with plasma-activated water (PAW, pH 3) and </w:t>
      </w:r>
      <w:r w:rsidRPr="002B163E">
        <w:rPr>
          <w:rFonts w:ascii="Times New Roman" w:eastAsia="맑은 고딕" w:hAnsi="Times New Roman" w:cs="Times New Roman"/>
        </w:rPr>
        <w:t>the control, as</w:t>
      </w:r>
      <w:r w:rsidRPr="002B163E">
        <w:rPr>
          <w:rFonts w:ascii="Times New Roman" w:hAnsi="Times New Roman" w:cs="Times New Roman"/>
        </w:rPr>
        <w:t xml:space="preserve"> assessed using </w:t>
      </w:r>
      <w:r w:rsidRPr="002B163E">
        <w:rPr>
          <w:rFonts w:ascii="Times New Roman" w:eastAsia="맑은 고딕" w:hAnsi="Times New Roman" w:cs="Times New Roman"/>
        </w:rPr>
        <w:t xml:space="preserve">the </w:t>
      </w:r>
      <w:r w:rsidRPr="002B163E">
        <w:rPr>
          <w:rFonts w:ascii="Times New Roman" w:hAnsi="Times New Roman" w:cs="Times New Roman"/>
        </w:rPr>
        <w:t>MTT assay. (b) Survival rates (%) of each cell line evaluated by flow cytometry.</w:t>
      </w:r>
      <w:r w:rsidRPr="002B163E">
        <w:t xml:space="preserve"> </w:t>
      </w:r>
      <w:r w:rsidRPr="002B163E">
        <w:rPr>
          <w:rFonts w:ascii="Times New Roman" w:hAnsi="Times New Roman" w:cs="Times New Roman"/>
        </w:rPr>
        <w:t xml:space="preserve">Data </w:t>
      </w:r>
      <w:r w:rsidR="009F3618" w:rsidRPr="002B163E">
        <w:rPr>
          <w:rFonts w:ascii="Times New Roman" w:hAnsi="Times New Roman" w:cs="Times New Roman" w:hint="eastAsia"/>
        </w:rPr>
        <w:t>are presented as</w:t>
      </w:r>
      <w:r w:rsidRPr="002B163E">
        <w:rPr>
          <w:rFonts w:ascii="Times New Roman" w:hAnsi="Times New Roman" w:cs="Times New Roman"/>
        </w:rPr>
        <w:t xml:space="preserve"> mean ± SD from n = 3 biological replicates. * </w:t>
      </w:r>
      <w:r w:rsidRPr="002B163E">
        <w:rPr>
          <w:rFonts w:ascii="Times New Roman" w:hAnsi="Times New Roman" w:cs="Times New Roman"/>
          <w:i/>
        </w:rPr>
        <w:t>p</w:t>
      </w:r>
      <w:r w:rsidRPr="002B163E">
        <w:rPr>
          <w:rFonts w:ascii="Times New Roman" w:hAnsi="Times New Roman" w:cs="Times New Roman"/>
        </w:rPr>
        <w:t xml:space="preserve"> &lt; 0.05, ** </w:t>
      </w:r>
      <w:r w:rsidRPr="002B163E">
        <w:rPr>
          <w:rFonts w:ascii="Times New Roman" w:hAnsi="Times New Roman" w:cs="Times New Roman"/>
          <w:i/>
        </w:rPr>
        <w:t>p</w:t>
      </w:r>
      <w:r w:rsidRPr="002B163E">
        <w:rPr>
          <w:rFonts w:ascii="Times New Roman" w:hAnsi="Times New Roman" w:cs="Times New Roman"/>
        </w:rPr>
        <w:t xml:space="preserve"> &lt; 0.01 based on </w:t>
      </w:r>
      <w:r w:rsidRPr="002B163E">
        <w:rPr>
          <w:rFonts w:ascii="Times New Roman" w:eastAsia="맑은 고딕" w:hAnsi="Times New Roman" w:cs="Times New Roman"/>
        </w:rPr>
        <w:t xml:space="preserve">the </w:t>
      </w:r>
      <w:r w:rsidRPr="002B163E">
        <w:rPr>
          <w:rFonts w:ascii="Times New Roman" w:hAnsi="Times New Roman" w:cs="Times New Roman"/>
        </w:rPr>
        <w:t>Kruskal–Wallis test with Dunn’s post hoc correction. (c–e) Representative flow cytometry plots of HSC-2 cells treated with (c) DW, (d) PAW (pH 3), and (e) chlorhexidine (CHX), showing distributions of viable (Q4) and apoptotic/necrotic (Q1) cells</w:t>
      </w:r>
      <w:r w:rsidR="005819AC" w:rsidRPr="002B163E">
        <w:rPr>
          <w:rFonts w:ascii="Times New Roman" w:hAnsi="Times New Roman" w:cs="Times New Roman" w:hint="eastAsia"/>
        </w:rPr>
        <w:t xml:space="preserve">. </w:t>
      </w:r>
      <w:r w:rsidR="005819AC" w:rsidRPr="002B163E">
        <w:rPr>
          <w:rFonts w:ascii="Times New Roman" w:hAnsi="Times New Roman" w:cs="Times New Roman"/>
        </w:rPr>
        <w:t>PAW (pH 3) treatment maintained high viability (&gt; 70 %) comparable to DW and significantly higher than CHX, indicating minimal cytotoxicity under the tested conditions.</w:t>
      </w:r>
    </w:p>
    <w:p w14:paraId="0CF85678" w14:textId="77777777" w:rsidR="00386738" w:rsidRPr="002B163E" w:rsidRDefault="00386738" w:rsidP="006E411D">
      <w:pPr>
        <w:jc w:val="left"/>
        <w:rPr>
          <w:rFonts w:ascii="Times New Roman" w:hAnsi="Times New Roman" w:cs="Times New Roman"/>
        </w:rPr>
      </w:pPr>
    </w:p>
    <w:p w14:paraId="34D43170" w14:textId="77777777" w:rsidR="00875D00" w:rsidRPr="002B163E" w:rsidRDefault="00875D00" w:rsidP="006E411D">
      <w:pPr>
        <w:jc w:val="left"/>
        <w:rPr>
          <w:rFonts w:ascii="Times New Roman" w:hAnsi="Times New Roman" w:cs="Times New Roman"/>
        </w:rPr>
      </w:pPr>
    </w:p>
    <w:p w14:paraId="0BAD0BBF" w14:textId="77777777" w:rsidR="00875D00" w:rsidRDefault="00875D00" w:rsidP="006E411D">
      <w:pPr>
        <w:jc w:val="left"/>
        <w:rPr>
          <w:rFonts w:ascii="Times New Roman" w:hAnsi="Times New Roman" w:cs="Times New Roman"/>
          <w:color w:val="EE0000"/>
        </w:rPr>
      </w:pPr>
    </w:p>
    <w:p w14:paraId="3C39BE61" w14:textId="77777777" w:rsidR="00875D00" w:rsidRDefault="00875D00" w:rsidP="006E411D">
      <w:pPr>
        <w:jc w:val="left"/>
        <w:rPr>
          <w:rFonts w:ascii="Times New Roman" w:hAnsi="Times New Roman" w:cs="Times New Roman"/>
          <w:color w:val="EE0000"/>
        </w:rPr>
      </w:pPr>
    </w:p>
    <w:p w14:paraId="1AB138FC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111641FD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5781F6CA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15999BFF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10DC769A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525860D6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2A85F138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2A118A0C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0981C2EE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2D8BC2C1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58A02732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62CE063D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0DB9A4DE" w14:textId="7D81A3C5" w:rsidR="003F02E7" w:rsidRDefault="003F02E7" w:rsidP="003F02E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174B0DA" wp14:editId="7FBE2575">
            <wp:extent cx="5731510" cy="2573655"/>
            <wp:effectExtent l="0" t="0" r="2540" b="0"/>
            <wp:docPr id="12558083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808385" name="그림 12558083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CE068" w14:textId="7040F50D" w:rsidR="001A2116" w:rsidRPr="002B163E" w:rsidRDefault="00445360" w:rsidP="00445360">
      <w:pPr>
        <w:jc w:val="left"/>
        <w:rPr>
          <w:rFonts w:ascii="Times New Roman" w:hAnsi="Times New Roman" w:cs="Times New Roman"/>
        </w:rPr>
      </w:pPr>
      <w:r w:rsidRPr="002B163E">
        <w:rPr>
          <w:rFonts w:ascii="Times New Roman" w:hAnsi="Times New Roman" w:cs="Times New Roman"/>
          <w:b/>
        </w:rPr>
        <w:t>Fig. S</w:t>
      </w:r>
      <w:r w:rsidRPr="002B163E">
        <w:rPr>
          <w:rFonts w:ascii="Times New Roman" w:hAnsi="Times New Roman" w:cs="Times New Roman" w:hint="eastAsia"/>
          <w:b/>
        </w:rPr>
        <w:t>5</w:t>
      </w:r>
      <w:r w:rsidRPr="002B163E">
        <w:rPr>
          <w:rFonts w:ascii="Times New Roman" w:hAnsi="Times New Roman" w:cs="Times New Roman"/>
        </w:rPr>
        <w:t xml:space="preserve"> Cell viability of (a) human gingival fibroblasts (HGFs) and (b) immortalized human oral keratinocytes (HOK-16B) after exposure to plasma-activated water (PAW) at </w:t>
      </w:r>
      <w:r w:rsidR="00D43384" w:rsidRPr="002B163E">
        <w:rPr>
          <w:rFonts w:ascii="Times New Roman" w:eastAsia="굴림" w:hAnsi="Times New Roman" w:cs="Times New Roman"/>
          <w:spacing w:val="2"/>
          <w:kern w:val="0"/>
          <w:szCs w:val="20"/>
        </w:rPr>
        <w:t xml:space="preserve">HCl-adjusted </w:t>
      </w:r>
      <w:r w:rsidR="00D43384" w:rsidRPr="002B163E">
        <w:rPr>
          <w:rFonts w:ascii="Times New Roman" w:eastAsia="굴림" w:hAnsi="Times New Roman" w:cs="Times New Roman" w:hint="eastAsia"/>
          <w:spacing w:val="2"/>
          <w:kern w:val="0"/>
          <w:szCs w:val="20"/>
        </w:rPr>
        <w:t>DW (</w:t>
      </w:r>
      <w:r w:rsidRPr="002B163E">
        <w:rPr>
          <w:rFonts w:ascii="Times New Roman" w:hAnsi="Times New Roman" w:cs="Times New Roman"/>
          <w:szCs w:val="20"/>
        </w:rPr>
        <w:t>pH 3.0</w:t>
      </w:r>
      <w:r w:rsidR="00D43384" w:rsidRPr="002B163E">
        <w:rPr>
          <w:rFonts w:ascii="Times New Roman" w:hAnsi="Times New Roman" w:cs="Times New Roman" w:hint="eastAsia"/>
          <w:szCs w:val="20"/>
        </w:rPr>
        <w:t>)</w:t>
      </w:r>
      <w:r w:rsidRPr="002B163E">
        <w:rPr>
          <w:rFonts w:ascii="Times New Roman" w:hAnsi="Times New Roman" w:cs="Times New Roman"/>
        </w:rPr>
        <w:t xml:space="preserve"> and pH 5.91, and to distilled water (DW, pH 3), as evaluated using the Cell Counting Kit-8 assay.</w:t>
      </w:r>
      <w:r w:rsidRPr="002B163E">
        <w:rPr>
          <w:rFonts w:ascii="Times New Roman" w:hAnsi="Times New Roman" w:cs="Times New Roman" w:hint="eastAsia"/>
        </w:rPr>
        <w:t xml:space="preserve"> </w:t>
      </w:r>
      <w:r w:rsidRPr="002B163E">
        <w:rPr>
          <w:rFonts w:ascii="Times New Roman" w:hAnsi="Times New Roman" w:cs="Times New Roman"/>
        </w:rPr>
        <w:t xml:space="preserve">Data are </w:t>
      </w:r>
      <w:r w:rsidR="009F3618" w:rsidRPr="002B163E">
        <w:rPr>
          <w:rFonts w:ascii="Times New Roman" w:hAnsi="Times New Roman" w:cs="Times New Roman" w:hint="eastAsia"/>
        </w:rPr>
        <w:t>presented</w:t>
      </w:r>
      <w:r w:rsidRPr="002B163E">
        <w:rPr>
          <w:rFonts w:ascii="Times New Roman" w:hAnsi="Times New Roman" w:cs="Times New Roman"/>
        </w:rPr>
        <w:t xml:space="preserve"> as mean ± SD from n = </w:t>
      </w:r>
      <w:r w:rsidR="009C03A1" w:rsidRPr="002B163E">
        <w:rPr>
          <w:rFonts w:ascii="Times New Roman" w:hAnsi="Times New Roman" w:cs="Times New Roman" w:hint="eastAsia"/>
        </w:rPr>
        <w:t>6</w:t>
      </w:r>
      <w:r w:rsidRPr="002B163E">
        <w:rPr>
          <w:rFonts w:ascii="Times New Roman" w:hAnsi="Times New Roman" w:cs="Times New Roman"/>
        </w:rPr>
        <w:t xml:space="preserve"> biological replicates. *** </w:t>
      </w:r>
      <w:r w:rsidRPr="002B163E">
        <w:rPr>
          <w:rFonts w:ascii="Times New Roman" w:hAnsi="Times New Roman" w:cs="Times New Roman" w:hint="eastAsia"/>
          <w:i/>
          <w:iCs/>
        </w:rPr>
        <w:t>P</w:t>
      </w:r>
      <w:r w:rsidRPr="002B163E">
        <w:rPr>
          <w:rFonts w:ascii="Times New Roman" w:hAnsi="Times New Roman" w:cs="Times New Roman" w:hint="eastAsia"/>
        </w:rPr>
        <w:t xml:space="preserve"> </w:t>
      </w:r>
      <w:r w:rsidRPr="002B163E">
        <w:rPr>
          <w:rFonts w:ascii="Times New Roman" w:hAnsi="Times New Roman" w:cs="Times New Roman"/>
        </w:rPr>
        <w:t>&lt; 0.001 versus DW (pH 6.8), analyzed using one-way ANOVA followed by Tukey’s post hoc test.</w:t>
      </w:r>
      <w:r w:rsidRPr="002B163E">
        <w:t xml:space="preserve"> </w:t>
      </w:r>
      <w:r w:rsidRPr="002B163E">
        <w:rPr>
          <w:rFonts w:ascii="Times New Roman" w:hAnsi="Times New Roman" w:cs="Times New Roman"/>
        </w:rPr>
        <w:t>The minor reduction in cell viability observed with PAW treatment was partly attributed to its low pH</w:t>
      </w:r>
      <w:r w:rsidR="00EF23F9">
        <w:rPr>
          <w:rFonts w:ascii="Times New Roman" w:hAnsi="Times New Roman" w:cs="Times New Roman" w:hint="eastAsia"/>
        </w:rPr>
        <w:t>.</w:t>
      </w:r>
    </w:p>
    <w:p w14:paraId="36FDBE92" w14:textId="77777777" w:rsidR="001A2116" w:rsidRPr="00EF23F9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6013EA00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10C8D4E7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1E2BE4E2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1D6B363E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4383D2BC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14444AEC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293725F2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70713BE0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46F3AE96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25C03E94" w14:textId="77777777" w:rsidR="001A2116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p w14:paraId="7831E371" w14:textId="77777777" w:rsidR="001A2116" w:rsidRPr="005819AC" w:rsidRDefault="001A2116" w:rsidP="006E411D">
      <w:pPr>
        <w:jc w:val="left"/>
        <w:rPr>
          <w:rFonts w:ascii="Times New Roman" w:hAnsi="Times New Roman" w:cs="Times New Roman"/>
          <w:color w:val="EE0000"/>
        </w:rPr>
      </w:pPr>
    </w:p>
    <w:sectPr w:rsidR="001A2116" w:rsidRPr="005819A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D92E1" w14:textId="77777777" w:rsidR="00CD70B7" w:rsidRDefault="00CD70B7" w:rsidP="006E411D">
      <w:pPr>
        <w:spacing w:after="0" w:line="240" w:lineRule="auto"/>
      </w:pPr>
      <w:r>
        <w:separator/>
      </w:r>
    </w:p>
  </w:endnote>
  <w:endnote w:type="continuationSeparator" w:id="0">
    <w:p w14:paraId="1CFEFD84" w14:textId="77777777" w:rsidR="00CD70B7" w:rsidRDefault="00CD70B7" w:rsidP="006E4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7F1EB" w14:textId="77777777" w:rsidR="00CD70B7" w:rsidRDefault="00CD70B7" w:rsidP="006E411D">
      <w:pPr>
        <w:spacing w:after="0" w:line="240" w:lineRule="auto"/>
      </w:pPr>
      <w:r>
        <w:separator/>
      </w:r>
    </w:p>
  </w:footnote>
  <w:footnote w:type="continuationSeparator" w:id="0">
    <w:p w14:paraId="226044F2" w14:textId="77777777" w:rsidR="00CD70B7" w:rsidRDefault="00CD70B7" w:rsidP="006E41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B0"/>
    <w:rsid w:val="00026265"/>
    <w:rsid w:val="000555F7"/>
    <w:rsid w:val="001A2116"/>
    <w:rsid w:val="002047DA"/>
    <w:rsid w:val="00236086"/>
    <w:rsid w:val="002B163E"/>
    <w:rsid w:val="002F2C91"/>
    <w:rsid w:val="00306958"/>
    <w:rsid w:val="00373416"/>
    <w:rsid w:val="00386738"/>
    <w:rsid w:val="003F02E7"/>
    <w:rsid w:val="00445360"/>
    <w:rsid w:val="005068B2"/>
    <w:rsid w:val="005819AC"/>
    <w:rsid w:val="005826E9"/>
    <w:rsid w:val="005965A4"/>
    <w:rsid w:val="006E411D"/>
    <w:rsid w:val="007E4A77"/>
    <w:rsid w:val="00812FB5"/>
    <w:rsid w:val="00831C82"/>
    <w:rsid w:val="00875D00"/>
    <w:rsid w:val="008F51E0"/>
    <w:rsid w:val="008F74FA"/>
    <w:rsid w:val="00906F45"/>
    <w:rsid w:val="009C03A1"/>
    <w:rsid w:val="009D5D7D"/>
    <w:rsid w:val="009F3618"/>
    <w:rsid w:val="009F65B9"/>
    <w:rsid w:val="00A21F31"/>
    <w:rsid w:val="00A66E37"/>
    <w:rsid w:val="00A8038A"/>
    <w:rsid w:val="00A84F56"/>
    <w:rsid w:val="00AA7A75"/>
    <w:rsid w:val="00AE6F91"/>
    <w:rsid w:val="00BA57BC"/>
    <w:rsid w:val="00BC7B8F"/>
    <w:rsid w:val="00C11A58"/>
    <w:rsid w:val="00CD70B7"/>
    <w:rsid w:val="00D43384"/>
    <w:rsid w:val="00DD35B0"/>
    <w:rsid w:val="00E16788"/>
    <w:rsid w:val="00E5096F"/>
    <w:rsid w:val="00E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F1E3F"/>
  <w15:chartTrackingRefBased/>
  <w15:docId w15:val="{EF3DB32F-20E5-45DF-8A14-2EFFE8E1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11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E411D"/>
  </w:style>
  <w:style w:type="paragraph" w:styleId="a4">
    <w:name w:val="footer"/>
    <w:basedOn w:val="a"/>
    <w:link w:val="Char0"/>
    <w:uiPriority w:val="99"/>
    <w:unhideWhenUsed/>
    <w:rsid w:val="006E411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E411D"/>
  </w:style>
  <w:style w:type="paragraph" w:styleId="a5">
    <w:name w:val="Normal (Web)"/>
    <w:basedOn w:val="a"/>
    <w:uiPriority w:val="99"/>
    <w:unhideWhenUsed/>
    <w:rsid w:val="00812FB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6">
    <w:name w:val="Table Grid"/>
    <w:basedOn w:val="a1"/>
    <w:uiPriority w:val="39"/>
    <w:rsid w:val="001A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AE6F91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AE6F91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AE6F91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AE6F91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AE6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김희경</dc:creator>
  <cp:keywords/>
  <dc:description/>
  <cp:lastModifiedBy>admin1</cp:lastModifiedBy>
  <cp:revision>21</cp:revision>
  <dcterms:created xsi:type="dcterms:W3CDTF">2025-09-12T09:17:00Z</dcterms:created>
  <dcterms:modified xsi:type="dcterms:W3CDTF">2025-11-11T08:34:00Z</dcterms:modified>
</cp:coreProperties>
</file>