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DA313" w14:textId="2704203E" w:rsidR="00793C27" w:rsidRDefault="00FE5AFB" w:rsidP="00FE5AFB">
      <w:pPr>
        <w:rPr>
          <w:rFonts w:asciiTheme="majorBidi" w:hAnsiTheme="majorBidi" w:cstheme="majorBidi"/>
          <w:b/>
          <w:bCs/>
        </w:rPr>
      </w:pPr>
      <w:r w:rsidRPr="00FE5AFB">
        <w:rPr>
          <w:rFonts w:asciiTheme="majorBidi" w:hAnsiTheme="majorBidi" w:cstheme="majorBidi"/>
          <w:b/>
          <w:bCs/>
        </w:rPr>
        <w:t xml:space="preserve">Supplementary </w:t>
      </w:r>
      <w:r w:rsidR="003D7867">
        <w:rPr>
          <w:rFonts w:asciiTheme="majorBidi" w:hAnsiTheme="majorBidi" w:cstheme="majorBidi"/>
          <w:b/>
          <w:bCs/>
        </w:rPr>
        <w:t>file</w:t>
      </w:r>
      <w:r w:rsidRPr="00FE5AFB">
        <w:rPr>
          <w:rFonts w:asciiTheme="majorBidi" w:hAnsiTheme="majorBidi" w:cstheme="majorBidi"/>
          <w:b/>
          <w:bCs/>
        </w:rPr>
        <w:t xml:space="preserve"> 1. Periodontology Assessment Items with Stems, Cognitive Levels, and Clinical Scenarios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7"/>
        <w:gridCol w:w="1364"/>
        <w:gridCol w:w="7369"/>
      </w:tblGrid>
      <w:tr w:rsidR="00FE5AFB" w:rsidRPr="00FE5AFB" w14:paraId="504E604F" w14:textId="77777777" w:rsidTr="00FE5AFB">
        <w:trPr>
          <w:trHeight w:val="542"/>
        </w:trPr>
        <w:tc>
          <w:tcPr>
            <w:tcW w:w="0" w:type="auto"/>
            <w:vAlign w:val="center"/>
            <w:hideMark/>
          </w:tcPr>
          <w:p w14:paraId="524D1BFF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 No.</w:t>
            </w:r>
          </w:p>
        </w:tc>
        <w:tc>
          <w:tcPr>
            <w:tcW w:w="0" w:type="auto"/>
            <w:vAlign w:val="center"/>
            <w:hideMark/>
          </w:tcPr>
          <w:p w14:paraId="7337D848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Cognitive Level</w:t>
            </w:r>
          </w:p>
        </w:tc>
        <w:tc>
          <w:tcPr>
            <w:tcW w:w="0" w:type="auto"/>
            <w:vAlign w:val="center"/>
            <w:hideMark/>
          </w:tcPr>
          <w:p w14:paraId="40712968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Stem &amp; Question</w:t>
            </w:r>
          </w:p>
        </w:tc>
      </w:tr>
      <w:tr w:rsidR="00FE5AFB" w:rsidRPr="00FE5AFB" w14:paraId="09B69B13" w14:textId="77777777" w:rsidTr="00FE5AFB">
        <w:trPr>
          <w:trHeight w:val="478"/>
        </w:trPr>
        <w:tc>
          <w:tcPr>
            <w:tcW w:w="0" w:type="auto"/>
            <w:vAlign w:val="center"/>
            <w:hideMark/>
          </w:tcPr>
          <w:p w14:paraId="69D19542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857E7A9" w14:textId="616FB3C3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Remember</w:t>
            </w:r>
          </w:p>
        </w:tc>
        <w:tc>
          <w:tcPr>
            <w:tcW w:w="0" w:type="auto"/>
            <w:vAlign w:val="center"/>
            <w:hideMark/>
          </w:tcPr>
          <w:p w14:paraId="4F5EFA56" w14:textId="40293506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Stem: 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Oral biofilms play a dual role in oral health and disease.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Question: 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Describe the main functions of oral biofilm in both health and disease.</w:t>
            </w:r>
          </w:p>
        </w:tc>
      </w:tr>
      <w:tr w:rsidR="00FE5AFB" w:rsidRPr="00FE5AFB" w14:paraId="0B972CE3" w14:textId="77777777" w:rsidTr="00FE5AFB">
        <w:trPr>
          <w:trHeight w:val="542"/>
        </w:trPr>
        <w:tc>
          <w:tcPr>
            <w:tcW w:w="0" w:type="auto"/>
            <w:vAlign w:val="center"/>
            <w:hideMark/>
          </w:tcPr>
          <w:p w14:paraId="3D67D59C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7A93DE" w14:textId="532CF5C9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Remember</w:t>
            </w:r>
          </w:p>
        </w:tc>
        <w:tc>
          <w:tcPr>
            <w:tcW w:w="0" w:type="auto"/>
            <w:vAlign w:val="center"/>
            <w:hideMark/>
          </w:tcPr>
          <w:p w14:paraId="20878F75" w14:textId="277BFF6E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Stem: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A 25-year-old female is scheduled for root coverage on tooth #13, with a thin gingival phenotype and keratinized tissue width of 1 mm. She is otherwise healthy.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Question: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List two soft tissue–related factors that may influence the predictability of root coverage in this patient.</w:t>
            </w:r>
          </w:p>
        </w:tc>
      </w:tr>
      <w:tr w:rsidR="00FE5AFB" w:rsidRPr="00FE5AFB" w14:paraId="15F11849" w14:textId="77777777" w:rsidTr="00FE5AFB">
        <w:trPr>
          <w:trHeight w:val="641"/>
        </w:trPr>
        <w:tc>
          <w:tcPr>
            <w:tcW w:w="0" w:type="auto"/>
            <w:vAlign w:val="center"/>
            <w:hideMark/>
          </w:tcPr>
          <w:p w14:paraId="41A1A87A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1C92A02" w14:textId="16E55DA3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Remember</w:t>
            </w:r>
          </w:p>
        </w:tc>
        <w:tc>
          <w:tcPr>
            <w:tcW w:w="0" w:type="auto"/>
            <w:vAlign w:val="center"/>
            <w:hideMark/>
          </w:tcPr>
          <w:p w14:paraId="4D5D78D3" w14:textId="2F732255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Stem: 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Inflammatory mediators are key drivers of periodontal tissue destruction.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Question: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List the functions of four key inflammatory mediators involved in periodontal disease and their role in disease progression.</w:t>
            </w:r>
          </w:p>
        </w:tc>
      </w:tr>
      <w:tr w:rsidR="00FE5AFB" w:rsidRPr="00FE5AFB" w14:paraId="57DCF5F0" w14:textId="77777777" w:rsidTr="00FE5AFB">
        <w:trPr>
          <w:trHeight w:val="440"/>
        </w:trPr>
        <w:tc>
          <w:tcPr>
            <w:tcW w:w="0" w:type="auto"/>
            <w:vAlign w:val="center"/>
            <w:hideMark/>
          </w:tcPr>
          <w:p w14:paraId="5D3D75FE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9E48A6F" w14:textId="5E689DD3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Apply</w:t>
            </w:r>
          </w:p>
        </w:tc>
        <w:tc>
          <w:tcPr>
            <w:tcW w:w="0" w:type="auto"/>
            <w:vAlign w:val="center"/>
            <w:hideMark/>
          </w:tcPr>
          <w:p w14:paraId="6F9F9325" w14:textId="1750E057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Stem: 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Chronic periodontal disease has been linked to adverse pregnancy outcomes.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Question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: Using current scientific evidence, outline the biological mechanism by which chronic periodontal diseases may contribute to the risk of premature birth.</w:t>
            </w:r>
          </w:p>
        </w:tc>
      </w:tr>
      <w:tr w:rsidR="00FE5AFB" w:rsidRPr="00FE5AFB" w14:paraId="07681ED9" w14:textId="77777777" w:rsidTr="00FE5AFB">
        <w:trPr>
          <w:trHeight w:val="1106"/>
        </w:trPr>
        <w:tc>
          <w:tcPr>
            <w:tcW w:w="0" w:type="auto"/>
            <w:vAlign w:val="center"/>
            <w:hideMark/>
          </w:tcPr>
          <w:p w14:paraId="52D3EFFF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7AAF47C" w14:textId="69857E3B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Apply</w:t>
            </w:r>
          </w:p>
        </w:tc>
        <w:tc>
          <w:tcPr>
            <w:tcW w:w="0" w:type="auto"/>
            <w:vAlign w:val="center"/>
            <w:hideMark/>
          </w:tcPr>
          <w:p w14:paraId="647213A2" w14:textId="15A13842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Stem: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A 37-year-old male presents with 2 mm gingival recession on tooth #43, with 2 mm of remaining keratinized gingiva, no interproximal attachment loss, good oral hygiene, and no systemic health issues.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Question: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Classify the recession using both Miller’s (1985) and Cairo’s (2011) classification systems.</w:t>
            </w:r>
          </w:p>
        </w:tc>
      </w:tr>
      <w:tr w:rsidR="00FE5AFB" w:rsidRPr="00FE5AFB" w14:paraId="6E1EC238" w14:textId="77777777" w:rsidTr="00FE5AFB">
        <w:trPr>
          <w:trHeight w:val="254"/>
        </w:trPr>
        <w:tc>
          <w:tcPr>
            <w:tcW w:w="0" w:type="auto"/>
            <w:vAlign w:val="center"/>
            <w:hideMark/>
          </w:tcPr>
          <w:p w14:paraId="40741B03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13D1410" w14:textId="179B7BF4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Apply</w:t>
            </w:r>
          </w:p>
        </w:tc>
        <w:tc>
          <w:tcPr>
            <w:tcW w:w="0" w:type="auto"/>
            <w:vAlign w:val="center"/>
            <w:hideMark/>
          </w:tcPr>
          <w:p w14:paraId="5F3778B6" w14:textId="63BDD9E5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Stem: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Not all periodontal defects are suitable for regenerative therapy.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Question: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List five key clinical and radiographic criteria for determining if a periodontal defect is suitable for regenerative therapy.</w:t>
            </w:r>
          </w:p>
        </w:tc>
      </w:tr>
      <w:tr w:rsidR="00FE5AFB" w:rsidRPr="00FE5AFB" w14:paraId="4EE5BC29" w14:textId="77777777" w:rsidTr="00FE5AFB">
        <w:trPr>
          <w:trHeight w:val="1106"/>
        </w:trPr>
        <w:tc>
          <w:tcPr>
            <w:tcW w:w="0" w:type="auto"/>
            <w:vAlign w:val="center"/>
            <w:hideMark/>
          </w:tcPr>
          <w:p w14:paraId="2D0DD1F6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63C8856" w14:textId="6123C789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Evaluate</w:t>
            </w:r>
          </w:p>
        </w:tc>
        <w:tc>
          <w:tcPr>
            <w:tcW w:w="0" w:type="auto"/>
            <w:vAlign w:val="center"/>
            <w:hideMark/>
          </w:tcPr>
          <w:p w14:paraId="5B470709" w14:textId="14505B77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Stem: 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A 30-year-old female presents with 3 mm labial gingival recession on tooth #31, probing depth 1 mm, thin phenotype, 2 mm keratinized tissue, no interproximal loss. She reports hypersensitivity and esthetic concerns, maintains excellent oral hygiene, and has no systemic risks.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Question: 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Outline a complete treatment sequence for this patient using minimally invasive periodontal techniques, justifying each step for optimal esthetic and long-term outcomes.</w:t>
            </w:r>
          </w:p>
        </w:tc>
      </w:tr>
      <w:tr w:rsidR="00FE5AFB" w:rsidRPr="00FE5AFB" w14:paraId="3E8BE7F7" w14:textId="77777777" w:rsidTr="00FE5AFB">
        <w:trPr>
          <w:trHeight w:val="824"/>
        </w:trPr>
        <w:tc>
          <w:tcPr>
            <w:tcW w:w="0" w:type="auto"/>
            <w:vAlign w:val="center"/>
            <w:hideMark/>
          </w:tcPr>
          <w:p w14:paraId="5E704D34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54EBBB4" w14:textId="2A763841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Evaluate</w:t>
            </w:r>
          </w:p>
        </w:tc>
        <w:tc>
          <w:tcPr>
            <w:tcW w:w="0" w:type="auto"/>
            <w:vAlign w:val="center"/>
            <w:hideMark/>
          </w:tcPr>
          <w:p w14:paraId="0883ACE1" w14:textId="2E7A79C5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Stem: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42-year-old male presents with a narrow, deep, three-wall intrabony defect on the mesial aspect of tooth #12, thin gingival phenotype, intact papilla, non-smoker, controlled hypertension. He requests a surgical option with minimal postoperative discomfort and downtime.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Question: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Choose the most appropriate initial surgical technique and explain why it is indicated over alternatives.</w:t>
            </w:r>
          </w:p>
        </w:tc>
      </w:tr>
      <w:tr w:rsidR="00FE5AFB" w:rsidRPr="00FE5AFB" w14:paraId="673B9D4A" w14:textId="77777777" w:rsidTr="00FE5AFB">
        <w:trPr>
          <w:trHeight w:val="78"/>
        </w:trPr>
        <w:tc>
          <w:tcPr>
            <w:tcW w:w="0" w:type="auto"/>
            <w:vAlign w:val="center"/>
            <w:hideMark/>
          </w:tcPr>
          <w:p w14:paraId="184EB95D" w14:textId="77777777" w:rsidR="00FE5AFB" w:rsidRPr="00FE5AFB" w:rsidRDefault="00FE5AFB" w:rsidP="00FE5AF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AF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F29D4F7" w14:textId="702518F9" w:rsidR="00FE5AFB" w:rsidRPr="00FE5AFB" w:rsidRDefault="00FE5AFB" w:rsidP="00FE5AFB">
            <w:pP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FE5AF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Evaluate</w:t>
            </w:r>
          </w:p>
        </w:tc>
        <w:tc>
          <w:tcPr>
            <w:tcW w:w="0" w:type="auto"/>
            <w:vAlign w:val="center"/>
            <w:hideMark/>
          </w:tcPr>
          <w:p w14:paraId="22DBD9B4" w14:textId="4AFFDA55" w:rsidR="00FE5AFB" w:rsidRPr="00FE5AFB" w:rsidRDefault="00FE5AFB" w:rsidP="000F6A42">
            <w:pPr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Stem: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A 55-year-old male presents with a 7 mm probing pocket depth and a 2-wall intrabony defect on tooth #36. The tooth has Grade II mobility, uncontrolled type 2 diabetes (HbA1c 9.2%), poor oral hygiene, and Class II furcation involvement. Radiographs confirm the vertical defect morphology. </w:t>
            </w:r>
            <w:r w:rsidRPr="000F6A42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Question: </w:t>
            </w:r>
            <w:r w:rsidRPr="00FE5AF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Evaluate the suitability of regenerative periodontal therapy for this patient, integrating defect morphology, tooth mobility, and systemic health.</w:t>
            </w:r>
          </w:p>
        </w:tc>
      </w:tr>
    </w:tbl>
    <w:p w14:paraId="10F573E6" w14:textId="1E222B5E" w:rsidR="00FE5AFB" w:rsidRPr="00FE5AFB" w:rsidRDefault="00FE5AFB" w:rsidP="00FE5AFB">
      <w:pPr>
        <w:tabs>
          <w:tab w:val="left" w:pos="2127"/>
        </w:tabs>
        <w:rPr>
          <w:rFonts w:asciiTheme="majorBidi" w:hAnsiTheme="majorBidi" w:cstheme="majorBidi"/>
        </w:rPr>
      </w:pPr>
    </w:p>
    <w:sectPr w:rsidR="00FE5AFB" w:rsidRPr="00FE5AFB" w:rsidSect="00FE5AFB">
      <w:pgSz w:w="12240" w:h="15840"/>
      <w:pgMar w:top="125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98B05" w14:textId="77777777" w:rsidR="00372C8B" w:rsidRDefault="00372C8B" w:rsidP="00FE5AFB">
      <w:pPr>
        <w:spacing w:after="0" w:line="240" w:lineRule="auto"/>
      </w:pPr>
      <w:r>
        <w:separator/>
      </w:r>
    </w:p>
  </w:endnote>
  <w:endnote w:type="continuationSeparator" w:id="0">
    <w:p w14:paraId="041DF516" w14:textId="77777777" w:rsidR="00372C8B" w:rsidRDefault="00372C8B" w:rsidP="00FE5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7B17" w14:textId="77777777" w:rsidR="00372C8B" w:rsidRDefault="00372C8B" w:rsidP="00FE5AFB">
      <w:pPr>
        <w:spacing w:after="0" w:line="240" w:lineRule="auto"/>
      </w:pPr>
      <w:r>
        <w:separator/>
      </w:r>
    </w:p>
  </w:footnote>
  <w:footnote w:type="continuationSeparator" w:id="0">
    <w:p w14:paraId="446B98B3" w14:textId="77777777" w:rsidR="00372C8B" w:rsidRDefault="00372C8B" w:rsidP="00FE5A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A2B"/>
    <w:rsid w:val="000473B8"/>
    <w:rsid w:val="00085ABE"/>
    <w:rsid w:val="000F6A42"/>
    <w:rsid w:val="002E62AC"/>
    <w:rsid w:val="00372C8B"/>
    <w:rsid w:val="003D7867"/>
    <w:rsid w:val="004F1594"/>
    <w:rsid w:val="00793C27"/>
    <w:rsid w:val="008B49B7"/>
    <w:rsid w:val="009B6304"/>
    <w:rsid w:val="00A5023C"/>
    <w:rsid w:val="00C23CC4"/>
    <w:rsid w:val="00CA3D36"/>
    <w:rsid w:val="00F55A2B"/>
    <w:rsid w:val="00F9722E"/>
    <w:rsid w:val="00FE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7A8BF1"/>
  <w15:chartTrackingRefBased/>
  <w15:docId w15:val="{C6D16C0D-0654-46F2-821E-B18EA395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AFB"/>
  </w:style>
  <w:style w:type="paragraph" w:styleId="Heading1">
    <w:name w:val="heading 1"/>
    <w:basedOn w:val="Normal"/>
    <w:next w:val="Normal"/>
    <w:link w:val="Heading1Char"/>
    <w:uiPriority w:val="9"/>
    <w:qFormat/>
    <w:rsid w:val="00F55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A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A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A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A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A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A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5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5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AFB"/>
  </w:style>
  <w:style w:type="paragraph" w:styleId="Footer">
    <w:name w:val="footer"/>
    <w:basedOn w:val="Normal"/>
    <w:link w:val="FooterChar"/>
    <w:uiPriority w:val="99"/>
    <w:unhideWhenUsed/>
    <w:rsid w:val="00FE5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405</Words>
  <Characters>2557</Characters>
  <Application>Microsoft Office Word</Application>
  <DocSecurity>0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fatma.</dc:creator>
  <cp:keywords/>
  <dc:description/>
  <cp:lastModifiedBy>أسماء أبوبكر الشافعيّ عبد الرؤف راس</cp:lastModifiedBy>
  <cp:revision>4</cp:revision>
  <dcterms:created xsi:type="dcterms:W3CDTF">2025-08-11T18:29:00Z</dcterms:created>
  <dcterms:modified xsi:type="dcterms:W3CDTF">2025-08-12T08:43:00Z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79090b17-1408-4bda-b1ca-9cb3d7ffd01a</vt:lpwstr>
  </property>
</Properties>
</file>