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01C25" w:rsidRDefault="00401C25"/>
    <w:p w:rsidR="00401C25" w:rsidRPr="00A54702" w:rsidRDefault="00000000" w:rsidP="00A54702">
      <w:pPr>
        <w:jc w:val="center"/>
        <w:rPr>
          <w:b/>
          <w:bCs/>
          <w:sz w:val="24"/>
          <w:szCs w:val="24"/>
        </w:rPr>
      </w:pPr>
      <w:r w:rsidRPr="00A54702">
        <w:rPr>
          <w:b/>
          <w:bCs/>
          <w:sz w:val="24"/>
          <w:szCs w:val="24"/>
        </w:rPr>
        <w:t>STUDY PROTOCOL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Title</w:t>
      </w:r>
    </w:p>
    <w:p w:rsidR="00401C25" w:rsidRDefault="00000000">
      <w:r>
        <w:t>Comparison of Pain Perception between Computer-Controlled Local Anesthesia Delivery (SOGA Smart II) and Conventional Local Anesthesia: A Randomized Crossover Clinical Trial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1. Background and Rationale</w:t>
      </w:r>
    </w:p>
    <w:p w:rsidR="00401C25" w:rsidRDefault="00000000">
      <w:r>
        <w:t>Local anesthesia is fundamental to dental procedures; however, pain during injection remains a major source of patient anxiety. Conventional syringe-based delivery may cause discomfort due to operator-dependent pressure and flow variability. Computer-controlled local anesthesia delivery (CCLAD) systems, such as the SOGA Smart II, are designed to deliver anesthetic solution at a controlled rate and pressure, potentially reducing pain perception. Evidence regarding the effectiveness of newer CCLAD devices remains limited, particularly using within-subject crossover designs. This study aims to compare pain perception between conventional local anesthesia and CCLAD using a randomized crossover clinical trial.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2. Objectives</w:t>
      </w:r>
    </w:p>
    <w:p w:rsidR="00401C25" w:rsidRPr="00A54702" w:rsidRDefault="00000000">
      <w:r w:rsidRPr="00A54702">
        <w:t>Primary Objective:</w:t>
      </w:r>
    </w:p>
    <w:p w:rsidR="00401C25" w:rsidRDefault="00000000">
      <w:r>
        <w:t>To compare pain perception during anesthetic injection between conventional syringe-based anesthesia and CCLAD (SOGA Smart II).</w:t>
      </w:r>
    </w:p>
    <w:p w:rsidR="00401C25" w:rsidRDefault="00401C25"/>
    <w:p w:rsidR="00401C25" w:rsidRDefault="00000000">
      <w:r>
        <w:t>Secondary Objective:</w:t>
      </w:r>
    </w:p>
    <w:p w:rsidR="00401C25" w:rsidRDefault="00000000">
      <w:r>
        <w:t>To evaluate patient preference between the two anesthesia delivery techniques.</w:t>
      </w:r>
    </w:p>
    <w:p w:rsidR="00401C25" w:rsidRDefault="00401C25"/>
    <w:p w:rsidR="00401C25" w:rsidRDefault="00000000">
      <w:r>
        <w:t>Hypothesis:</w:t>
      </w:r>
    </w:p>
    <w:p w:rsidR="00401C25" w:rsidRDefault="00000000">
      <w:r>
        <w:t>Computer-controlled local anesthesia delivery results in significantly lower pain scores compared with conventional syringe-based anesthesia.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lastRenderedPageBreak/>
        <w:t>3. Trial Design</w:t>
      </w:r>
    </w:p>
    <w:p w:rsidR="00401C25" w:rsidRDefault="00000000">
      <w:r>
        <w:t>This study is a randomized, two-period, two-sequence crossover clinical trial. Each participant receives both conventional local anesthesia and CCLAD in two separate visits according to a randomized intervention sequence (Sequence A or Sequence B). A washout period of at least seven days is maintained between visits to minimize carryover effects.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4. Study Setting</w:t>
      </w:r>
    </w:p>
    <w:p w:rsidR="00401C25" w:rsidRDefault="00000000">
      <w:r>
        <w:t>The trial is conducted at Fatima Jinnah Dental College and Hospital, Karachi, Pakistan.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5. Eligibility Criteria</w:t>
      </w:r>
    </w:p>
    <w:p w:rsidR="00401C25" w:rsidRDefault="00000000">
      <w:r>
        <w:t>Inclusion Criteria:</w:t>
      </w:r>
    </w:p>
    <w:p w:rsidR="00401C25" w:rsidRDefault="00000000">
      <w:r>
        <w:t>- Adults aged 18–65 years</w:t>
      </w:r>
    </w:p>
    <w:p w:rsidR="00401C25" w:rsidRDefault="00000000">
      <w:r>
        <w:t>- Patients requiring bilateral dental treatment involving local anesthesia</w:t>
      </w:r>
    </w:p>
    <w:p w:rsidR="00401C25" w:rsidRDefault="00000000">
      <w:r>
        <w:t>- Willingness to provide written informed consent</w:t>
      </w:r>
    </w:p>
    <w:p w:rsidR="00401C25" w:rsidRDefault="00401C25"/>
    <w:p w:rsidR="00401C25" w:rsidRDefault="00000000">
      <w:r>
        <w:t>Exclusion Criteria:</w:t>
      </w:r>
    </w:p>
    <w:p w:rsidR="00401C25" w:rsidRDefault="00000000">
      <w:r>
        <w:t>- Known allergy or hypersensitivity to local anesthetic agents</w:t>
      </w:r>
    </w:p>
    <w:p w:rsidR="00401C25" w:rsidRDefault="00000000">
      <w:r>
        <w:t>- Pregnant women</w:t>
      </w:r>
    </w:p>
    <w:p w:rsidR="00401C25" w:rsidRDefault="00000000">
      <w:r>
        <w:t>- Patients taking sedative medications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6. Interventions</w:t>
      </w:r>
    </w:p>
    <w:p w:rsidR="00401C25" w:rsidRDefault="00000000">
      <w:r>
        <w:t>Conventional Local Anesthesia:</w:t>
      </w:r>
    </w:p>
    <w:p w:rsidR="00401C25" w:rsidRDefault="00000000">
      <w:r>
        <w:t>Administration using a standard disposable dental syringe with a 27-gauge needle and 2% lidocaine with epinephrine (1:100,000).</w:t>
      </w:r>
    </w:p>
    <w:p w:rsidR="00401C25" w:rsidRDefault="00401C25"/>
    <w:p w:rsidR="00401C25" w:rsidRDefault="00000000">
      <w:r>
        <w:t>Computer-Controlled Local Anesthesia Delivery (CCLAD):</w:t>
      </w:r>
    </w:p>
    <w:p w:rsidR="00401C25" w:rsidRDefault="00000000">
      <w:r>
        <w:t>Administration using the SOGA Smart II device with the same anesthetic solution and needle specifications.</w:t>
      </w:r>
    </w:p>
    <w:p w:rsidR="00401C25" w:rsidRDefault="00401C25"/>
    <w:p w:rsidR="00401C25" w:rsidRDefault="00000000">
      <w:r>
        <w:t>Standardization:</w:t>
      </w:r>
    </w:p>
    <w:p w:rsidR="00401C25" w:rsidRDefault="00000000">
      <w:r>
        <w:t>Injection duration is standardized to approximately 60 seconds for maxillary infiltration and 2 minutes for inferior alveolar nerve block in both interventions.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7. Outcomes</w:t>
      </w:r>
    </w:p>
    <w:p w:rsidR="00401C25" w:rsidRDefault="00000000">
      <w:r>
        <w:t>Primary Outcome:</w:t>
      </w:r>
    </w:p>
    <w:p w:rsidR="00401C25" w:rsidRDefault="00000000">
      <w:r>
        <w:t>Pain perception during injection measured using a Visual Analogue Scale (VAS; 0–10) immediately after administration.</w:t>
      </w:r>
    </w:p>
    <w:p w:rsidR="00401C25" w:rsidRDefault="00401C25"/>
    <w:p w:rsidR="00401C25" w:rsidRDefault="00000000">
      <w:r>
        <w:t>Secondary Outcome:</w:t>
      </w:r>
    </w:p>
    <w:p w:rsidR="00401C25" w:rsidRDefault="00000000">
      <w:r>
        <w:t>Patient preference for anesthesia technique assessed after completion of both study visits.</w:t>
      </w:r>
    </w:p>
    <w:p w:rsidR="00401C25" w:rsidRDefault="00000000">
      <w:r>
        <w:t>Adverse events, if any, are recorded.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8. Sample Size Calculation</w:t>
      </w:r>
    </w:p>
    <w:p w:rsidR="00401C25" w:rsidRDefault="00000000">
      <w:r>
        <w:t>A total sample size of 40 participants was determined based on crossover design assumptions to detect a clinically meaningful difference in VAS scores with 80% power and a two-sided alpha of 0.05.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9. Randomization and Allocation Concealment</w:t>
      </w:r>
    </w:p>
    <w:p w:rsidR="00401C25" w:rsidRDefault="00000000">
      <w:r>
        <w:t>Participants are randomized in a 1:1 ratio to one of two intervention sequences using a computer-generated random number table (Microsoft Excel RAND function). Sequence A receives conventional anesthesia in Period 1 followed by CCLAD in Period 2, while Sequence B receives CCLAD in Period 1 followed by conventional anesthesia. Allocation concealment is ensured by an independent dental assistant not involved in clinical procedures or outcome assessment.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10. Blinding</w:t>
      </w:r>
    </w:p>
    <w:p w:rsidR="00401C25" w:rsidRDefault="00000000">
      <w:r>
        <w:t>Blinding of participants and operators is not feasible due to the distinct physical and operational characteristics of the anesthesia delivery devices. Outcome assessment is based on participant self-reported pain scores.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11. Statistical Analysis</w:t>
      </w:r>
    </w:p>
    <w:p w:rsidR="00401C25" w:rsidRDefault="00000000">
      <w:r>
        <w:t>Data are analyzed using SPSS version 23. Continuous outcomes are summarized as mean ± standard deviation. Paired t-tests are used to compare pain scores between interventions, consistent with the crossover design. Carryover effects are considered unlikely due to the washout period.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12. Ethical Considerations</w:t>
      </w:r>
    </w:p>
    <w:p w:rsidR="00401C25" w:rsidRDefault="00000000">
      <w:r>
        <w:t>Ethical approval was obtained from the Institutional Review Board of Fatima Jinnah Dental College and Hospital</w:t>
      </w:r>
      <w:r w:rsidR="00A54702">
        <w:t xml:space="preserve"> </w:t>
      </w:r>
      <w:r w:rsidR="00A54702">
        <w:t>(approval no. FJDC/ERC/2024/07)</w:t>
      </w:r>
      <w:r>
        <w:t>. Written informed consent is obtained from all participants. The trial was registered retrospectively with the Thai Clinical Trials Registry (TCTR20250517004).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13. Trial Status</w:t>
      </w:r>
    </w:p>
    <w:p w:rsidR="00401C25" w:rsidRDefault="00000000">
      <w:r>
        <w:t>Recruitment began in July 2024. Data collection was completed in December 2024, and analysis was completed prior to manuscript submission.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14. Dissemination</w:t>
      </w:r>
    </w:p>
    <w:p w:rsidR="00401C25" w:rsidRDefault="00000000">
      <w:r>
        <w:t>Study findings will be disseminated through publication in peer-reviewed journals and presentations at scientific conferences.</w:t>
      </w:r>
    </w:p>
    <w:p w:rsidR="00401C25" w:rsidRDefault="00401C25"/>
    <w:p w:rsidR="00401C25" w:rsidRPr="00A54702" w:rsidRDefault="00000000">
      <w:pPr>
        <w:rPr>
          <w:b/>
          <w:bCs/>
        </w:rPr>
      </w:pPr>
      <w:r w:rsidRPr="00A54702">
        <w:rPr>
          <w:b/>
          <w:bCs/>
        </w:rPr>
        <w:t>15. Funding and Conflicts of Interest</w:t>
      </w:r>
    </w:p>
    <w:p w:rsidR="00401C25" w:rsidRDefault="00000000">
      <w:r>
        <w:t>This study received no external funding. The authors declare no conflicts of interest.</w:t>
      </w:r>
    </w:p>
    <w:p w:rsidR="00401C25" w:rsidRDefault="00401C25"/>
    <w:sectPr w:rsidR="00401C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2500646">
    <w:abstractNumId w:val="8"/>
  </w:num>
  <w:num w:numId="2" w16cid:durableId="1683968091">
    <w:abstractNumId w:val="6"/>
  </w:num>
  <w:num w:numId="3" w16cid:durableId="1538396463">
    <w:abstractNumId w:val="5"/>
  </w:num>
  <w:num w:numId="4" w16cid:durableId="2052338409">
    <w:abstractNumId w:val="4"/>
  </w:num>
  <w:num w:numId="5" w16cid:durableId="564143648">
    <w:abstractNumId w:val="7"/>
  </w:num>
  <w:num w:numId="6" w16cid:durableId="636879434">
    <w:abstractNumId w:val="3"/>
  </w:num>
  <w:num w:numId="7" w16cid:durableId="1059741733">
    <w:abstractNumId w:val="2"/>
  </w:num>
  <w:num w:numId="8" w16cid:durableId="1783067747">
    <w:abstractNumId w:val="1"/>
  </w:num>
  <w:num w:numId="9" w16cid:durableId="2116752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01C25"/>
    <w:rsid w:val="005A2070"/>
    <w:rsid w:val="006970A1"/>
    <w:rsid w:val="006C754C"/>
    <w:rsid w:val="008F3208"/>
    <w:rsid w:val="00950735"/>
    <w:rsid w:val="00A54702"/>
    <w:rsid w:val="00AA1D8D"/>
    <w:rsid w:val="00B47730"/>
    <w:rsid w:val="00B74E0F"/>
    <w:rsid w:val="00CB0664"/>
    <w:rsid w:val="00E5693E"/>
    <w:rsid w:val="00E779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62637E"/>
  <w14:defaultImageDpi w14:val="300"/>
  <w15:docId w15:val="{5C40EDF9-8C92-4C8D-BB53-88C2A4E7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semiHidden/>
    <w:unhideWhenUsed/>
    <w:rsid w:val="00B7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3AC69BC-8E9A-4437-A542-5DDF1B39F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Shahid Islam</cp:lastModifiedBy>
  <cp:revision>4</cp:revision>
  <dcterms:created xsi:type="dcterms:W3CDTF">2013-12-23T23:15:00Z</dcterms:created>
  <dcterms:modified xsi:type="dcterms:W3CDTF">2026-01-15T11:52:00Z</dcterms:modified>
  <cp:category/>
</cp:coreProperties>
</file>