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96292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kern w:val="2"/>
          <w:sz w:val="36"/>
          <w:szCs w:val="44"/>
          <w:shd w:val="clear" w:fill="FFFFFF"/>
          <w:lang w:val="en-US" w:eastAsia="zh-CN" w:bidi="ar-SA"/>
        </w:rPr>
      </w:pPr>
      <w:bookmarkStart w:id="0" w:name="_GoBack"/>
      <w:r>
        <w:rPr>
          <w:rFonts w:hint="eastAsia" w:ascii="Times New Roman" w:hAnsi="Segoe UI" w:eastAsia="宋体" w:cs="Segoe UI"/>
          <w:b/>
          <w:bCs/>
          <w:i w:val="0"/>
          <w:iCs w:val="0"/>
          <w:caps w:val="0"/>
          <w:color w:val="auto"/>
          <w:spacing w:val="0"/>
          <w:kern w:val="2"/>
          <w:sz w:val="36"/>
          <w:szCs w:val="44"/>
          <w:shd w:val="clear" w:fill="FFFFFF"/>
          <w:lang w:val="en-US" w:eastAsia="zh-CN" w:bidi="ar-SA"/>
        </w:rPr>
        <w:t>Supplementary File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kern w:val="2"/>
          <w:sz w:val="36"/>
          <w:szCs w:val="44"/>
          <w:shd w:val="clear" w:fill="FFFFFF"/>
          <w:lang w:val="en-US" w:eastAsia="zh-CN" w:bidi="ar-SA"/>
        </w:rPr>
        <w:t xml:space="preserve"> 4</w:t>
      </w:r>
      <w:bookmarkEnd w:id="0"/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kern w:val="2"/>
          <w:sz w:val="36"/>
          <w:szCs w:val="44"/>
          <w:shd w:val="clear" w:fill="FFFFFF"/>
          <w:lang w:val="en-US" w:eastAsia="zh-CN" w:bidi="ar-SA"/>
        </w:rPr>
        <w:t>. Tables</w:t>
      </w:r>
    </w:p>
    <w:p w14:paraId="08AA6A8E">
      <w:pPr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 Table 1. Factor Analysis Results for Subjective Competency Scale (SCS)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9"/>
        <w:gridCol w:w="759"/>
        <w:gridCol w:w="689"/>
        <w:gridCol w:w="689"/>
        <w:gridCol w:w="689"/>
        <w:gridCol w:w="1957"/>
      </w:tblGrid>
      <w:tr w14:paraId="72124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7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FB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</w:p>
        </w:tc>
        <w:tc>
          <w:tcPr>
            <w:tcW w:w="1518" w:type="pct"/>
            <w:gridSpan w:val="4"/>
            <w:tcBorders>
              <w:top w:val="single" w:color="000000" w:themeColor="dark1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98E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Factor loading*</w:t>
            </w:r>
          </w:p>
        </w:tc>
        <w:tc>
          <w:tcPr>
            <w:tcW w:w="1064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8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</w:p>
        </w:tc>
      </w:tr>
      <w:tr w14:paraId="4E7A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7E6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Item</w:t>
            </w:r>
          </w:p>
        </w:tc>
        <w:tc>
          <w:tcPr>
            <w:tcW w:w="40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BD6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435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C71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DCC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12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Item - Rest Correlation</w:t>
            </w:r>
          </w:p>
        </w:tc>
      </w:tr>
      <w:tr w14:paraId="14C7F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F2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A1. Recognition of dental caries and tooth demineralization</w:t>
            </w:r>
          </w:p>
        </w:tc>
        <w:tc>
          <w:tcPr>
            <w:tcW w:w="4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8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F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0.182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D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0.091</w:t>
            </w:r>
          </w:p>
        </w:tc>
        <w:tc>
          <w:tcPr>
            <w:tcW w:w="3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4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106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C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0.369</w:t>
            </w:r>
          </w:p>
        </w:tc>
      </w:tr>
      <w:tr w14:paraId="038A0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AB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A2. Prevention and intervention of tooth demineralization during orthodontic treatment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F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0.232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34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0.325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1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0.206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D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0.685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E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0.564</w:t>
            </w:r>
          </w:p>
        </w:tc>
      </w:tr>
      <w:tr w14:paraId="6D0BA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E09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A3. Health education on dental hygiene for patients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5D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-0.112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8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0.403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0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0.306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25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0.737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F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0.429</w:t>
            </w:r>
          </w:p>
        </w:tc>
      </w:tr>
      <w:tr w14:paraId="1342E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31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A4. Recognition of periodontal disease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9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0.198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6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0.699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8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2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0.303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D7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0.503</w:t>
            </w:r>
          </w:p>
        </w:tc>
      </w:tr>
      <w:tr w14:paraId="0B75B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46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A5. Prevention and intervention of periodontal disease during orthodontic treatment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5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0.355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A2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0.660 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4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0.074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7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D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0.615</w:t>
            </w:r>
          </w:p>
        </w:tc>
      </w:tr>
      <w:tr w14:paraId="5AAC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63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A6. Periodontal health maintenance education for patients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8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0.179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5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0.859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1D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3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0.072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B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0.562</w:t>
            </w:r>
          </w:p>
        </w:tc>
      </w:tr>
      <w:tr w14:paraId="655E1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0F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A7. Recognition of temporomandibular joint disorders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C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0.766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7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0.164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F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0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0.127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A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0.737</w:t>
            </w:r>
          </w:p>
        </w:tc>
      </w:tr>
      <w:tr w14:paraId="6F30E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98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A8. Treatment strategies for patients with temporomandibular joint disorders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7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0.868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D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0.079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6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0.293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F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0.149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7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0.698</w:t>
            </w:r>
          </w:p>
        </w:tc>
      </w:tr>
      <w:tr w14:paraId="61DE4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1F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A9. Temporomandibular joint health maintenance education for patients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3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0.812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D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0.195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3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B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0.028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7F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0.703</w:t>
            </w:r>
          </w:p>
        </w:tc>
      </w:tr>
      <w:tr w14:paraId="70A4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A4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A10. Clinical recognition and correction of bad oral habits; 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1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0.373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1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0.259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9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0.748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1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0.042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6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0.707</w:t>
            </w:r>
          </w:p>
        </w:tc>
      </w:tr>
      <w:tr w14:paraId="32284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23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A11. Application of myofunctional training in Orthodontic Treatment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A2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0.311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8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0.159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4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0.836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7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0.133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4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0.696</w:t>
            </w:r>
          </w:p>
        </w:tc>
      </w:tr>
      <w:tr w14:paraId="02E65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0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9044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A12. Treatment strategies for mouth Breathing</w:t>
            </w:r>
          </w:p>
        </w:tc>
        <w:tc>
          <w:tcPr>
            <w:tcW w:w="40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B1F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0.401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2DB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0.124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460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0.750 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E76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0.225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9CD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0.719</w:t>
            </w:r>
          </w:p>
        </w:tc>
      </w:tr>
    </w:tbl>
    <w:p w14:paraId="5BC9A97D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Eigenvalues &gt;1.0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KMO = 0.873 and the Bartlett’s test: χ² = 3023.250, p &lt; 0.000, indicated that the data were appropriate for conducting factor analysis.  Cronbach’s Alpha: Overall = 0.897; Demineralization and Caries = 0.662; Periodontal = 0.810; TMJ = 0.903; Muscle = 0.879; *The bold numbers represent the items that contributed primarily to the factor for that column.</w:t>
      </w:r>
    </w:p>
    <w:p w14:paraId="3A9AD833"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65375ECB">
      <w:pPr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4 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Confirmatory Factor Analysis Results for Subjective Competency Scale (SCS)</w:t>
      </w:r>
    </w:p>
    <w:tbl>
      <w:tblPr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1863"/>
        <w:gridCol w:w="2721"/>
        <w:gridCol w:w="736"/>
        <w:gridCol w:w="865"/>
        <w:gridCol w:w="736"/>
        <w:gridCol w:w="736"/>
      </w:tblGrid>
      <w:tr w14:paraId="192D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A5B8D8B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Factor</w:t>
            </w:r>
          </w:p>
        </w:tc>
        <w:tc>
          <w:tcPr>
            <w:tcW w:w="100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9884D1A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Item Description</w:t>
            </w:r>
          </w:p>
        </w:tc>
        <w:tc>
          <w:tcPr>
            <w:tcW w:w="147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37DDFF5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Standardized Loading (λ)</w:t>
            </w:r>
          </w:p>
        </w:tc>
        <w:tc>
          <w:tcPr>
            <w:tcW w:w="39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40FDCC8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</w:p>
        </w:tc>
        <w:tc>
          <w:tcPr>
            <w:tcW w:w="46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58D05AE4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</w:p>
        </w:tc>
        <w:tc>
          <w:tcPr>
            <w:tcW w:w="39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A45440F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AVE</w:t>
            </w:r>
          </w:p>
        </w:tc>
        <w:tc>
          <w:tcPr>
            <w:tcW w:w="39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7AD8AE0">
            <w:pPr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</w:t>
            </w:r>
          </w:p>
        </w:tc>
      </w:tr>
      <w:tr w14:paraId="0F8B7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BE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Dental</w:t>
            </w:r>
          </w:p>
        </w:tc>
        <w:tc>
          <w:tcPr>
            <w:tcW w:w="100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EF2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</w:t>
            </w:r>
          </w:p>
        </w:tc>
        <w:tc>
          <w:tcPr>
            <w:tcW w:w="147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69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0.568</w:t>
            </w:r>
          </w:p>
        </w:tc>
        <w:tc>
          <w:tcPr>
            <w:tcW w:w="39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DA8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46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6B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39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8F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0.417</w:t>
            </w:r>
          </w:p>
        </w:tc>
        <w:tc>
          <w:tcPr>
            <w:tcW w:w="39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46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0.679</w:t>
            </w:r>
          </w:p>
        </w:tc>
      </w:tr>
      <w:tr w14:paraId="3F22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DDE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E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8E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5C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10.13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342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26A5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68C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0066B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C47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DB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A3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58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0.597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4F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9.01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02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68D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E51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4F83C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1C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Periodontal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4E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A4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6C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7D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729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57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0.593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DF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0.813</w:t>
            </w:r>
          </w:p>
        </w:tc>
      </w:tr>
      <w:tr w14:paraId="0674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DAE5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53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A5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9D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33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14.03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C54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F03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594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32D2A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EA0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45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A6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A8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0.833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EE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14.91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4E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AA5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6F2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56BEE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59B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TMJ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18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A7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77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0.853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6F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71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EC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0.759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1B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0.904</w:t>
            </w:r>
          </w:p>
        </w:tc>
      </w:tr>
      <w:tr w14:paraId="2C649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660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C5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A8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F3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0.892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B0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23.67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58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699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3F9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091D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B99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09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A9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86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88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22.76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DD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F7E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7FA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01FA1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EF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Myofunctional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EB0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A10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C25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0.802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01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63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69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22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0.882</w:t>
            </w:r>
          </w:p>
        </w:tc>
      </w:tr>
      <w:tr w14:paraId="17879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F1A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69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A11</w:t>
            </w:r>
          </w:p>
        </w:tc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6E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E4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19.91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DC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98E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8B4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</w:tr>
      <w:tr w14:paraId="0DAD1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853D0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D98C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A12</w:t>
            </w:r>
          </w:p>
        </w:tc>
        <w:tc>
          <w:tcPr>
            <w:tcW w:w="14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C5B1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0.867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DD17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20.01</w:t>
            </w:r>
          </w:p>
        </w:tc>
        <w:tc>
          <w:tcPr>
            <w:tcW w:w="46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D990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3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7FDE5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8090C"/>
                <w:sz w:val="22"/>
                <w:szCs w:val="22"/>
                <w:u w:val="none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65B32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63260A9">
      <w:pPr>
        <w:keepNext w:val="0"/>
        <w:keepLines w:val="0"/>
        <w:widowControl/>
        <w:suppressLineNumbers w:val="0"/>
        <w:jc w:val="left"/>
        <w:textAlignment w:val="center"/>
      </w:pPr>
    </w:p>
    <w:p w14:paraId="3116E31A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'—' indicates the reference item for each factor. Model fit indices: CFI = 0.933, TLI = 0.908, GFI = 0.906, RMSEA = 0.098 (90% CI: 0.087–0.111), SRMR = 0.048. AVE, average variance extracted; CR, composite reliability; TMJ, temporomandibular joint; TMD, temporomandibular disorder.</w:t>
      </w:r>
    </w:p>
    <w:p w14:paraId="5F7A82C0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1030226"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66B20B2F"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417EDAF4">
      <w:pPr>
        <w:spacing w:line="480" w:lineRule="auto"/>
        <w:jc w:val="left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4 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 Item Analysis Results for Objective Knowledge Test in Orthodontics (OKTO)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340"/>
        <w:gridCol w:w="1727"/>
        <w:gridCol w:w="1951"/>
        <w:gridCol w:w="2781"/>
      </w:tblGrid>
      <w:tr w14:paraId="381A2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74BA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2"/>
                <w:szCs w:val="22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Item</w:t>
            </w:r>
          </w:p>
        </w:tc>
        <w:tc>
          <w:tcPr>
            <w:tcW w:w="725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49D2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2"/>
                <w:szCs w:val="22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Difficulty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Index</w:t>
            </w:r>
          </w:p>
        </w:tc>
        <w:tc>
          <w:tcPr>
            <w:tcW w:w="93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BAC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2"/>
                <w:szCs w:val="22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Discrimination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Index</w:t>
            </w:r>
          </w:p>
        </w:tc>
        <w:tc>
          <w:tcPr>
            <w:tcW w:w="1055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661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2"/>
                <w:szCs w:val="22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Point</w:t>
            </w:r>
            <w:r>
              <w:rPr>
                <w:rStyle w:val="16"/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Biserial Correlation</w:t>
            </w:r>
          </w:p>
        </w:tc>
        <w:tc>
          <w:tcPr>
            <w:tcW w:w="150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C6E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sz w:val="22"/>
                <w:szCs w:val="22"/>
                <w:u w:val="none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KR-20 Coefficient with the Item Omitted</w:t>
            </w:r>
          </w:p>
        </w:tc>
      </w:tr>
      <w:tr w14:paraId="50BD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9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</w:t>
            </w:r>
          </w:p>
        </w:tc>
        <w:tc>
          <w:tcPr>
            <w:tcW w:w="725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C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0.95</w:t>
            </w:r>
          </w:p>
        </w:tc>
        <w:tc>
          <w:tcPr>
            <w:tcW w:w="934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09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1055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A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504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E4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4D8DE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D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C2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B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A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E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8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7FC6F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8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1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5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5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B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0.44 </w:t>
            </w:r>
          </w:p>
        </w:tc>
      </w:tr>
      <w:tr w14:paraId="29A91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010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C4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E2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1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5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0.23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3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0.46 </w:t>
            </w:r>
          </w:p>
        </w:tc>
      </w:tr>
      <w:tr w14:paraId="5E66E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D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F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0.79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9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3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0.23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6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0.47 </w:t>
            </w:r>
          </w:p>
        </w:tc>
      </w:tr>
      <w:tr w14:paraId="1AB47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3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C6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8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3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1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2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1EB17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7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C7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9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0.49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E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0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4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0.46 </w:t>
            </w:r>
          </w:p>
        </w:tc>
      </w:tr>
      <w:tr w14:paraId="51C0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A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C8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B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3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C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0.31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7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62AD1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9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C9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3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0.96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D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D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1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123EE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9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C10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4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0.97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46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1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0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6A0A6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E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B2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6F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9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0.47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F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0.41 </w:t>
            </w:r>
          </w:p>
        </w:tc>
      </w:tr>
      <w:tr w14:paraId="5E380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F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C12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6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0.84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8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0.25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30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5C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0.44 </w:t>
            </w:r>
          </w:p>
        </w:tc>
      </w:tr>
      <w:tr w14:paraId="7E9A9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159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18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0.74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F3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80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E4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 w14:paraId="0F4D2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E5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C14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7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0.92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4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5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A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0.44 </w:t>
            </w:r>
          </w:p>
        </w:tc>
      </w:tr>
      <w:tr w14:paraId="1D2BB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0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5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0.97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C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7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7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65FE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7A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C16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E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0.63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91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0.35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A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0.37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E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0.44 </w:t>
            </w:r>
          </w:p>
        </w:tc>
      </w:tr>
      <w:tr w14:paraId="15C4E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3A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C17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71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0.26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88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7F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F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 w14:paraId="3A8E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A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C18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2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67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0.21 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26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0.33 </w:t>
            </w:r>
          </w:p>
        </w:tc>
        <w:tc>
          <w:tcPr>
            <w:tcW w:w="15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A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0.44 </w:t>
            </w:r>
          </w:p>
        </w:tc>
      </w:tr>
      <w:tr w14:paraId="173E5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3E78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C19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FDD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0.96</w:t>
            </w:r>
          </w:p>
        </w:tc>
        <w:tc>
          <w:tcPr>
            <w:tcW w:w="93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0774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 </w:t>
            </w:r>
          </w:p>
        </w:tc>
        <w:tc>
          <w:tcPr>
            <w:tcW w:w="105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867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  <w:tc>
          <w:tcPr>
            <w:tcW w:w="150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266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0.43 </w:t>
            </w:r>
          </w:p>
        </w:tc>
      </w:tr>
    </w:tbl>
    <w:p w14:paraId="67604BFF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Complete item content is provided in Appendix 2 (Part C).</w:t>
      </w:r>
    </w:p>
    <w:p w14:paraId="4CA4687B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</w:p>
    <w:p w14:paraId="7BDF904F">
      <w:pP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4321E16C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4 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 Comparison of SCS and OKTO scores across different CPBS Groups</w:t>
      </w:r>
    </w:p>
    <w:tbl>
      <w:tblPr>
        <w:tblStyle w:val="4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731"/>
        <w:gridCol w:w="1909"/>
        <w:gridCol w:w="1221"/>
        <w:gridCol w:w="885"/>
        <w:gridCol w:w="885"/>
        <w:gridCol w:w="885"/>
        <w:gridCol w:w="885"/>
      </w:tblGrid>
      <w:tr w14:paraId="72A8F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2" w:type="pct"/>
            <w:vMerge w:val="restar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F08CF2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31" w:type="pct"/>
            <w:gridSpan w:val="3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49214D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Median (Interquartile Range)</w:t>
            </w:r>
          </w:p>
        </w:tc>
        <w:tc>
          <w:tcPr>
            <w:tcW w:w="479" w:type="pct"/>
            <w:vMerge w:val="restar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16996B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479" w:type="pct"/>
            <w:vMerge w:val="restar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50488C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479" w:type="pct"/>
            <w:vMerge w:val="restar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9FAC70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479" w:type="pct"/>
            <w:vMerge w:val="restar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CF5959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d</w:t>
            </w:r>
          </w:p>
        </w:tc>
      </w:tr>
      <w:tr w14:paraId="494C7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2" w:type="pct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112FA9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EA1274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Low CPBS group</w:t>
            </w:r>
          </w:p>
          <w:p w14:paraId="7B6DE22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(n=127)</w:t>
            </w:r>
          </w:p>
        </w:tc>
        <w:tc>
          <w:tcPr>
            <w:tcW w:w="1033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EF4CB8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Middle CPBS group</w:t>
            </w:r>
          </w:p>
          <w:p w14:paraId="0FB3B17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(n=175)</w:t>
            </w:r>
          </w:p>
        </w:tc>
        <w:tc>
          <w:tcPr>
            <w:tcW w:w="660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12315A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High CPBS</w:t>
            </w:r>
          </w:p>
          <w:p w14:paraId="4C02D27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  <w:p w14:paraId="5DC73E2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(n=132)</w:t>
            </w:r>
          </w:p>
        </w:tc>
        <w:tc>
          <w:tcPr>
            <w:tcW w:w="479" w:type="pct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EA7450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9" w:type="pct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356245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9" w:type="pct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9C9238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79" w:type="pct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432132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0C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EC14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SCS</w:t>
            </w:r>
          </w:p>
        </w:tc>
        <w:tc>
          <w:tcPr>
            <w:tcW w:w="93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6385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42(37-47)</w:t>
            </w:r>
          </w:p>
        </w:tc>
        <w:tc>
          <w:tcPr>
            <w:tcW w:w="10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E98D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48(44-53)</w:t>
            </w:r>
          </w:p>
        </w:tc>
        <w:tc>
          <w:tcPr>
            <w:tcW w:w="660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5ACF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53(49-58)</w:t>
            </w:r>
          </w:p>
        </w:tc>
        <w:tc>
          <w:tcPr>
            <w:tcW w:w="47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3B84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0.000**</w:t>
            </w:r>
          </w:p>
        </w:tc>
        <w:tc>
          <w:tcPr>
            <w:tcW w:w="47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3D29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0.000**</w:t>
            </w:r>
          </w:p>
        </w:tc>
        <w:tc>
          <w:tcPr>
            <w:tcW w:w="47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476B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0.000**</w:t>
            </w:r>
          </w:p>
        </w:tc>
        <w:tc>
          <w:tcPr>
            <w:tcW w:w="47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CCA0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0.000**</w:t>
            </w:r>
          </w:p>
        </w:tc>
      </w:tr>
      <w:tr w14:paraId="760D4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018912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OKTO</w:t>
            </w:r>
          </w:p>
        </w:tc>
        <w:tc>
          <w:tcPr>
            <w:tcW w:w="93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BB9AE5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17(16-18.0)</w:t>
            </w:r>
          </w:p>
        </w:tc>
        <w:tc>
          <w:tcPr>
            <w:tcW w:w="10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5423C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17(16-19)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46290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17(15-18)</w:t>
            </w:r>
          </w:p>
        </w:tc>
        <w:tc>
          <w:tcPr>
            <w:tcW w:w="4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51645D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0.017*</w:t>
            </w:r>
          </w:p>
        </w:tc>
        <w:tc>
          <w:tcPr>
            <w:tcW w:w="4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113A05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0.882</w:t>
            </w:r>
          </w:p>
        </w:tc>
        <w:tc>
          <w:tcPr>
            <w:tcW w:w="4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501462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0.296</w:t>
            </w:r>
          </w:p>
        </w:tc>
        <w:tc>
          <w:tcPr>
            <w:tcW w:w="4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B2DF12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0.013*</w:t>
            </w:r>
          </w:p>
        </w:tc>
      </w:tr>
    </w:tbl>
    <w:p w14:paraId="200F29A0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vertAlign w:val="superscript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 = Kruskal-Wallis test; 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vertAlign w:val="superscript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-p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vertAlign w:val="superscript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 = Dunn's pairwise comparisons (Low vs Middle, Low vs High, Middle vs High respectively). CPBS,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 xml:space="preserve">Clinical Practice Behavior Scale;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SCS, Subjective Competency Scale; OKTO, Objective Knowledge Test for Orthodontists. *p &lt; 0.05, **p &lt; 0.01.</w:t>
      </w:r>
    </w:p>
    <w:p w14:paraId="3E2D7C91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</w:p>
    <w:p w14:paraId="0B024CE9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4 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. Descriptive Statistics of Subjective Competency Scale 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4907"/>
        <w:gridCol w:w="1439"/>
        <w:gridCol w:w="1424"/>
      </w:tblGrid>
      <w:tr w14:paraId="2D61B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4CAE58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Category</w:t>
            </w:r>
          </w:p>
        </w:tc>
        <w:tc>
          <w:tcPr>
            <w:tcW w:w="2701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701AE48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Item</w:t>
            </w:r>
          </w:p>
        </w:tc>
        <w:tc>
          <w:tcPr>
            <w:tcW w:w="825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7E9F14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Mean ± SD</w:t>
            </w:r>
          </w:p>
        </w:tc>
        <w:tc>
          <w:tcPr>
            <w:tcW w:w="817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21F25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dark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Median (IQR)</w:t>
            </w:r>
          </w:p>
        </w:tc>
      </w:tr>
      <w:tr w14:paraId="1E741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2C888C0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Dental</w:t>
            </w:r>
          </w:p>
        </w:tc>
        <w:tc>
          <w:tcPr>
            <w:tcW w:w="2701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2570F1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A3C97F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4.45 ± 0.77</w:t>
            </w:r>
          </w:p>
        </w:tc>
        <w:tc>
          <w:tcPr>
            <w:tcW w:w="817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FEFF1C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31D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7CD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542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A1. Recognition of dental caries and tooth demineralization</w:t>
            </w: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0824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4.66 ± 0.68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5F5E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EF99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8F6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D73D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A2. Prevention and intervention of tooth demineralization during orthodontic treatment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2E5A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4.05 ± 0.94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18446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98D6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C4E69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488F8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A3. Health education on dental hygiene for patients</w:t>
            </w:r>
          </w:p>
        </w:tc>
        <w:tc>
          <w:tcPr>
            <w:tcW w:w="82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ABD8FC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4.65 ± 0.66</w:t>
            </w:r>
          </w:p>
        </w:tc>
        <w:tc>
          <w:tcPr>
            <w:tcW w:w="817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noWrap/>
            <w:vAlign w:val="center"/>
          </w:tcPr>
          <w:p w14:paraId="51A7D7F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1BDE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B5F52C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Periodontal</w:t>
            </w: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638301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444C99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4.33 ± 0.81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CCFA56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41E2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2C92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33C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A4. Recognition of periodontal disease</w:t>
            </w: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8CE0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4.46 ± 0.74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5047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E75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7E6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B171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A5. Prevention and intervention of periodontal disease during orthodontic treatment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F26B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4.10 ± 0.89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55069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580B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52D9D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FC0FDC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A6. Periodontal health maintenance education for patients</w:t>
            </w:r>
          </w:p>
        </w:tc>
        <w:tc>
          <w:tcPr>
            <w:tcW w:w="82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3CADD4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4.42 ± 0.80</w:t>
            </w:r>
          </w:p>
        </w:tc>
        <w:tc>
          <w:tcPr>
            <w:tcW w:w="817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noWrap/>
            <w:vAlign w:val="center"/>
          </w:tcPr>
          <w:p w14:paraId="0824877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5A7EE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299348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n-US" w:eastAsia="zh-CN"/>
              </w:rPr>
              <w:t>TMJ</w:t>
            </w: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0EEF3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4E4810F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3.33 ± 1.17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690F7BB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A355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8DB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0C4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A7. Recognition of temporomandibular joint disorders</w:t>
            </w: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85FB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3.61 ± 1.11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36B2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3840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B76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4BC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A8. Treatment strategies for patients with temporomandibular joint disorders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74B1E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3.01 ± 1.21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FB81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BFD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5252A9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61294D9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A9. Temporomandibular joint health maintenance education for patients</w:t>
            </w:r>
          </w:p>
        </w:tc>
        <w:tc>
          <w:tcPr>
            <w:tcW w:w="82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88E395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3.36 ± 1.20</w:t>
            </w:r>
          </w:p>
        </w:tc>
        <w:tc>
          <w:tcPr>
            <w:tcW w:w="817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noWrap/>
            <w:vAlign w:val="center"/>
          </w:tcPr>
          <w:p w14:paraId="262C766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DA7B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3DF92C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n-US" w:eastAsia="zh-CN"/>
              </w:rPr>
              <w:t>Myofunctional</w:t>
            </w: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1A5CFA3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7CE907A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3.79 ± 1.03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vAlign w:val="center"/>
          </w:tcPr>
          <w:p w14:paraId="0FEBAF6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32B1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0BA5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97A9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A10. Clinical recognition and correction of bad oral habits;  </w:t>
            </w:r>
          </w:p>
        </w:tc>
        <w:tc>
          <w:tcPr>
            <w:tcW w:w="82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50BE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4.04 ± 0.95</w:t>
            </w:r>
          </w:p>
        </w:tc>
        <w:tc>
          <w:tcPr>
            <w:tcW w:w="81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83725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0A33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8C7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162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A11. Application of myofunctional training in Orthodontic Treatment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F597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3.62 ± 1.06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07A8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2D5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153F28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2701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D801D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A12. Treatment strategies for mouth Breathing</w:t>
            </w:r>
          </w:p>
        </w:tc>
        <w:tc>
          <w:tcPr>
            <w:tcW w:w="82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114481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3.71 ± 1.08</w:t>
            </w:r>
          </w:p>
        </w:tc>
        <w:tc>
          <w:tcPr>
            <w:tcW w:w="81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F82E79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</w:tbl>
    <w:p w14:paraId="2C621A44">
      <w:pPr>
        <w:keepNext w:val="0"/>
        <w:keepLines w:val="0"/>
        <w:widowControl/>
        <w:suppressLineNumbers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 xml:space="preserve">Note: Each subscale score was calculated as the mean of its constituent items. SD, standard deviation; IQR, interquartile range; TMJ, Temporomandibular Joint. </w:t>
      </w:r>
    </w:p>
    <w:p w14:paraId="1C590413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44A73957">
      <w:pP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 Table 5. Clinical Practice Behavior Frequency Distribution [n(%)]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3"/>
        <w:gridCol w:w="848"/>
        <w:gridCol w:w="968"/>
        <w:gridCol w:w="1073"/>
        <w:gridCol w:w="1295"/>
        <w:gridCol w:w="1073"/>
        <w:gridCol w:w="1073"/>
        <w:gridCol w:w="1403"/>
      </w:tblGrid>
      <w:tr w14:paraId="4F605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BEB3FE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Category</w:t>
            </w:r>
          </w:p>
        </w:tc>
        <w:tc>
          <w:tcPr>
            <w:tcW w:w="462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D7F7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Item</w:t>
            </w:r>
          </w:p>
        </w:tc>
        <w:tc>
          <w:tcPr>
            <w:tcW w:w="527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7F84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Never (A)</w:t>
            </w:r>
          </w:p>
        </w:tc>
        <w:tc>
          <w:tcPr>
            <w:tcW w:w="58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5D5A6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Rarely (B)</w:t>
            </w:r>
          </w:p>
        </w:tc>
        <w:tc>
          <w:tcPr>
            <w:tcW w:w="705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06CB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Sometimes (C)</w:t>
            </w:r>
          </w:p>
        </w:tc>
        <w:tc>
          <w:tcPr>
            <w:tcW w:w="58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7BD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Often (D)</w:t>
            </w:r>
          </w:p>
        </w:tc>
        <w:tc>
          <w:tcPr>
            <w:tcW w:w="58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E603E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Always (E)</w:t>
            </w:r>
          </w:p>
        </w:tc>
        <w:tc>
          <w:tcPr>
            <w:tcW w:w="76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0C42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Average Compliance Rate (D+E)</w:t>
            </w:r>
          </w:p>
        </w:tc>
      </w:tr>
      <w:tr w14:paraId="0E508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F506F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Dental</w:t>
            </w:r>
          </w:p>
        </w:tc>
        <w:tc>
          <w:tcPr>
            <w:tcW w:w="462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7C283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EA49B1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CB99E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705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D016A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FA29A3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6EF9E6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color="000000" w:themeColor="dark1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A098E02">
            <w:pPr>
              <w:spacing w:line="480" w:lineRule="auto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78.00%*</w:t>
            </w:r>
          </w:p>
        </w:tc>
      </w:tr>
      <w:tr w14:paraId="7F2E7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9CC043C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D35758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B1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E888C7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0 (0%)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67219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 (0.69%)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9C84F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18 (4.15%)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3B6C6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101 (23.27%)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100204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312 (71.89%)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DD1C1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95.16%</w:t>
            </w:r>
          </w:p>
        </w:tc>
      </w:tr>
      <w:tr w14:paraId="66E57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F10AE7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BA051B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B2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CCA03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0 (0%)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357B6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 (0.46%)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5AF804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23 (5.30%)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160CD8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120 (27.65%)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342DA1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289 (66.59%)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F1C2A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94.24%</w:t>
            </w:r>
          </w:p>
        </w:tc>
      </w:tr>
      <w:tr w14:paraId="6E7BE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0A00906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B5C14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B7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8F9538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32 (7.37%)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0553E4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122 (28.11%)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B7A44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141 (32.49%)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20D12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93 (21.43%)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2FFA7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46 (10.60%)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DC4B51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32.03%</w:t>
            </w:r>
          </w:p>
        </w:tc>
      </w:tr>
      <w:tr w14:paraId="030DA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7F13DD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2FFC3B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B11</w:t>
            </w:r>
          </w:p>
        </w:tc>
        <w:tc>
          <w:tcPr>
            <w:tcW w:w="5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050BB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0 (0%)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8EA57B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 (1.61%)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0ACD3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34 (7.83%)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CCADA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131 (30.18%)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34960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262 (60.37%)</w:t>
            </w:r>
          </w:p>
        </w:tc>
        <w:tc>
          <w:tcPr>
            <w:tcW w:w="7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5826E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90.55%</w:t>
            </w:r>
          </w:p>
        </w:tc>
      </w:tr>
      <w:tr w14:paraId="3140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73C16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Periodontal</w:t>
            </w: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B85CC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0CC2C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CBAD9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048D2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03218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83F8B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9B2F4D5">
            <w:pPr>
              <w:spacing w:line="480" w:lineRule="auto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63.88%*</w:t>
            </w:r>
          </w:p>
        </w:tc>
      </w:tr>
      <w:tr w14:paraId="20AD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1CA930B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002E8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B3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FDF1C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29 (6.68%)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640AA3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117 (26.96%)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4C6DE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116 (26.73%)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F2AFB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105 (24.19%)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F5F8B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67 (15.44%)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90D344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39.63%</w:t>
            </w:r>
          </w:p>
        </w:tc>
      </w:tr>
      <w:tr w14:paraId="2CEE7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AF03A30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A5AA4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B4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080BF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 (1.38%)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30C19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33 (7.60%)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D78D9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60 (13.82%)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2F1EF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127 (29.26%)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A929B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208 (47.93%)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4BD73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77.19%</w:t>
            </w:r>
          </w:p>
        </w:tc>
      </w:tr>
      <w:tr w14:paraId="65284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834067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7FB2D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B8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6F3E1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 (0.69%)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DDB1E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37 (8.53%)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FD5C2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135 (31.11%)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8E07E8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167 (38.48%)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C6EFC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92 (21.20%)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CA55D8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59.68%</w:t>
            </w:r>
          </w:p>
        </w:tc>
      </w:tr>
      <w:tr w14:paraId="1B63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07EC862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C78570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B12</w:t>
            </w:r>
          </w:p>
        </w:tc>
        <w:tc>
          <w:tcPr>
            <w:tcW w:w="527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2E910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0 (0%)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C11E4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17 (3.92%)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EA99B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74 (17.05%)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6E569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146 (33.64%)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92A55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197 (45.39%)</w:t>
            </w:r>
          </w:p>
        </w:tc>
        <w:tc>
          <w:tcPr>
            <w:tcW w:w="764" w:type="pct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4BACE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79.03%</w:t>
            </w:r>
          </w:p>
        </w:tc>
      </w:tr>
      <w:tr w14:paraId="62EC9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C9FF68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0"/>
                <w:szCs w:val="22"/>
                <w:shd w:val="clear" w:fill="FFFFFF"/>
                <w:lang w:val="en-US" w:eastAsia="zh-CN"/>
              </w:rPr>
              <w:t>TMJ</w:t>
            </w:r>
          </w:p>
        </w:tc>
        <w:tc>
          <w:tcPr>
            <w:tcW w:w="462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2B953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27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A1BDD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E9329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05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D0CE3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27D6D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E622F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64" w:type="pct"/>
            <w:tcBorders>
              <w:top w:val="single" w:color="000000" w:sz="6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1D0120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56.45%</w:t>
            </w:r>
          </w:p>
        </w:tc>
      </w:tr>
      <w:tr w14:paraId="4BFE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6D4FF41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7B6E5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B5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42CB2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 (0.23%)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5AF1E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23 (5.30%)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282653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71 (16.36%)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86F604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139 (32.03%)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5FF6D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200 (46.08%)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F7DED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78.11%</w:t>
            </w:r>
          </w:p>
        </w:tc>
      </w:tr>
      <w:tr w14:paraId="7DC45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DA15C4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1E8CE4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B9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80847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 (1.38%)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ABB08C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85 (19.59%)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8E391D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158 (36.41%)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99F777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123 (28.34%)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9B53D5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62 (14.29%)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4420B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42.63%</w:t>
            </w:r>
          </w:p>
        </w:tc>
      </w:tr>
      <w:tr w14:paraId="020CA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B84E325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E1D15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B13</w:t>
            </w:r>
          </w:p>
        </w:tc>
        <w:tc>
          <w:tcPr>
            <w:tcW w:w="5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0209AB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10 (2.30%)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F09B1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79 (18.20%)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E24C3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134 (30.88%)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F5DC5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129 (29.72%)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D66142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82 (18.89%)</w:t>
            </w:r>
          </w:p>
        </w:tc>
        <w:tc>
          <w:tcPr>
            <w:tcW w:w="7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E7C72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48.61%</w:t>
            </w:r>
          </w:p>
        </w:tc>
      </w:tr>
      <w:tr w14:paraId="75906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7AE0F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0"/>
                <w:szCs w:val="22"/>
                <w:shd w:val="clear" w:fill="FFFFFF"/>
                <w:lang w:val="en-US" w:eastAsia="zh-CN"/>
              </w:rPr>
              <w:t>Myofunctional</w:t>
            </w: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E7D257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C7FE9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31B6C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94089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2870F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B35A8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56B35AF">
            <w:pPr>
              <w:spacing w:line="480" w:lineRule="auto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59.75%*</w:t>
            </w:r>
          </w:p>
        </w:tc>
      </w:tr>
      <w:tr w14:paraId="5C8C9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5A15ACF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87139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B6</w:t>
            </w:r>
          </w:p>
        </w:tc>
        <w:tc>
          <w:tcPr>
            <w:tcW w:w="5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2464C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0 (0%)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E8B49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15 (3.46%)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4ABF3F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64 (14.75%)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A07EE0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167 (38.48%)</w:t>
            </w:r>
          </w:p>
        </w:tc>
        <w:tc>
          <w:tcPr>
            <w:tcW w:w="5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7A4933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188 (43.32%)</w:t>
            </w:r>
          </w:p>
        </w:tc>
        <w:tc>
          <w:tcPr>
            <w:tcW w:w="7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44E4D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81.80%</w:t>
            </w:r>
          </w:p>
        </w:tc>
      </w:tr>
      <w:tr w14:paraId="3F887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CB467C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8E30A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B10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AA0A2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 (1.38%)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41023B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74 (17.05%)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6C4BA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141 (32.49%)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3A951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144 (33.18%)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73FE58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69 (15.90%)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07F70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49.08%</w:t>
            </w:r>
          </w:p>
        </w:tc>
      </w:tr>
      <w:tr w14:paraId="256E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6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C46FAA4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4A9D66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B14</w:t>
            </w:r>
          </w:p>
        </w:tc>
        <w:tc>
          <w:tcPr>
            <w:tcW w:w="52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8AAB59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18 (4.15%)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B811D1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87 (20.05%)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C9C10A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119 (27.42%)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0FCFCE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126 (29.03%)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6F097B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84 (19.35%)</w:t>
            </w:r>
          </w:p>
        </w:tc>
        <w:tc>
          <w:tcPr>
            <w:tcW w:w="76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11BD73">
            <w:pPr>
              <w:spacing w:line="480" w:lineRule="auto"/>
              <w:ind w:firstLine="200" w:firstLineChars="100"/>
              <w:jc w:val="both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48.38%</w:t>
            </w:r>
          </w:p>
        </w:tc>
      </w:tr>
    </w:tbl>
    <w:p w14:paraId="41CBCF80">
      <w:pPr>
        <w:spacing w:line="480" w:lineRule="auto"/>
        <w:jc w:val="left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4"/>
          <w:szCs w:val="24"/>
          <w:u w:val="none"/>
          <w:lang w:val="en-US" w:eastAsia="zh-CN" w:bidi="ar"/>
        </w:rPr>
        <w:t>Note: *Category Average: Mean of all Standard Compliance Rates (D+E) within a clinical domain. TMJ, Temporomandibular Joint; Note: Complete item content is provided in Appendix 2 (Part B).</w:t>
      </w:r>
    </w:p>
    <w:p w14:paraId="6A891D2D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55FD85A2">
      <w:pPr>
        <w:spacing w:line="480" w:lineRule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 Table 6.  Correct Answer Rate of Objective Knowledge Assessment</w:t>
      </w:r>
    </w:p>
    <w:tbl>
      <w:tblPr>
        <w:tblStyle w:val="4"/>
        <w:tblW w:w="4996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6243"/>
        <w:gridCol w:w="1449"/>
      </w:tblGrid>
      <w:tr w14:paraId="05AE2B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000000" w:themeColor="dark1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B5C0A1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i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8090C"/>
                <w:kern w:val="0"/>
                <w:sz w:val="21"/>
                <w:szCs w:val="21"/>
                <w:u w:val="none"/>
                <w:lang w:val="en-US" w:eastAsia="zh-CN" w:bidi="ar"/>
              </w:rPr>
              <w:t>Category</w:t>
            </w:r>
          </w:p>
        </w:tc>
        <w:tc>
          <w:tcPr>
            <w:tcW w:w="3426" w:type="pct"/>
            <w:tcBorders>
              <w:top w:val="single" w:color="000000" w:themeColor="dark1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ED4D25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Item</w:t>
            </w:r>
          </w:p>
        </w:tc>
        <w:tc>
          <w:tcPr>
            <w:tcW w:w="795" w:type="pct"/>
            <w:tcBorders>
              <w:top w:val="single" w:color="000000" w:themeColor="dark1" w:sz="12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00DB4F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center"/>
              <w:textAlignment w:val="bottom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Correct Rate</w:t>
            </w:r>
          </w:p>
        </w:tc>
      </w:tr>
      <w:tr w14:paraId="04DFE7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CFB3B9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  <w:t>Dental</w:t>
            </w: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A12B88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F544A5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  <w:t>82.63%*</w:t>
            </w:r>
          </w:p>
        </w:tc>
      </w:tr>
      <w:tr w14:paraId="52DEE7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B4CAD3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06FF087B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C1. Which of the following is the most important clinical disease indicator when evaluating enamel demineralization risk in adults?</w:t>
            </w: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70F957F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95.39%</w:t>
            </w:r>
          </w:p>
        </w:tc>
      </w:tr>
      <w:tr w14:paraId="05AF5A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A3F031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056BE04A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C2. Which of the following is the most appropriate clinical examination method for early diagnosis of enamel demineralization (white spot lesions) during orthodontic treatment?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1D7C3D9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64.29%</w:t>
            </w:r>
          </w:p>
        </w:tc>
      </w:tr>
      <w:tr w14:paraId="48D536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933565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6EE4E495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 xml:space="preserve">C3. During orthodontic treatment, which operation is most likely to cause enamel demineralization?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64FD061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88.25%</w:t>
            </w:r>
          </w:p>
        </w:tc>
      </w:tr>
      <w:tr w14:paraId="05D4665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B35DFF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6098BCA2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C4. Which of the following is NOT a core principle of the modified Bass brushing technique?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1C8DB67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86.64%</w:t>
            </w:r>
          </w:p>
        </w:tc>
      </w:tr>
      <w:tr w14:paraId="4AB5D8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76968A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21734E8C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 xml:space="preserve">C5. Regarding the use of fluoride preparations, which statement is correct? 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708A7DD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78.57%</w:t>
            </w:r>
          </w:p>
        </w:tc>
      </w:tr>
      <w:tr w14:paraId="70C04E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FF872D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  <w:t>Periodontal</w:t>
            </w: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9DC224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179508F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8090C"/>
                <w:sz w:val="20"/>
                <w:szCs w:val="20"/>
                <w:lang w:val="en-US" w:eastAsia="zh-CN"/>
              </w:rPr>
              <w:t>73.56%*</w:t>
            </w:r>
          </w:p>
        </w:tc>
      </w:tr>
      <w:tr w14:paraId="586129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15DB94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53FF66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C6. What is the minimum periodontal probing requirement before orthodontic treatment in patients with periodontal disease?</w:t>
            </w: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6C75E35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68.20%</w:t>
            </w:r>
          </w:p>
        </w:tc>
      </w:tr>
      <w:tr w14:paraId="5AB692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FCFDC1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D5D345">
            <w:pPr>
              <w:spacing w:line="480" w:lineRule="auto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C7. Which of the following is NOT recommended during orthodontic treatment in patients with periodontal disease?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925946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48.62%</w:t>
            </w:r>
          </w:p>
        </w:tc>
      </w:tr>
      <w:tr w14:paraId="4CED18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AC8EDF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A79D2C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C8. Which of the following statements about the frequency of supragingival scaling is correct?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07AB39D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81.34%</w:t>
            </w:r>
          </w:p>
        </w:tc>
      </w:tr>
      <w:tr w14:paraId="5A2E01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F0AA33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C03D6E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C9. Which of the following is NOT a periodontal maintenance tool for orthodontic patients?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15FB483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96.08%</w:t>
            </w:r>
          </w:p>
        </w:tc>
      </w:tr>
      <w:tr w14:paraId="1C284C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25E284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3CB635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 xml:space="preserve">C10. What is the first-line treatment for gingival hyperplasia in orthodontic patients? 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280991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97.24%</w:t>
            </w:r>
          </w:p>
        </w:tc>
      </w:tr>
      <w:tr w14:paraId="58DB48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4BF121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  <w:t>TMJ</w:t>
            </w: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BAE0A16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1499ACA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8090C"/>
                <w:sz w:val="20"/>
                <w:szCs w:val="20"/>
                <w:lang w:val="en-US" w:eastAsia="zh-CN"/>
              </w:rPr>
              <w:t>82.58%*</w:t>
            </w:r>
          </w:p>
        </w:tc>
      </w:tr>
      <w:tr w14:paraId="60275F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EBCC21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D86AF6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 xml:space="preserve">C11. Which of the following is NOT part of the routine examination for temporomandibular joint disorders? </w:t>
            </w: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21DE941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66.13%</w:t>
            </w:r>
          </w:p>
        </w:tc>
      </w:tr>
      <w:tr w14:paraId="484505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1F8145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B80DA9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C12. Anterior joint space widening, posterior joint space narrowing, with intact condylar cortex. Which CBCT image corresponds to this description?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F591E4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83.64%</w:t>
            </w:r>
          </w:p>
        </w:tc>
      </w:tr>
      <w:tr w14:paraId="0FE018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6DDCB4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E3DD1D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C13. Which statement most accurately describes the relationship between orthodontic treatment and temporomandibular disorders (TMD)?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504870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73.96%</w:t>
            </w:r>
          </w:p>
        </w:tc>
      </w:tr>
      <w:tr w14:paraId="5A145D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1D303A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36A0E6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C14. Which of the following is the primary treatment principle for temporomandibular disorders (TMD)?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5258038E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91.94%</w:t>
            </w:r>
          </w:p>
        </w:tc>
      </w:tr>
      <w:tr w14:paraId="420D866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4B9271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E40E66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C15.Which of the following is INCORRECT regarding daily health maintenance for patients with temporomandibular disorders (TMD)?</w:t>
            </w:r>
          </w:p>
          <w:p w14:paraId="2D459E80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7B84B5D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97.00%</w:t>
            </w:r>
          </w:p>
        </w:tc>
      </w:tr>
      <w:tr w14:paraId="427F44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97B0A2">
            <w:pPr>
              <w:keepNext w:val="0"/>
              <w:keepLines w:val="0"/>
              <w:widowControl/>
              <w:suppressLineNumbers w:val="0"/>
              <w:bidi w:val="0"/>
              <w:spacing w:line="48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color w:val="08090C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8090C"/>
                <w:kern w:val="0"/>
                <w:sz w:val="20"/>
                <w:szCs w:val="20"/>
                <w:lang w:val="en-US" w:eastAsia="zh-CN" w:bidi="ar"/>
              </w:rPr>
              <w:t>Myofunctional</w:t>
            </w: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A35C77">
            <w:pPr>
              <w:spacing w:line="480" w:lineRule="auto"/>
              <w:rPr>
                <w:rFonts w:hint="default" w:ascii="Times New Roman" w:hAnsi="Times New Roman" w:cs="Times New Roman"/>
                <w:b/>
                <w:bCs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0A5856F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8090C"/>
                <w:sz w:val="20"/>
                <w:szCs w:val="20"/>
                <w:lang w:val="en-US" w:eastAsia="zh-CN"/>
              </w:rPr>
              <w:t>68.26%*</w:t>
            </w:r>
          </w:p>
        </w:tc>
      </w:tr>
      <w:tr w14:paraId="695A14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675A3B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620266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C16. Which of the following myofunctional training exercises is INCORRECTLY matched?</w:t>
            </w:r>
          </w:p>
        </w:tc>
        <w:tc>
          <w:tcPr>
            <w:tcW w:w="79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045717D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62.90%</w:t>
            </w:r>
          </w:p>
        </w:tc>
      </w:tr>
      <w:tr w14:paraId="2A706D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97E43D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D1D903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C17. In cephalometric analysis, high OSA risk is indicated when posterior airway space (PAS) is less than: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65658F0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25.58%</w:t>
            </w:r>
          </w:p>
        </w:tc>
      </w:tr>
      <w:tr w14:paraId="07ECDE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4F21F2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5EEE28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 xml:space="preserve">C18.Which appliance-habit pairing is INCORRECT? 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2B4C2D4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87.56%</w:t>
            </w:r>
          </w:p>
        </w:tc>
      </w:tr>
      <w:tr w14:paraId="5396F8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78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43A82F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</w:rPr>
            </w:pPr>
          </w:p>
        </w:tc>
        <w:tc>
          <w:tcPr>
            <w:tcW w:w="3426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C8B172">
            <w:pPr>
              <w:pStyle w:val="3"/>
              <w:keepNext w:val="0"/>
              <w:keepLines w:val="0"/>
              <w:widowControl/>
              <w:suppressLineNumbers w:val="0"/>
              <w:spacing w:before="0" w:beforeAutospacing="1" w:after="0" w:afterAutospacing="1" w:line="480" w:lineRule="auto"/>
              <w:ind w:left="0" w:right="0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C19.A 10-year-old child presents with nocturnal mouth breathing and snoring for 6 months. Physical examination reveals Grade III adenoid hypertrophy. What is the most appropriate initial management?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6FCC4F4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96.31%</w:t>
            </w:r>
          </w:p>
        </w:tc>
      </w:tr>
    </w:tbl>
    <w:p w14:paraId="4FD1E9EB">
      <w:pPr>
        <w:keepNext w:val="0"/>
        <w:keepLines w:val="0"/>
        <w:widowControl/>
        <w:suppressLineNumbers w:val="0"/>
        <w:bidi w:val="0"/>
        <w:spacing w:line="480" w:lineRule="auto"/>
        <w:jc w:val="left"/>
        <w:textAlignment w:val="bottom"/>
        <w:rPr>
          <w:rFonts w:hint="default" w:ascii="Times New Roman" w:hAnsi="Times New Roman" w:eastAsia="宋体" w:cs="Times New Roman"/>
          <w:b w:val="0"/>
          <w:bCs w:val="0"/>
          <w:i w:val="0"/>
          <w:color w:val="08090C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olor w:val="08090C"/>
          <w:kern w:val="0"/>
          <w:sz w:val="24"/>
          <w:szCs w:val="24"/>
          <w:lang w:val="en-US" w:eastAsia="zh-CN" w:bidi="ar"/>
        </w:rPr>
        <w:t xml:space="preserve">Note: * The category average is the mean of the correct rates for all items within a specific knowledge domain. TMJ, Temporomandibular Joint. </w:t>
      </w:r>
    </w:p>
    <w:p w14:paraId="3E536605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256AD294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2EEA0298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6FA52FC7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617F3B3E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4B098B01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3E7C512B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0038D40E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3EF68853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2A57C4A7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28B58482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7281538F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05EACB2A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43C206DD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42E307ED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644E6E92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41E7347E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3F0558DA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2DDA1362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1CBF45D3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65462943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7E5A340F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78FC0481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0744CA87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4AC19AEA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720E6DE6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1D63D37B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1B3E124C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7D86B55C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1263DACD">
      <w:pPr>
        <w:keepNext w:val="0"/>
        <w:keepLines w:val="0"/>
        <w:widowControl/>
        <w:suppressLineNumbers w:val="0"/>
        <w:bidi w:val="0"/>
        <w:jc w:val="left"/>
        <w:textAlignment w:val="bottom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</w:p>
    <w:p w14:paraId="631D12CA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</w:p>
    <w:p w14:paraId="4ABD2E37">
      <w:pPr>
        <w:keepNext w:val="0"/>
        <w:keepLines w:val="0"/>
        <w:widowControl/>
        <w:suppressLineNumbers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 Table 7. Demographic Factors and MDT Competency Levels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5"/>
        <w:gridCol w:w="1075"/>
        <w:gridCol w:w="1182"/>
        <w:gridCol w:w="1188"/>
        <w:gridCol w:w="766"/>
        <w:gridCol w:w="866"/>
      </w:tblGrid>
      <w:tr w14:paraId="344EA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vMerge w:val="restar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67F3BA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Characteristic</w:t>
            </w:r>
          </w:p>
        </w:tc>
        <w:tc>
          <w:tcPr>
            <w:tcW w:w="1868" w:type="pct"/>
            <w:gridSpan w:val="3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2443FD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No. (%)</w:t>
            </w:r>
          </w:p>
        </w:tc>
        <w:tc>
          <w:tcPr>
            <w:tcW w:w="411" w:type="pct"/>
            <w:vMerge w:val="restar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52ADB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χ2</w:t>
            </w:r>
          </w:p>
        </w:tc>
        <w:tc>
          <w:tcPr>
            <w:tcW w:w="465" w:type="pct"/>
            <w:vMerge w:val="restar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B129E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p</w:t>
            </w:r>
          </w:p>
        </w:tc>
      </w:tr>
      <w:tr w14:paraId="2F00F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92159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E974CD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Low MDT</w:t>
            </w:r>
          </w:p>
          <w:p w14:paraId="3089F6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group</w:t>
            </w:r>
          </w:p>
          <w:p w14:paraId="0E5091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CD745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Middle</w:t>
            </w:r>
          </w:p>
          <w:p w14:paraId="76DDA4D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MDT group</w:t>
            </w:r>
          </w:p>
          <w:p w14:paraId="795C0AB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1E25C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High</w:t>
            </w:r>
          </w:p>
          <w:p w14:paraId="3BB24B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MDT group</w:t>
            </w:r>
          </w:p>
          <w:p w14:paraId="0724A2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7523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EB9C3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FEF2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8CB7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 xml:space="preserve">Age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group</w:t>
            </w:r>
          </w:p>
        </w:tc>
        <w:tc>
          <w:tcPr>
            <w:tcW w:w="58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259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D06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182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FF1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2297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1AB7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C724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18~25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C1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14(8.38)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28F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1(0.74)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DB74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1(0.76)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A8020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41.675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1E8F8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0.000**</w:t>
            </w:r>
          </w:p>
        </w:tc>
      </w:tr>
      <w:tr w14:paraId="3517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70C8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26~30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19D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26(15.57)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9DA1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20(14.71)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A86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12(9.16)</w:t>
            </w:r>
          </w:p>
        </w:tc>
        <w:tc>
          <w:tcPr>
            <w:tcW w:w="411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D8A9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5463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85C2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EAF3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31~40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02F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78(46.71)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EF7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71(52.21)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1FD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56(42.75)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448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0313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E7DF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D688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41~50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036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39(23.35)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722B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30(22.06)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865B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38(29.01)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96EA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ECE3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353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7BB7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51~60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DE34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10(5.99)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26B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14(10.29)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B6A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17(12.98)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BC8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8FDC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602F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0648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60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1E4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0(0.00)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B270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0(0.00)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1D0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7(5.34)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9A5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994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A80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3AD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Educational level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CADC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6637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1FD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5F7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72F7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E43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4EF8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Associate Degree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D7F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38(22.75)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00A3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10(7.35)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0F01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7(5.34)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E7B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49.064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29B6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0.000**</w:t>
            </w:r>
          </w:p>
        </w:tc>
      </w:tr>
      <w:tr w14:paraId="23E1B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167F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Bachelor’s Degree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D6D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85(50.90)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4A3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50(36.76)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5F9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58(44.27)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3A83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6B1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0298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8036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Master’s Degree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7C0E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39(23.35)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231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58(42.65)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F2B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44(33.59)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58D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74F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B818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8F1B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Doctoral Degree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51F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5(2.99)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2B1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18(13.24)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8551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22(16.79)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659D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5C0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A9A9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CB08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Job Title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B1C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B2DD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F10B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73F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2CF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0C29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F88CA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Junior (resident)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1740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52(31.14)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E09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35(25.74)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4FB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18(13.74)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856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34.676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8BE9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0.000**</w:t>
            </w:r>
          </w:p>
        </w:tc>
      </w:tr>
      <w:tr w14:paraId="5140D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5722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Intermediate (attending)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DE9B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81(48.50)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25DE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59(43.38)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AED2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54(41.22)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AC9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C24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9AC1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DB87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Subsenior (associate chief)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F5B9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30(17.96)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3838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32(23.53)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393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35(26.72)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5E26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DB0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57A8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A75F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Senior (chief)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E94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4(2.40)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39CA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10(7.35)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1A3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24(18.32)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336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E6DE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154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EE5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Years of practice in orthodontics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31B1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BE9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7B54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994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363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F5EA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B77B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＜1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DAD6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30(17.96)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904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19(13.97)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E8A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10(7.63)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86A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32.186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9A79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0.000**</w:t>
            </w:r>
          </w:p>
        </w:tc>
      </w:tr>
      <w:tr w14:paraId="1E871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FFDC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1-3 years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93B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51(30.54)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23BB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29(21.32)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EDED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23(17.56)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16B9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7257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67C7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F96C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4-6 years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376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26(15.57)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2479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19(13.97)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B985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14(10.69)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5FD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F3F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74FA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F6DF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7-10 years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339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30(17.96)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6A19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27(19.85)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CCE6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26(19.85)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A7F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C87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EC2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DB25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11-20 years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966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18(10.78)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5B7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28(20.59)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D28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31(23.66)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F5E7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9A2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D18C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BA66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＞20 years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D990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12(7.19)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081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14(10.29)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3BE5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27(20.61)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8D12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4BF6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9743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9B9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Workplace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DFFFB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D89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0A49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6E85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947B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BDA7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8E3B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Private Dental Clinic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E492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70(41.92)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C316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30(22.06)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0CDF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36(27.48)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62BE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24.853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D36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0.016*</w:t>
            </w:r>
          </w:p>
        </w:tc>
      </w:tr>
      <w:tr w14:paraId="6776C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739F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Chain Dental Institution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61D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32(19.16)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27D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25(18.38)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1A7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24(18.32)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EF3A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AF98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C0CD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247F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Community Hospital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503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3(1.80)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DA7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4(2.94)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0F3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2(1.53)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B353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3BF81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AC18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FFF2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Secondary A-level General Hospital (Dental Department)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7D78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11(6.59)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7AC5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9(6.62)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D8B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4(3.05)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1CC71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5245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3A90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C1F2A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Secondary A-level Dental  Hospital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93938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5(2.99)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74AF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4(2.94)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30E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8(6.11)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C87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51E5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71ED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FEAD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Tertiary A-level General Hospital (Dental Department)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7E3F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29(17.37)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EDF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36(26.47)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D6D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31(23.66)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A5FE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2893C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C99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8169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Tertiary A-level  Dental  Hospital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0E0F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17(10.18)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CDB2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28(20.59)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CCE7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26(19.85)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ED47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F72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C446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E0FC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New orthodontic cases per year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3F2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F033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A890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8024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5055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FE31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0AA5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&lt;20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C75F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69(41.32)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0B04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37(27.21)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50D8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35(26.72)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7E9B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38.049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072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0.000**</w:t>
            </w:r>
          </w:p>
        </w:tc>
      </w:tr>
      <w:tr w14:paraId="79D9A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67BB3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21-50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5D01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49(29.34)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0F6A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28(20.59)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766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22(16.79)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C080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04B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57C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E172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51-100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99F2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34(20.36)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C5A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26(19.12)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1A7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30(22.90)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FF3A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6E9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63A3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A2A3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100-200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CC5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10(5.99)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96C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27(19.85)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FBB4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27(20.61)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AA9C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6555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89A2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C0D4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&gt;200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ACB3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5(2.99)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5304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18(13.24)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E724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17(12.98)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C0D0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F8DB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E64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156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  <w:t>Orthodontic CE courses attended (past 2 years)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6F6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E22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3B7C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5EBA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3B51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 w:val="0"/>
                <w:i w:val="0"/>
                <w:color w:val="08090C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BA56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1ED1E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0 times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910E1">
            <w:pPr>
              <w:spacing w:line="480" w:lineRule="auto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8(4.79)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BAA92">
            <w:pPr>
              <w:spacing w:line="480" w:lineRule="auto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10(7.35)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95B05">
            <w:pPr>
              <w:spacing w:line="480" w:lineRule="auto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4(3.05)</w:t>
            </w:r>
          </w:p>
        </w:tc>
        <w:tc>
          <w:tcPr>
            <w:tcW w:w="41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38488">
            <w:pPr>
              <w:spacing w:line="480" w:lineRule="auto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14.987</w:t>
            </w:r>
          </w:p>
        </w:tc>
        <w:tc>
          <w:tcPr>
            <w:tcW w:w="465" w:type="pct"/>
            <w:vMerge w:val="restart"/>
            <w:tcBorders>
              <w:top w:val="nil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78DDA7B3">
            <w:pPr>
              <w:spacing w:line="480" w:lineRule="auto"/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 w:themeColor="dark1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0.020*</w:t>
            </w:r>
          </w:p>
        </w:tc>
      </w:tr>
      <w:tr w14:paraId="28DA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2F2C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1-3 times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DF17F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94(56.29)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6793E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57(41.91)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D234A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50(38.17)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D54E4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</w:p>
        </w:tc>
        <w:tc>
          <w:tcPr>
            <w:tcW w:w="465" w:type="pct"/>
            <w:vMerge w:val="continue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C0FA8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</w:p>
        </w:tc>
      </w:tr>
      <w:tr w14:paraId="5C85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48B6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4-6 times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27019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30(17.96)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5DAB0C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35(25.74)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D2EF3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36(27.48)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105FC9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4DF8B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</w:p>
        </w:tc>
      </w:tr>
      <w:tr w14:paraId="668D0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5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C616FFE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&gt;6 times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F78C214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35(20.96)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95F2ABF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34(25.00)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6A370C1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  <w:t>41(31.30)</w:t>
            </w:r>
          </w:p>
        </w:tc>
        <w:tc>
          <w:tcPr>
            <w:tcW w:w="411" w:type="pct"/>
            <w:vMerge w:val="continue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9E48036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</w:p>
        </w:tc>
        <w:tc>
          <w:tcPr>
            <w:tcW w:w="465" w:type="pct"/>
            <w:vMerge w:val="continue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8D96AAC">
            <w:pPr>
              <w:spacing w:line="480" w:lineRule="auto"/>
              <w:rPr>
                <w:rFonts w:hint="default" w:ascii="Times New Roman" w:hAnsi="Times New Roman" w:cs="Times New Roman"/>
                <w:b w:val="0"/>
                <w:i w:val="0"/>
                <w:color w:val="08090C"/>
                <w:sz w:val="20"/>
                <w:szCs w:val="20"/>
                <w:lang w:val="en-US" w:eastAsia="zh-CN"/>
              </w:rPr>
            </w:pPr>
          </w:p>
        </w:tc>
      </w:tr>
    </w:tbl>
    <w:p w14:paraId="0806B956">
      <w:pPr>
        <w:keepNext w:val="0"/>
        <w:keepLines w:val="0"/>
        <w:widowControl/>
        <w:suppressLineNumbers w:val="0"/>
        <w:bidi w:val="0"/>
        <w:spacing w:line="480" w:lineRule="auto"/>
        <w:jc w:val="left"/>
        <w:textAlignment w:val="bottom"/>
        <w:rPr>
          <w:rFonts w:hint="default" w:ascii="Times New Roman" w:hAnsi="Times New Roman" w:eastAsia="宋体" w:cs="Times New Roman"/>
          <w:b w:val="0"/>
          <w:bCs w:val="0"/>
          <w:i w:val="0"/>
          <w:color w:val="08090C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olor w:val="08090C"/>
          <w:kern w:val="0"/>
          <w:sz w:val="24"/>
          <w:szCs w:val="24"/>
          <w:lang w:val="en-US" w:eastAsia="zh-CN" w:bidi="ar"/>
        </w:rPr>
        <w:t>Note: **p &lt; 0.01; *p &lt; 0.05. MDT, Multidisciplinary Team; CE, Continuing Education. Chi-square test used for group comparisons. Secondary/Tertiary A-level hospitals represent the Chinese hospital grading system.</w:t>
      </w:r>
    </w:p>
    <w:p w14:paraId="00C8BFBF">
      <w:pP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page"/>
      </w:r>
    </w:p>
    <w:p w14:paraId="6342A37B">
      <w:pPr>
        <w:spacing w:line="480" w:lineRule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4 Table 8. Responses to Objective Knowledge Test for Orthodontists (OKTO)</w:t>
      </w:r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18"/>
        <w:gridCol w:w="4319"/>
        <w:gridCol w:w="1839"/>
      </w:tblGrid>
      <w:tr w14:paraId="4CDE4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644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7C8B00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Items</w:t>
            </w:r>
          </w:p>
        </w:tc>
        <w:tc>
          <w:tcPr>
            <w:tcW w:w="2353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DE6EC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Options</w:t>
            </w:r>
          </w:p>
        </w:tc>
        <w:tc>
          <w:tcPr>
            <w:tcW w:w="1002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9A0E1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 w:themeColor="dark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Response [n(%)]</w:t>
            </w:r>
          </w:p>
        </w:tc>
      </w:tr>
      <w:tr w14:paraId="546B2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E1280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C1. Which of the following is the most important clinical disease indicator when evaluating enamel demineralization risk in adults?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5A269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A.Salivary secretion and buffering capacity Patient's age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5C778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 (2.07%)</w:t>
            </w:r>
          </w:p>
        </w:tc>
      </w:tr>
      <w:tr w14:paraId="727A8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015C8F7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49386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Patient's age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319B3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  <w:lang w:val="en-US" w:eastAsia="zh-CN"/>
              </w:rPr>
              <w:t>3 (</w:t>
            </w:r>
            <w:r>
              <w:rPr>
                <w:rFonts w:hint="default" w:ascii="Times New Roman" w:hAnsi="Times New Roman" w:cs="Times New Roman"/>
              </w:rPr>
              <w:t>0.69%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  <w:lang w:val="en-US" w:eastAsia="zh-CN"/>
              </w:rPr>
              <w:t>)</w:t>
            </w:r>
          </w:p>
        </w:tc>
      </w:tr>
      <w:tr w14:paraId="0151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425A32C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2C1C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New cavities or dentinal lesions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5531DA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  <w:lang w:val="en-US" w:eastAsia="zh-CN"/>
              </w:rPr>
              <w:t>414</w:t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 xml:space="preserve"> (95.39%)</w:t>
            </w:r>
          </w:p>
        </w:tc>
      </w:tr>
      <w:tr w14:paraId="48ABB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2CF9584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5829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Dietary habits and sugar intake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E1EB3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 (1.84%)</w:t>
            </w:r>
          </w:p>
        </w:tc>
      </w:tr>
      <w:tr w14:paraId="51AE4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C90496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C2. Which of the following is the most appropriate clinical examination method for early diagnosis of enamel demineralization (white spot lesions) during orthodontic treatment?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4B89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Using laser fluorescence detectors for diagnosis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F62C0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92 (21.2%)</w:t>
            </w:r>
          </w:p>
        </w:tc>
      </w:tr>
      <w:tr w14:paraId="4C93B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11D807C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5AB95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Probing tooth surface texture and morphology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52CBE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38 (8.76%)</w:t>
            </w:r>
          </w:p>
        </w:tc>
      </w:tr>
      <w:tr w14:paraId="5855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6E1CE6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3FE70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Visual examination under bright light after drying the tooth surface for 5 seconds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18E0C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279 (64.29%)</w:t>
            </w:r>
          </w:p>
        </w:tc>
      </w:tr>
      <w:tr w14:paraId="1362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908A77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06A39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Radiographic examination for early demineralization lesions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3ECF7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25 (5.76%)</w:t>
            </w:r>
          </w:p>
        </w:tc>
      </w:tr>
      <w:tr w14:paraId="1292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AB3C8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C3. During orthodontic treatment, which operation is most likely to cause enamel demineralization?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6C9BA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Acid etching for less than 15 seconds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0A7E5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 (2.53%)</w:t>
            </w:r>
          </w:p>
        </w:tc>
      </w:tr>
      <w:tr w14:paraId="00968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DA3DA75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499D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Reducing polishing procedures after interproximal reduction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9E9F0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383 (88.25%)</w:t>
            </w:r>
          </w:p>
        </w:tc>
      </w:tr>
      <w:tr w14:paraId="6C71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25F8C3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F998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Removal of excess bonding agent and resin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0963A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35 (8.06%)</w:t>
            </w:r>
          </w:p>
        </w:tc>
      </w:tr>
      <w:tr w14:paraId="5388A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D26E58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59F4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Fluoride application after interproximal reduction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15422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 (1.15%)</w:t>
            </w:r>
          </w:p>
        </w:tc>
      </w:tr>
      <w:tr w14:paraId="6263B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EC562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C4. Which of the following is NOT a core principle of the modified Bass brushing technique?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2D3F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Avoiding hard-bristled toothbrushes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06A19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32 (7.37%)</w:t>
            </w:r>
          </w:p>
        </w:tc>
      </w:tr>
      <w:tr w14:paraId="121D1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42C3A95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EE11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Short horizontal vibratory movements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6EE19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21 (4.84%)</w:t>
            </w:r>
          </w:p>
        </w:tc>
      </w:tr>
      <w:tr w14:paraId="22EC9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8B34FDF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E29A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Sweeping motions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F181B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 (1.15%)</w:t>
            </w:r>
          </w:p>
        </w:tc>
      </w:tr>
      <w:tr w14:paraId="46FCF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87013E3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8B08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Horizontal scrubbing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7D3BD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376 (86.64%)</w:t>
            </w:r>
          </w:p>
        </w:tc>
      </w:tr>
      <w:tr w14:paraId="0004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E22545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C5. Regarding the use of fluoride preparations, which statement is correct?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1871E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Patients should rinse immediately after fluoride application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BBBB7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 (1.84%)</w:t>
            </w:r>
          </w:p>
        </w:tc>
      </w:tr>
      <w:tr w14:paraId="38A3B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3559A1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735A8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Isolation is not required during fluoride application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55876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24 (5.53%)</w:t>
            </w:r>
          </w:p>
        </w:tc>
      </w:tr>
      <w:tr w14:paraId="1B0E5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B455336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78734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Patients with enamel hypoplasia can receive enhanced fluoride application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66C11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341 (78.57%)</w:t>
            </w:r>
          </w:p>
        </w:tc>
      </w:tr>
      <w:tr w14:paraId="3B26F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D99E346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0B809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Liquid foods can be consumed within 30 minutes after fluoride application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CEDBB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61 (14.06%)</w:t>
            </w:r>
          </w:p>
        </w:tc>
      </w:tr>
      <w:tr w14:paraId="10DE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DA1A45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C6. What is the minimum periodontal probing requirement before orthodontic treatment in patients with periodontal disease?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CBA97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A.No pockets ≥3mm with BOP (Bleeding on Probing)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AE2BD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111 (25.58%)</w:t>
            </w:r>
          </w:p>
        </w:tc>
      </w:tr>
      <w:tr w14:paraId="560EE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CE6207F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6E069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No pockets ≥5mm with BOP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F42E1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296 (68.2%)</w:t>
            </w:r>
          </w:p>
        </w:tc>
      </w:tr>
      <w:tr w14:paraId="42C99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C1279D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5C4A6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No pockets ≥6mm with BOP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C4B7C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18 (4.15%)</w:t>
            </w:r>
          </w:p>
        </w:tc>
      </w:tr>
      <w:tr w14:paraId="203BF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74AFBD4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5B58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No pockets ≥7mm with BOP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22841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9 (2.07%)</w:t>
            </w:r>
          </w:p>
        </w:tc>
      </w:tr>
      <w:tr w14:paraId="1047B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D5E7D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C7. Which of the following is NOT recommended during orthodontic treatment in patients with periodontal disease?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18A8C4">
            <w:pPr>
              <w:pStyle w:val="2"/>
              <w:keepNext w:val="0"/>
              <w:keepLines w:val="0"/>
              <w:widowControl/>
              <w:suppressLineNumbers w:val="0"/>
              <w:shd w:val="clear" w:fill="FFFFFF"/>
              <w:spacing w:before="274" w:beforeAutospacing="0" w:after="206" w:afterAutospacing="0" w:line="480" w:lineRule="auto"/>
              <w:ind w:left="0" w:right="0" w:firstLine="0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Patients with severe periodontitis should prioritize using clear aligners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61732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211 (48.62%)</w:t>
            </w:r>
          </w:p>
        </w:tc>
      </w:tr>
      <w:tr w14:paraId="33383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542E43C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8510D0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Wire ligation is preferred over elastic ties to reduce plaque accumulation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4CF51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58 (13.36%)</w:t>
            </w:r>
          </w:p>
        </w:tc>
      </w:tr>
      <w:tr w14:paraId="524F0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53D8AFB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D29C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Use light and continuous orthodontic forces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A86E7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 (2.53%)</w:t>
            </w:r>
          </w:p>
        </w:tc>
      </w:tr>
      <w:tr w14:paraId="27E3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2C15065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DBBB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Delay bonding brackets on teeth that will not be adjusted immediately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6D7B4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154 (35.48%)</w:t>
            </w:r>
          </w:p>
        </w:tc>
      </w:tr>
      <w:tr w14:paraId="71A52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9AD021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C8. Which of the following statements about the frequency of supragingival scaling is correct?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3BCF9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Periodontally healthy patients: every 2 years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CC850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54 (12.44%)</w:t>
            </w:r>
          </w:p>
        </w:tc>
      </w:tr>
      <w:tr w14:paraId="6A215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4756E5B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B179A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Patients with moderate to severe periodontitis: every 3 months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0E74D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353 (81.34%)</w:t>
            </w:r>
          </w:p>
        </w:tc>
      </w:tr>
      <w:tr w14:paraId="50115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C3E18B6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38E9F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Children undergoing orthodontic treatment: every month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0600D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17 (3.92%)</w:t>
            </w:r>
          </w:p>
        </w:tc>
      </w:tr>
      <w:tr w14:paraId="512E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535228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C1998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Patients with peri-implant mucositis: every month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5B38C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10 (2.3%)</w:t>
            </w:r>
          </w:p>
        </w:tc>
      </w:tr>
      <w:tr w14:paraId="3344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89F3FB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C9. Which of the following is NOT a periodontal maintenance tool for orthodontic patients?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AB6E0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Water flosser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27232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 (0.23%)</w:t>
            </w:r>
          </w:p>
        </w:tc>
      </w:tr>
      <w:tr w14:paraId="251C1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E4C52F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9D1DE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Dental floss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ACC2A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13 (3%)</w:t>
            </w:r>
          </w:p>
        </w:tc>
      </w:tr>
      <w:tr w14:paraId="7B64B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E27FDB2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8B116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Interdental brush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808F4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 (0.69%)</w:t>
            </w:r>
          </w:p>
        </w:tc>
      </w:tr>
      <w:tr w14:paraId="453EA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228AFC6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A275D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Orthodontic wax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AE186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417 (96.08%)</w:t>
            </w:r>
          </w:p>
        </w:tc>
      </w:tr>
      <w:tr w14:paraId="30A4A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7F633A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C10. What is the first-line treatment for gingival hyperplasia in orthodontic patients?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3660F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Immediately stop orthodontic treatment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8BE02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 (1.61%)</w:t>
            </w:r>
          </w:p>
        </w:tc>
      </w:tr>
      <w:tr w14:paraId="2160A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23557C0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27A2A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Enhanced oral hygiene instruction + supragingival scaling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FD6CE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422 (97.24%)</w:t>
            </w:r>
          </w:p>
        </w:tc>
      </w:tr>
      <w:tr w14:paraId="4B09E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4D52E83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75CD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Topical antibiotic ointment application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9D2D2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 (0.23%)</w:t>
            </w:r>
          </w:p>
        </w:tc>
      </w:tr>
      <w:tr w14:paraId="07DD9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6929F2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E372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Gingivectomy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20B8D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 (0.92%)</w:t>
            </w:r>
          </w:p>
        </w:tc>
      </w:tr>
      <w:tr w14:paraId="53C3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289B81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C11. Which of the following is NOT part of the routine examination for temporomandibular joint disorders(TMD)?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4D2C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Mouth opening range and pattern examination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D390D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 (0.69%)</w:t>
            </w:r>
          </w:p>
        </w:tc>
      </w:tr>
      <w:tr w14:paraId="0EDA5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AAD972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D40F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Psychological status assessment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51095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132 (30.41%)</w:t>
            </w:r>
          </w:p>
        </w:tc>
      </w:tr>
      <w:tr w14:paraId="7D97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DA5FA19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2F32A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Masticatory muscle palpation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ED904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12 (2.76%)</w:t>
            </w:r>
          </w:p>
        </w:tc>
      </w:tr>
      <w:tr w14:paraId="793E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76250AD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410DB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Lateral cephalometric radiograph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782EB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287 (66.13%)</w:t>
            </w:r>
          </w:p>
        </w:tc>
      </w:tr>
      <w:tr w14:paraId="44585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EA5812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C12. Anterior joint space widening, posterior joint space narrowing, with intact condylar cortex. Which CBCT image corresponds to this description?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23BA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64D4A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44 (10.14%)</w:t>
            </w:r>
          </w:p>
        </w:tc>
      </w:tr>
      <w:tr w14:paraId="5992B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8B7610D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347D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8018B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363 (83.64%)</w:t>
            </w:r>
          </w:p>
        </w:tc>
      </w:tr>
      <w:tr w14:paraId="5FD47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8A5C47F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1AB5D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FB77D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16 (3.69%)</w:t>
            </w:r>
          </w:p>
        </w:tc>
      </w:tr>
      <w:tr w14:paraId="3D575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4A8B01B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C8CEC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4C464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 (2.53%)</w:t>
            </w:r>
          </w:p>
        </w:tc>
      </w:tr>
      <w:tr w14:paraId="54A61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36B80B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C13. Which statement most accurately describes the relationship between orthodontic treatment and TMD?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722AF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Orthodontic treatment can prevent most TMD occurrences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6BCD6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66 (15.21%)</w:t>
            </w:r>
          </w:p>
        </w:tc>
      </w:tr>
      <w:tr w14:paraId="4D5C5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B34F8E1">
            <w:pPr>
              <w:spacing w:line="480" w:lineRule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86D77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There is no clear causal relationship between orthodontic treatment and TMD occurrence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81C725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321 (73.96%)</w:t>
            </w:r>
          </w:p>
        </w:tc>
      </w:tr>
      <w:tr w14:paraId="0A56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5EDD39F2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4241F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Extraction orthodontics increases TMD risk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1FAFB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43 (9.91%)</w:t>
            </w:r>
          </w:p>
        </w:tc>
      </w:tr>
      <w:tr w14:paraId="39E5B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CC2B18C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A6B0A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Class II malocclusion inevitably leads to TMD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9ED88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 (0.92%)</w:t>
            </w:r>
          </w:p>
        </w:tc>
      </w:tr>
      <w:tr w14:paraId="5B6AA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4D2BB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C14. Which of the following is the primary treatment principle for TMD?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D92EA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Surgery as first-line treatment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735ED8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 (0.23%)</w:t>
            </w:r>
          </w:p>
        </w:tc>
      </w:tr>
      <w:tr w14:paraId="7AF12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681D1A9F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F4E2B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Conservative treatment as first-line therapy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C1746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399 (91.94%)</w:t>
            </w:r>
          </w:p>
        </w:tc>
      </w:tr>
      <w:tr w14:paraId="3212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3BBA57D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0A7D1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Occlusal adjustment as first-line treatment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E60C4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14 (3.23%)</w:t>
            </w:r>
          </w:p>
        </w:tc>
      </w:tr>
      <w:tr w14:paraId="0611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96840E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8E7D2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Orthodontic treatment as first-line therapy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E114B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20 (4.61%)</w:t>
            </w:r>
          </w:p>
        </w:tc>
      </w:tr>
      <w:tr w14:paraId="42657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33C746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C15.Which of the following is INCORRECT regarding daily health maintenance for patients with TMD 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38C92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Avoid wide mouth opening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7ADC0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 (0.23%)</w:t>
            </w:r>
          </w:p>
        </w:tc>
      </w:tr>
      <w:tr w14:paraId="5B39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E3EE3FD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AE031B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Heat application to the joint area can relieve muscle pain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BA9E4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 (1.38%)</w:t>
            </w:r>
          </w:p>
        </w:tc>
      </w:tr>
      <w:tr w14:paraId="2303C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B611C89">
            <w:pPr>
              <w:spacing w:line="480" w:lineRule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57757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Keep teeth tightly clenched to stabilize the joint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F1C61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421 (97%)</w:t>
            </w:r>
          </w:p>
        </w:tc>
      </w:tr>
      <w:tr w14:paraId="4308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878A91D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46276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Improve sleep quality and maintain a pleasant mood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AEF1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6 (1.38%)</w:t>
            </w:r>
          </w:p>
        </w:tc>
      </w:tr>
      <w:tr w14:paraId="466E0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AC9605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C16. Which of the following myofunctional training exercises is INCORRECTLY matched?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C8434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Tongue tip elevation exercises — Lingual muscle function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4E636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7 (1.61%)</w:t>
            </w:r>
          </w:p>
        </w:tc>
      </w:tr>
      <w:tr w14:paraId="20F10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F4DAE07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30C2D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Cheek puffing exercises — Buccal muscle function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40FDE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10 (2.3%)</w:t>
            </w:r>
          </w:p>
        </w:tc>
      </w:tr>
      <w:tr w14:paraId="01FBE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4EDC14AC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8684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Tongue-lip coordination exercises — Swallowing function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EB352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144 (33.18%)</w:t>
            </w:r>
          </w:p>
        </w:tc>
      </w:tr>
      <w:tr w14:paraId="7BD43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2D97AC67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F367B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Lower lip biting exercises — Orbicularis oris muscle function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ED385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273 (62.9%)</w:t>
            </w:r>
          </w:p>
        </w:tc>
      </w:tr>
      <w:tr w14:paraId="6EEAE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0A0B0C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C17. In cephalometric analysis, high OSA risk is indicated when posterior airway space (PAS) is less than: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38182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A.11mm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25611D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111 (25.58%)</w:t>
            </w:r>
          </w:p>
        </w:tc>
      </w:tr>
      <w:tr w14:paraId="308E7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D469BE8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BC6BE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B.6-10mm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79FF8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290 (66.82%)</w:t>
            </w:r>
          </w:p>
        </w:tc>
      </w:tr>
      <w:tr w14:paraId="746C6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003A1D6F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A3FD9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5mm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6F2953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25 (5.76%)</w:t>
            </w:r>
          </w:p>
        </w:tc>
      </w:tr>
      <w:tr w14:paraId="666C9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524F4A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F0761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3mm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82A70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8 (1.84%)</w:t>
            </w:r>
          </w:p>
        </w:tc>
      </w:tr>
      <w:tr w14:paraId="49F1E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themeColor="dark1" w:sz="6" w:space="0"/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4E173A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C18.Which appliance-habit pairing is INCORRECT?</w:t>
            </w: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7433F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A. Tongue thrusting habit — Tongue crib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2A9FE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 (0.92%)</w:t>
            </w:r>
          </w:p>
        </w:tc>
      </w:tr>
      <w:tr w14:paraId="5E6A3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1AB8D1E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D458C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Mouth breathing — Vestibular screen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3F892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19 (4.38%)</w:t>
            </w:r>
          </w:p>
        </w:tc>
      </w:tr>
      <w:tr w14:paraId="28C33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0020A15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EDD68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Digit sucking habit — Palatal crib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58DC41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31 (7.14%)</w:t>
            </w:r>
          </w:p>
        </w:tc>
      </w:tr>
      <w:tr w14:paraId="4DE9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A31CCD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19627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Unilateral chewing — Lip bumper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24BAE7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380 (87.56%)</w:t>
            </w:r>
          </w:p>
        </w:tc>
      </w:tr>
      <w:tr w14:paraId="2A145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restart"/>
            <w:tcBorders>
              <w:top w:val="single" w:color="000000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83E2CD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00000" w:themeColor="dark1"/>
                <w:spacing w:val="0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 w:themeColor="dark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C19.A 10-year-old child presents with nocturnal mouth breathing and snoring for 6 months. Physical examination reveals Grade III adenoid hypertrophy. What is the most appropriate initial management?</w:t>
            </w:r>
          </w:p>
        </w:tc>
        <w:tc>
          <w:tcPr>
            <w:tcW w:w="2353" w:type="pct"/>
            <w:tcBorders>
              <w:top w:val="single" w:color="000000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DCD2E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00000" w:themeColor="dark1"/>
                <w:spacing w:val="0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00000" w:themeColor="dark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A. Rapid maxillary expansion</w:t>
            </w:r>
          </w:p>
        </w:tc>
        <w:tc>
          <w:tcPr>
            <w:tcW w:w="1002" w:type="pct"/>
            <w:tcBorders>
              <w:top w:val="single" w:color="000000" w:sz="6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57B36F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00000" w:themeColor="dark1"/>
                <w:spacing w:val="0"/>
                <w:sz w:val="20"/>
                <w:szCs w:val="20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b/>
                <w:i w:val="0"/>
                <w:iCs w:val="0"/>
                <w:caps w:val="0"/>
                <w:color w:val="000000" w:themeColor="dark1"/>
                <w:spacing w:val="0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10 (2.3%)</w:t>
            </w:r>
          </w:p>
        </w:tc>
      </w:tr>
      <w:tr w14:paraId="5E93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4E5E0D4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A5453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B. Ear, Nose, and Throat（ENT）referral for evaluation</w:t>
            </w:r>
          </w:p>
        </w:tc>
        <w:tc>
          <w:tcPr>
            <w:tcW w:w="1002" w:type="pct"/>
            <w:tcBorders>
              <w:top w:val="single" w:color="000000" w:themeColor="dark1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2E45A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418 (96.31%)</w:t>
            </w:r>
          </w:p>
        </w:tc>
      </w:tr>
      <w:tr w14:paraId="07BD4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7203A242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FC0DD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C. Vestibular screen appliance therapy</w:t>
            </w:r>
          </w:p>
        </w:tc>
        <w:tc>
          <w:tcPr>
            <w:tcW w:w="100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55E7C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2 (0.46%)</w:t>
            </w:r>
          </w:p>
        </w:tc>
      </w:tr>
      <w:tr w14:paraId="2339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644" w:type="pct"/>
            <w:vMerge w:val="continue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14:paraId="142D7A7A">
            <w:pPr>
              <w:spacing w:line="480" w:lineRule="auto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</w:p>
        </w:tc>
        <w:tc>
          <w:tcPr>
            <w:tcW w:w="2353" w:type="pct"/>
            <w:tcBorders>
              <w:top w:val="single" w:color="000000" w:sz="6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30D16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D. Orofacial myofunctional therapy</w:t>
            </w:r>
          </w:p>
        </w:tc>
        <w:tc>
          <w:tcPr>
            <w:tcW w:w="1002" w:type="pct"/>
            <w:tcBorders>
              <w:top w:val="single" w:color="000000" w:sz="6" w:space="0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18FF4A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sz w:val="20"/>
                <w:szCs w:val="20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i w:val="0"/>
                <w:iCs w:val="0"/>
                <w:caps w:val="0"/>
                <w:color w:val="08090C"/>
                <w:spacing w:val="0"/>
                <w:kern w:val="0"/>
                <w:sz w:val="20"/>
                <w:szCs w:val="20"/>
                <w:lang w:val="en-US" w:eastAsia="zh-CN" w:bidi="ar"/>
              </w:rPr>
              <w:t>4 (0.92%)</w:t>
            </w:r>
          </w:p>
        </w:tc>
      </w:tr>
    </w:tbl>
    <w:p w14:paraId="48C456FF">
      <w:pPr>
        <w:numPr>
          <w:ilvl w:val="0"/>
          <w:numId w:val="0"/>
        </w:numPr>
        <w:spacing w:line="480" w:lineRule="auto"/>
        <w:rPr>
          <w:rFonts w:hint="default" w:ascii="Times New Roman" w:hAnsi="Times New Roman" w:eastAsia="宋体" w:cs="Times New Roman"/>
          <w:b/>
          <w:bCs/>
          <w:i w:val="0"/>
          <w:color w:val="08090C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Note</w:t>
      </w:r>
      <w:r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  <w:t xml:space="preserve">: 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  <w:t>In</w:t>
      </w:r>
      <w:r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  <w:t>this presentation, correct answers are indicated in bold type.</w:t>
      </w:r>
    </w:p>
    <w:p w14:paraId="17BAAF67">
      <w:pPr>
        <w:keepNext w:val="0"/>
        <w:keepLines w:val="0"/>
        <w:widowControl/>
        <w:suppressLineNumbers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 w:val="0"/>
          <w:i w:val="0"/>
          <w:iCs w:val="0"/>
          <w:color w:val="08090C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B667F"/>
    <w:rsid w:val="029743F4"/>
    <w:rsid w:val="0EFD5C68"/>
    <w:rsid w:val="10F70CE9"/>
    <w:rsid w:val="11DD58DD"/>
    <w:rsid w:val="1ECB3546"/>
    <w:rsid w:val="352B08A8"/>
    <w:rsid w:val="47CD33E9"/>
    <w:rsid w:val="52F07F1E"/>
    <w:rsid w:val="53764326"/>
    <w:rsid w:val="707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TML Code"/>
    <w:basedOn w:val="6"/>
    <w:qFormat/>
    <w:uiPriority w:val="0"/>
    <w:rPr>
      <w:rFonts w:ascii="Courier New" w:hAnsi="Courier New"/>
      <w:sz w:val="20"/>
    </w:rPr>
  </w:style>
  <w:style w:type="character" w:customStyle="1" w:styleId="10">
    <w:name w:val="font7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11">
    <w:name w:val="font21"/>
    <w:basedOn w:val="6"/>
    <w:qFormat/>
    <w:uiPriority w:val="0"/>
    <w:rPr>
      <w:rFonts w:ascii="Segoe UI" w:hAnsi="Segoe UI" w:eastAsia="Segoe UI" w:cs="Segoe UI"/>
      <w:color w:val="000000"/>
      <w:sz w:val="21"/>
      <w:szCs w:val="21"/>
      <w:u w:val="none"/>
    </w:r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41"/>
    <w:basedOn w:val="6"/>
    <w:qFormat/>
    <w:uiPriority w:val="0"/>
    <w:rPr>
      <w:rFonts w:hint="default" w:ascii="Segoe UI" w:hAnsi="Segoe UI" w:eastAsia="Segoe UI" w:cs="Segoe UI"/>
      <w:color w:val="000000"/>
      <w:sz w:val="15"/>
      <w:szCs w:val="15"/>
      <w:u w:val="none"/>
    </w:rPr>
  </w:style>
  <w:style w:type="character" w:customStyle="1" w:styleId="14">
    <w:name w:val="font51"/>
    <w:basedOn w:val="6"/>
    <w:qFormat/>
    <w:uiPriority w:val="0"/>
    <w:rPr>
      <w:rFonts w:ascii="iconfont" w:hAnsi="iconfont" w:eastAsia="iconfont" w:cs="iconfont"/>
      <w:color w:val="CCCCCC"/>
      <w:sz w:val="21"/>
      <w:szCs w:val="21"/>
      <w:u w:val="none"/>
    </w:rPr>
  </w:style>
  <w:style w:type="character" w:customStyle="1" w:styleId="15">
    <w:name w:val="font31"/>
    <w:basedOn w:val="6"/>
    <w:qFormat/>
    <w:uiPriority w:val="0"/>
    <w:rPr>
      <w:rFonts w:hint="default" w:ascii="Segoe UI" w:hAnsi="Segoe UI" w:eastAsia="Segoe UI" w:cs="Segoe UI"/>
      <w:i/>
      <w:iCs/>
      <w:color w:val="000000"/>
      <w:sz w:val="21"/>
      <w:szCs w:val="21"/>
      <w:u w:val="none"/>
    </w:rPr>
  </w:style>
  <w:style w:type="character" w:customStyle="1" w:styleId="16">
    <w:name w:val="font81"/>
    <w:basedOn w:val="6"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2610</Words>
  <Characters>15000</Characters>
  <Lines>0</Lines>
  <Paragraphs>0</Paragraphs>
  <TotalTime>8</TotalTime>
  <ScaleCrop>false</ScaleCrop>
  <LinksUpToDate>false</LinksUpToDate>
  <CharactersWithSpaces>16824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2025-08-19T07:34:00Z</dcterms:created>
  <dc:creator>占占</dc:creator>
  <cp:lastModifiedBy>占占</cp:lastModifiedBy>
  <dcterms:modified xsi:type="dcterms:W3CDTF">2026-03-01T15:17:47Z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ZOTERO_PREF_1">
    <vt:lpwstr>1</vt:lpwstr>
  </property>
  <property fmtid="{D5CDD505-2E9C-101B-9397-08002B2CF9AE}" pid="4" name="ZOTERO_PREF_2">
    <vt:lpwstr>2</vt:lpwstr>
  </property>
  <property fmtid="{D5CDD505-2E9C-101B-9397-08002B2CF9AE}" pid="5" name="KSOTemplateDocerSaveRecord">
    <vt:lpwstr>eyJoZGlkIjoiZTE4Mjc3NzdhMjM3ZDJjMDZmNTU0NjFhNzY0NWQ2YmYiLCJ1c2VySWQiOiIyOTM4Nzg3NjIifQ==</vt:lpwstr>
  </property>
  <property fmtid="{D5CDD505-2E9C-101B-9397-08002B2CF9AE}" pid="6" name="ICV">
    <vt:lpwstr>DDD3EE705B014372B213DBB5A9A30870_13</vt:lpwstr>
  </property>
</Properties>
</file>