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F2287" w14:textId="77777777" w:rsidR="00F43F6E" w:rsidRPr="00F43F6E" w:rsidRDefault="00F43F6E" w:rsidP="00F43F6E">
      <w:pPr>
        <w:shd w:val="clear" w:color="auto" w:fill="FFFFFF"/>
        <w:spacing w:before="480" w:after="240" w:line="450" w:lineRule="atLeast"/>
        <w:outlineLvl w:val="2"/>
        <w:rPr>
          <w:rFonts w:asciiTheme="majorBidi" w:eastAsia="Times New Roman" w:hAnsiTheme="majorBidi" w:cstheme="majorBidi"/>
          <w:b/>
          <w:bCs/>
          <w:color w:val="0F1115"/>
          <w:kern w:val="0"/>
          <w:sz w:val="20"/>
          <w:szCs w:val="20"/>
          <w14:ligatures w14:val="none"/>
        </w:rPr>
      </w:pPr>
      <w:r w:rsidRPr="00F43F6E">
        <w:rPr>
          <w:rFonts w:asciiTheme="majorBidi" w:eastAsia="Times New Roman" w:hAnsiTheme="majorBidi" w:cstheme="majorBidi"/>
          <w:b/>
          <w:bCs/>
          <w:color w:val="0F1115"/>
          <w:kern w:val="0"/>
          <w:sz w:val="20"/>
          <w:szCs w:val="20"/>
          <w14:ligatures w14:val="none"/>
        </w:rPr>
        <w:t>STROBE Statement—</w:t>
      </w:r>
      <w:r w:rsidRPr="00F43F6E">
        <w:rPr>
          <w:rFonts w:asciiTheme="majorBidi" w:eastAsia="Times New Roman" w:hAnsiTheme="majorBidi" w:cstheme="majorBidi"/>
          <w:color w:val="0F1115"/>
          <w:kern w:val="0"/>
          <w:sz w:val="20"/>
          <w:szCs w:val="20"/>
          <w14:ligatures w14:val="none"/>
        </w:rPr>
        <w:t>Checklist of items included in</w:t>
      </w:r>
      <w:r w:rsidRPr="00F43F6E">
        <w:rPr>
          <w:rFonts w:asciiTheme="majorBidi" w:eastAsia="Times New Roman" w:hAnsiTheme="majorBidi" w:cstheme="majorBidi"/>
          <w:b/>
          <w:bCs/>
          <w:color w:val="0F1115"/>
          <w:kern w:val="0"/>
          <w:sz w:val="20"/>
          <w:szCs w:val="20"/>
          <w14:ligatures w14:val="none"/>
        </w:rPr>
        <w:t xml:space="preserve"> "CBCT-Based Evaluation of Mandibular Third Molar Impaction and Its Effects on Adjacent Second Molars in a Saudi Population: A Retrospective Study of 420 Scans"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"/>
        <w:gridCol w:w="653"/>
        <w:gridCol w:w="3111"/>
        <w:gridCol w:w="4159"/>
      </w:tblGrid>
      <w:tr w:rsidR="00F43F6E" w:rsidRPr="00F43F6E" w14:paraId="0553F217" w14:textId="77777777" w:rsidTr="00F43F6E">
        <w:tc>
          <w:tcPr>
            <w:tcW w:w="0" w:type="auto"/>
            <w:hideMark/>
          </w:tcPr>
          <w:p w14:paraId="559C4AEA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Section/Topic</w:t>
            </w:r>
          </w:p>
        </w:tc>
        <w:tc>
          <w:tcPr>
            <w:tcW w:w="0" w:type="auto"/>
            <w:hideMark/>
          </w:tcPr>
          <w:p w14:paraId="67F2E3D9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Item No.</w:t>
            </w:r>
          </w:p>
        </w:tc>
        <w:tc>
          <w:tcPr>
            <w:tcW w:w="0" w:type="auto"/>
            <w:hideMark/>
          </w:tcPr>
          <w:p w14:paraId="6C1BEACC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STROBE Recommendation</w:t>
            </w:r>
          </w:p>
        </w:tc>
        <w:tc>
          <w:tcPr>
            <w:tcW w:w="0" w:type="auto"/>
            <w:hideMark/>
          </w:tcPr>
          <w:p w14:paraId="060B94B1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Reported on Page / Line / Figure / Table</w:t>
            </w:r>
          </w:p>
        </w:tc>
      </w:tr>
      <w:tr w:rsidR="00F43F6E" w:rsidRPr="00F43F6E" w14:paraId="622680FA" w14:textId="77777777" w:rsidTr="00F43F6E">
        <w:tc>
          <w:tcPr>
            <w:tcW w:w="0" w:type="auto"/>
            <w:hideMark/>
          </w:tcPr>
          <w:p w14:paraId="007B2125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Title and abstract</w:t>
            </w:r>
          </w:p>
        </w:tc>
        <w:tc>
          <w:tcPr>
            <w:tcW w:w="0" w:type="auto"/>
            <w:hideMark/>
          </w:tcPr>
          <w:p w14:paraId="0EB3322E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B98C8DC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(a) Indicate the study’s design with a commonly used term in the title or the abstract</w:t>
            </w:r>
          </w:p>
        </w:tc>
        <w:tc>
          <w:tcPr>
            <w:tcW w:w="0" w:type="auto"/>
            <w:hideMark/>
          </w:tcPr>
          <w:p w14:paraId="7F5E5D19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Title: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"A Retrospective Study"; </w:t>
            </w: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Abstract, Line 1: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"retrospective analysis"</w:t>
            </w:r>
          </w:p>
        </w:tc>
      </w:tr>
      <w:tr w:rsidR="00F43F6E" w:rsidRPr="00F43F6E" w14:paraId="7EA9608B" w14:textId="77777777" w:rsidTr="00F43F6E">
        <w:tc>
          <w:tcPr>
            <w:tcW w:w="0" w:type="auto"/>
            <w:hideMark/>
          </w:tcPr>
          <w:p w14:paraId="7A2EE6D6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5A8EC8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24965A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(b) Provide in the abstract an informative and balanced summary of what was done and what was found</w:t>
            </w:r>
          </w:p>
        </w:tc>
        <w:tc>
          <w:tcPr>
            <w:tcW w:w="0" w:type="auto"/>
            <w:hideMark/>
          </w:tcPr>
          <w:p w14:paraId="03A8D2BD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Abstract: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Full structured abstract (Objectives, Materials and Methods, Results, Conclusions, Clinical Relevance) provides a complete summary.</w:t>
            </w:r>
          </w:p>
        </w:tc>
      </w:tr>
      <w:tr w:rsidR="00F43F6E" w:rsidRPr="00F43F6E" w14:paraId="4486661F" w14:textId="77777777" w:rsidTr="00F43F6E">
        <w:tc>
          <w:tcPr>
            <w:tcW w:w="0" w:type="auto"/>
            <w:hideMark/>
          </w:tcPr>
          <w:p w14:paraId="42E9A411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Introduction</w:t>
            </w:r>
          </w:p>
        </w:tc>
        <w:tc>
          <w:tcPr>
            <w:tcW w:w="0" w:type="auto"/>
            <w:hideMark/>
          </w:tcPr>
          <w:p w14:paraId="1847E57D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93BA090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hideMark/>
          </w:tcPr>
          <w:p w14:paraId="1F8B77FA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1-2, Introduction: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Paragraphs detail global significance of MTM impaction, limitations of panoramic radiography, superiority of CBCT, and gaps in Saudi-specific data.</w:t>
            </w:r>
          </w:p>
        </w:tc>
      </w:tr>
      <w:tr w:rsidR="00F43F6E" w:rsidRPr="00F43F6E" w14:paraId="42386C56" w14:textId="77777777" w:rsidTr="00F43F6E">
        <w:tc>
          <w:tcPr>
            <w:tcW w:w="0" w:type="auto"/>
            <w:hideMark/>
          </w:tcPr>
          <w:p w14:paraId="730884DB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8DDBE58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5DDC0850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State specific objectives, including any prespecified hypotheses</w:t>
            </w:r>
          </w:p>
        </w:tc>
        <w:tc>
          <w:tcPr>
            <w:tcW w:w="0" w:type="auto"/>
            <w:hideMark/>
          </w:tcPr>
          <w:p w14:paraId="5D37D6CD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2, Introduction (end of 3rd paragraph):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"This study therefore aims to bridge these gaps by: (</w:t>
            </w:r>
            <w:proofErr w:type="gramStart"/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1)...</w:t>
            </w:r>
            <w:proofErr w:type="gramEnd"/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(2)... (3)..."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br/>
            </w: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2, Introduction (4th paragraph):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"The null hypothesis states that no association exists..."</w:t>
            </w:r>
          </w:p>
        </w:tc>
      </w:tr>
      <w:tr w:rsidR="00F43F6E" w:rsidRPr="00F43F6E" w14:paraId="32448DD2" w14:textId="77777777" w:rsidTr="00F43F6E">
        <w:tc>
          <w:tcPr>
            <w:tcW w:w="0" w:type="auto"/>
            <w:hideMark/>
          </w:tcPr>
          <w:p w14:paraId="09A0EE5F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7DE55ECA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637278FF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Present key elements of study design early in the paper</w:t>
            </w:r>
          </w:p>
        </w:tc>
        <w:tc>
          <w:tcPr>
            <w:tcW w:w="0" w:type="auto"/>
            <w:hideMark/>
          </w:tcPr>
          <w:p w14:paraId="3998B42A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3, Section 2.1, Line 1: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"This retrospective study..."</w:t>
            </w:r>
          </w:p>
        </w:tc>
      </w:tr>
      <w:tr w:rsidR="00F43F6E" w:rsidRPr="00F43F6E" w14:paraId="14A5B442" w14:textId="77777777" w:rsidTr="00F43F6E">
        <w:tc>
          <w:tcPr>
            <w:tcW w:w="0" w:type="auto"/>
            <w:hideMark/>
          </w:tcPr>
          <w:p w14:paraId="0B016D9C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D6B59D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58022DDD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hideMark/>
          </w:tcPr>
          <w:p w14:paraId="66A64B5A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3, Section 2.1: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"Riyadh Elm University...", "from January 2018 to December 2024".</w:t>
            </w:r>
          </w:p>
        </w:tc>
      </w:tr>
      <w:tr w:rsidR="00F43F6E" w:rsidRPr="00F43F6E" w14:paraId="745D2879" w14:textId="77777777" w:rsidTr="00F43F6E">
        <w:tc>
          <w:tcPr>
            <w:tcW w:w="0" w:type="auto"/>
            <w:hideMark/>
          </w:tcPr>
          <w:p w14:paraId="3401056B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39B19D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0E5FA26A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(a) Give the eligibility criteria, and the sources and methods of selection of participants</w:t>
            </w:r>
          </w:p>
        </w:tc>
        <w:tc>
          <w:tcPr>
            <w:tcW w:w="0" w:type="auto"/>
            <w:hideMark/>
          </w:tcPr>
          <w:p w14:paraId="05E66FD6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3, Section 2.1: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Inclusion criteria (Saudi adults, ≥1 impacted MTM) and exclusion criteria (trauma, cysts, artifacts, severe periodontitis). Source: institutional CBCT archives.</w:t>
            </w:r>
          </w:p>
        </w:tc>
      </w:tr>
      <w:tr w:rsidR="00F43F6E" w:rsidRPr="00F43F6E" w14:paraId="055F87C1" w14:textId="77777777" w:rsidTr="00F43F6E">
        <w:tc>
          <w:tcPr>
            <w:tcW w:w="0" w:type="auto"/>
            <w:hideMark/>
          </w:tcPr>
          <w:p w14:paraId="34E6B1F4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45AB32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C55091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(b) For matched studies, give matching criteria and number of exposed and unexposed</w:t>
            </w:r>
          </w:p>
        </w:tc>
        <w:tc>
          <w:tcPr>
            <w:tcW w:w="0" w:type="auto"/>
            <w:hideMark/>
          </w:tcPr>
          <w:p w14:paraId="04B09562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Not applicable (cross-sectional study).</w:t>
            </w:r>
          </w:p>
        </w:tc>
      </w:tr>
      <w:tr w:rsidR="00F43F6E" w:rsidRPr="00F43F6E" w14:paraId="30F2B9F0" w14:textId="77777777" w:rsidTr="00F43F6E">
        <w:tc>
          <w:tcPr>
            <w:tcW w:w="0" w:type="auto"/>
            <w:hideMark/>
          </w:tcPr>
          <w:p w14:paraId="3CE79E9A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BC4939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7E51C9EC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Clearly define all outcomes, exposures, predictors, potential confounders, and effect modifiers. Give diagnostic criteria, if applicable.</w:t>
            </w:r>
          </w:p>
        </w:tc>
        <w:tc>
          <w:tcPr>
            <w:tcW w:w="0" w:type="auto"/>
            <w:hideMark/>
          </w:tcPr>
          <w:p w14:paraId="22BC681C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Exposures/Predictors: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</w:t>
            </w: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4, Section 2.3: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Winter's &amp; Pell &amp; Gregory classifications, CEJ distance categories.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br/>
            </w: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Outcomes: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</w:t>
            </w: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4, Section 2.3: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ICCMS caries scoring (detailed criteria provided), periodontal bone loss percentage classification.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br/>
            </w: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Potential Confounders: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</w:t>
            </w: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3, Section 2.1: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Exclusion criteria (e.g., generalized severe periodontitis) designed to control for confounders.</w:t>
            </w:r>
          </w:p>
        </w:tc>
      </w:tr>
      <w:tr w:rsidR="00F43F6E" w:rsidRPr="00F43F6E" w14:paraId="6229E63B" w14:textId="77777777" w:rsidTr="00F43F6E">
        <w:tc>
          <w:tcPr>
            <w:tcW w:w="0" w:type="auto"/>
            <w:hideMark/>
          </w:tcPr>
          <w:p w14:paraId="6AD3F5C4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884847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6749B12B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For each variable of interest, give sources of data and details of methods of assessment (measurement). Describe comparability of assessment methods if there is more than one group.</w:t>
            </w:r>
          </w:p>
        </w:tc>
        <w:tc>
          <w:tcPr>
            <w:tcW w:w="0" w:type="auto"/>
            <w:hideMark/>
          </w:tcPr>
          <w:p w14:paraId="111EB59C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4, Section 2.2 (Imaging Protocol):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CBCT machine and parameters.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br/>
            </w: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4, Section 2.3 (Radiographic Assessment):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Detailed methods for measuring angulation, depth, CEJ distance, caries (ICCMS), and bone loss. All assessments were performed on the same CBCT scans, ensuring comparability.</w:t>
            </w:r>
          </w:p>
        </w:tc>
      </w:tr>
      <w:tr w:rsidR="00F43F6E" w:rsidRPr="00F43F6E" w14:paraId="65CC31BE" w14:textId="77777777" w:rsidTr="00F43F6E">
        <w:tc>
          <w:tcPr>
            <w:tcW w:w="0" w:type="auto"/>
            <w:hideMark/>
          </w:tcPr>
          <w:p w14:paraId="7C7246FD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1A44C8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55CD83A6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Describe any efforts to address potential sources of bias</w:t>
            </w:r>
          </w:p>
        </w:tc>
        <w:tc>
          <w:tcPr>
            <w:tcW w:w="0" w:type="auto"/>
            <w:hideMark/>
          </w:tcPr>
          <w:p w14:paraId="48404CB9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5, Section 2.4 (Examiner calibration):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Calibration sessions and reliability testing.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br/>
            </w: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3, Section 2.1: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Acknowledgment of referral bias and clarification that findings are for risk profiling, not prevalence estimation.</w:t>
            </w:r>
          </w:p>
        </w:tc>
      </w:tr>
      <w:tr w:rsidR="00F43F6E" w:rsidRPr="00F43F6E" w14:paraId="4279BBBF" w14:textId="77777777" w:rsidTr="00F43F6E">
        <w:tc>
          <w:tcPr>
            <w:tcW w:w="0" w:type="auto"/>
            <w:hideMark/>
          </w:tcPr>
          <w:p w14:paraId="659D2C60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BC3D5C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258ACE23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Explain how the study size was arrived at</w:t>
            </w:r>
          </w:p>
        </w:tc>
        <w:tc>
          <w:tcPr>
            <w:tcW w:w="0" w:type="auto"/>
            <w:hideMark/>
          </w:tcPr>
          <w:p w14:paraId="5912D4C7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3, Section 2.1: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"A total of 420 anonymized CBCT scans... were retrieved." The sample size is based on available scans meeting inclusion/exclusion criteria over the study period (consecutive case sampling).</w:t>
            </w:r>
          </w:p>
        </w:tc>
      </w:tr>
      <w:tr w:rsidR="00F43F6E" w:rsidRPr="00F43F6E" w14:paraId="74637F20" w14:textId="77777777" w:rsidTr="00F43F6E">
        <w:tc>
          <w:tcPr>
            <w:tcW w:w="0" w:type="auto"/>
            <w:hideMark/>
          </w:tcPr>
          <w:p w14:paraId="532465FA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690E9F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7762CBB1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Explain how quantitative variables were handled in the analyses. If 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lastRenderedPageBreak/>
              <w:t>applicable, describe which groupings were chosen and why</w:t>
            </w:r>
          </w:p>
        </w:tc>
        <w:tc>
          <w:tcPr>
            <w:tcW w:w="0" w:type="auto"/>
            <w:hideMark/>
          </w:tcPr>
          <w:p w14:paraId="242D2EA7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Pg. 4, Section 2.3: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 CEJ distance grouped as "&lt;6 mm, 6–9 mm, or &gt;9 mm, based on established 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lastRenderedPageBreak/>
              <w:t>thresholds". Age grouped into categories for analysis. Bone loss classified as mild/moderate/severe based on percentage ranges.</w:t>
            </w:r>
          </w:p>
        </w:tc>
      </w:tr>
      <w:tr w:rsidR="00F43F6E" w:rsidRPr="00F43F6E" w14:paraId="5868D8F3" w14:textId="77777777" w:rsidTr="00F43F6E">
        <w:tc>
          <w:tcPr>
            <w:tcW w:w="0" w:type="auto"/>
            <w:hideMark/>
          </w:tcPr>
          <w:p w14:paraId="2810F340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50A535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09DEBC9F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(a) Describe all statistical methods, including those used to control for confounding</w:t>
            </w:r>
          </w:p>
        </w:tc>
        <w:tc>
          <w:tcPr>
            <w:tcW w:w="0" w:type="auto"/>
            <w:hideMark/>
          </w:tcPr>
          <w:p w14:paraId="40F6D57C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5, Section 2.5: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Descriptive stats, chi-square, Mann-Whitney U, Kruskal-Wallis, univariate and multivariate logistic regression (with clustered standard errors), Hosmer-</w:t>
            </w:r>
            <w:proofErr w:type="spellStart"/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Lemeshow</w:t>
            </w:r>
            <w:proofErr w:type="spellEnd"/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test, ROC analysis.</w:t>
            </w:r>
          </w:p>
        </w:tc>
      </w:tr>
      <w:tr w:rsidR="00F43F6E" w:rsidRPr="00F43F6E" w14:paraId="56AEBDD6" w14:textId="77777777" w:rsidTr="00F43F6E">
        <w:tc>
          <w:tcPr>
            <w:tcW w:w="0" w:type="auto"/>
            <w:hideMark/>
          </w:tcPr>
          <w:p w14:paraId="4957D97D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3F69E0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CD8B91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(b) Describe any methods used to examine subgroups and interactions</w:t>
            </w:r>
          </w:p>
        </w:tc>
        <w:tc>
          <w:tcPr>
            <w:tcW w:w="0" w:type="auto"/>
            <w:hideMark/>
          </w:tcPr>
          <w:p w14:paraId="517027AB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Subgroup analysis for CBCT-only studies in </w:t>
            </w: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Section 3.4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. Interaction terms were not included in the primary models.</w:t>
            </w:r>
          </w:p>
        </w:tc>
      </w:tr>
      <w:tr w:rsidR="00F43F6E" w:rsidRPr="00F43F6E" w14:paraId="580219AF" w14:textId="77777777" w:rsidTr="00F43F6E">
        <w:tc>
          <w:tcPr>
            <w:tcW w:w="0" w:type="auto"/>
            <w:hideMark/>
          </w:tcPr>
          <w:p w14:paraId="08B5981B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99903B9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30A7B9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(c) Explain how missing data were addressed</w:t>
            </w:r>
          </w:p>
        </w:tc>
        <w:tc>
          <w:tcPr>
            <w:tcW w:w="0" w:type="auto"/>
            <w:hideMark/>
          </w:tcPr>
          <w:p w14:paraId="6B9F440A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Not explicitly stated, but implies complete data for included scans. Exclusion of scans with "imaging artifacts" suggests missing/poor quality data was removed.</w:t>
            </w:r>
          </w:p>
        </w:tc>
      </w:tr>
      <w:tr w:rsidR="00F43F6E" w:rsidRPr="00F43F6E" w14:paraId="60C39283" w14:textId="77777777" w:rsidTr="00F43F6E">
        <w:tc>
          <w:tcPr>
            <w:tcW w:w="0" w:type="auto"/>
            <w:hideMark/>
          </w:tcPr>
          <w:p w14:paraId="63A037B2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85A1CD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9CEBCB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(d) If applicable, explain how loss to follow-up was addressed</w:t>
            </w:r>
          </w:p>
        </w:tc>
        <w:tc>
          <w:tcPr>
            <w:tcW w:w="0" w:type="auto"/>
            <w:hideMark/>
          </w:tcPr>
          <w:p w14:paraId="500EBF09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Not applicable (cross-sectional study).</w:t>
            </w:r>
          </w:p>
        </w:tc>
      </w:tr>
      <w:tr w:rsidR="00F43F6E" w:rsidRPr="00F43F6E" w14:paraId="2485F17F" w14:textId="77777777" w:rsidTr="00F43F6E">
        <w:tc>
          <w:tcPr>
            <w:tcW w:w="0" w:type="auto"/>
            <w:hideMark/>
          </w:tcPr>
          <w:p w14:paraId="49D8880D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E83A1C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0A0069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(e) Describe any sensitivity analyses</w:t>
            </w:r>
          </w:p>
        </w:tc>
        <w:tc>
          <w:tcPr>
            <w:tcW w:w="0" w:type="auto"/>
            <w:hideMark/>
          </w:tcPr>
          <w:p w14:paraId="04BEBDD9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6, Section 3.4: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"Sensitivity Analysis of CBCT-Only Studies".</w:t>
            </w:r>
          </w:p>
        </w:tc>
      </w:tr>
      <w:tr w:rsidR="00F43F6E" w:rsidRPr="00F43F6E" w14:paraId="47BE02EF" w14:textId="77777777" w:rsidTr="00F43F6E">
        <w:tc>
          <w:tcPr>
            <w:tcW w:w="0" w:type="auto"/>
            <w:hideMark/>
          </w:tcPr>
          <w:p w14:paraId="418E4970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Results</w:t>
            </w:r>
          </w:p>
        </w:tc>
        <w:tc>
          <w:tcPr>
            <w:tcW w:w="0" w:type="auto"/>
            <w:hideMark/>
          </w:tcPr>
          <w:p w14:paraId="0AA41F4A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555105F1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(a) Report numbers of individuals at each stage of study</w:t>
            </w:r>
          </w:p>
        </w:tc>
        <w:tc>
          <w:tcPr>
            <w:tcW w:w="0" w:type="auto"/>
            <w:hideMark/>
          </w:tcPr>
          <w:p w14:paraId="205DC0E6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3, Section 2.1: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420 scans included. A flow diagram is not provided, but the single-stage inclusion is clearly stated.</w:t>
            </w:r>
          </w:p>
        </w:tc>
      </w:tr>
      <w:tr w:rsidR="00F43F6E" w:rsidRPr="00F43F6E" w14:paraId="3FA5CA91" w14:textId="77777777" w:rsidTr="00F43F6E">
        <w:tc>
          <w:tcPr>
            <w:tcW w:w="0" w:type="auto"/>
            <w:hideMark/>
          </w:tcPr>
          <w:p w14:paraId="5F835A52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2CF147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310370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(b) Give reasons for non-participation at each stage</w:t>
            </w:r>
          </w:p>
        </w:tc>
        <w:tc>
          <w:tcPr>
            <w:tcW w:w="0" w:type="auto"/>
            <w:hideMark/>
          </w:tcPr>
          <w:p w14:paraId="035DC6F1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3, Section 2.1: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Exclusion criteria list serves this purpose.</w:t>
            </w:r>
          </w:p>
        </w:tc>
      </w:tr>
      <w:tr w:rsidR="00F43F6E" w:rsidRPr="00F43F6E" w14:paraId="2D5D3214" w14:textId="77777777" w:rsidTr="00F43F6E">
        <w:tc>
          <w:tcPr>
            <w:tcW w:w="0" w:type="auto"/>
            <w:hideMark/>
          </w:tcPr>
          <w:p w14:paraId="5658ED4C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946789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54ADF6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(c) Consider use of a flow diagram</w:t>
            </w:r>
          </w:p>
        </w:tc>
        <w:tc>
          <w:tcPr>
            <w:tcW w:w="0" w:type="auto"/>
            <w:hideMark/>
          </w:tcPr>
          <w:p w14:paraId="4FA2A33D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Not provided.</w:t>
            </w:r>
          </w:p>
        </w:tc>
      </w:tr>
      <w:tr w:rsidR="00F43F6E" w:rsidRPr="00F43F6E" w14:paraId="2A8ABF70" w14:textId="77777777" w:rsidTr="00F43F6E">
        <w:tc>
          <w:tcPr>
            <w:tcW w:w="0" w:type="auto"/>
            <w:hideMark/>
          </w:tcPr>
          <w:p w14:paraId="6B56F7B7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6A0824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38C70CD8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(a) Give characteristics of study participants (e.g., demographic, clinical, social) and information on exposures and potential confounders</w:t>
            </w:r>
          </w:p>
        </w:tc>
        <w:tc>
          <w:tcPr>
            <w:tcW w:w="0" w:type="auto"/>
            <w:hideMark/>
          </w:tcPr>
          <w:p w14:paraId="4744840D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5-6, Section 3.1 &amp; 3.3: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Table 1 (Demographics), Table 3 (Distribution of impaction characteristics and pathology).</w:t>
            </w:r>
          </w:p>
        </w:tc>
      </w:tr>
      <w:tr w:rsidR="00F43F6E" w:rsidRPr="00F43F6E" w14:paraId="591C0EB8" w14:textId="77777777" w:rsidTr="00F43F6E">
        <w:tc>
          <w:tcPr>
            <w:tcW w:w="0" w:type="auto"/>
            <w:hideMark/>
          </w:tcPr>
          <w:p w14:paraId="27DF07ED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3FD994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8ACB5F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(b) Indicate number of participants with missing data for each variable of interest</w:t>
            </w:r>
          </w:p>
        </w:tc>
        <w:tc>
          <w:tcPr>
            <w:tcW w:w="0" w:type="auto"/>
            <w:hideMark/>
          </w:tcPr>
          <w:p w14:paraId="25A8D5BA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Not explicitly stated; assumed complete case analysis.</w:t>
            </w:r>
          </w:p>
        </w:tc>
      </w:tr>
      <w:tr w:rsidR="00F43F6E" w:rsidRPr="00F43F6E" w14:paraId="7DD2BECE" w14:textId="77777777" w:rsidTr="00F43F6E">
        <w:tc>
          <w:tcPr>
            <w:tcW w:w="0" w:type="auto"/>
            <w:hideMark/>
          </w:tcPr>
          <w:p w14:paraId="246D93FE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D34760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65E805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(c) </w:t>
            </w:r>
            <w:proofErr w:type="spellStart"/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Summarise</w:t>
            </w:r>
            <w:proofErr w:type="spellEnd"/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follow-up time (e.g., average and total amount)</w:t>
            </w:r>
          </w:p>
        </w:tc>
        <w:tc>
          <w:tcPr>
            <w:tcW w:w="0" w:type="auto"/>
            <w:hideMark/>
          </w:tcPr>
          <w:p w14:paraId="7E82DFDB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Not applicable (cross-sectional study).</w:t>
            </w:r>
          </w:p>
        </w:tc>
      </w:tr>
      <w:tr w:rsidR="00F43F6E" w:rsidRPr="00F43F6E" w14:paraId="00D78CE4" w14:textId="77777777" w:rsidTr="00F43F6E">
        <w:tc>
          <w:tcPr>
            <w:tcW w:w="0" w:type="auto"/>
            <w:hideMark/>
          </w:tcPr>
          <w:p w14:paraId="18EED48F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5D1ED5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1874A3A7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Report numbers of outcome events or summary measures</w:t>
            </w:r>
          </w:p>
        </w:tc>
        <w:tc>
          <w:tcPr>
            <w:tcW w:w="0" w:type="auto"/>
            <w:hideMark/>
          </w:tcPr>
          <w:p w14:paraId="4DB70214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6, Section 3.3 &amp; Table 3: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Prevalence of distal caries and periodontal bone loss categories.</w:t>
            </w:r>
          </w:p>
        </w:tc>
      </w:tr>
      <w:tr w:rsidR="00F43F6E" w:rsidRPr="00F43F6E" w14:paraId="3B3E910A" w14:textId="77777777" w:rsidTr="00F43F6E">
        <w:tc>
          <w:tcPr>
            <w:tcW w:w="0" w:type="auto"/>
            <w:hideMark/>
          </w:tcPr>
          <w:p w14:paraId="6844AF36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02A727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14:paraId="36D33DC3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(a) Give unadjusted estimates and, if applicable, confounder-adjusted estimates and their precision (e.g., 95% CI). Make clear which confounders were adjusted and why included</w:t>
            </w:r>
          </w:p>
        </w:tc>
        <w:tc>
          <w:tcPr>
            <w:tcW w:w="0" w:type="auto"/>
            <w:hideMark/>
          </w:tcPr>
          <w:p w14:paraId="60F53D53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Supplementary Table 1: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Unadjusted odds ratios.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br/>
            </w: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Table 5 &amp; Supplementary Table 2: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Adjusted odds ratios from multivariate models. Variables were included based on univariate significance (p&lt;0.10). Models are clearly specified.</w:t>
            </w:r>
          </w:p>
        </w:tc>
      </w:tr>
      <w:tr w:rsidR="00F43F6E" w:rsidRPr="00F43F6E" w14:paraId="21749F82" w14:textId="77777777" w:rsidTr="00F43F6E">
        <w:tc>
          <w:tcPr>
            <w:tcW w:w="0" w:type="auto"/>
            <w:hideMark/>
          </w:tcPr>
          <w:p w14:paraId="6A4EF815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903A75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1F8BDF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(b) Report category boundaries when continuous variables were categorized</w:t>
            </w:r>
          </w:p>
        </w:tc>
        <w:tc>
          <w:tcPr>
            <w:tcW w:w="0" w:type="auto"/>
            <w:hideMark/>
          </w:tcPr>
          <w:p w14:paraId="2F45BD1C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4, Section 2.3: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CEJ distance categories, bone loss percentage categories.</w:t>
            </w:r>
          </w:p>
        </w:tc>
      </w:tr>
      <w:tr w:rsidR="00F43F6E" w:rsidRPr="00F43F6E" w14:paraId="2BBABAA3" w14:textId="77777777" w:rsidTr="00F43F6E">
        <w:tc>
          <w:tcPr>
            <w:tcW w:w="0" w:type="auto"/>
            <w:hideMark/>
          </w:tcPr>
          <w:p w14:paraId="12180AE2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662C9C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CA3277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(c) If relevant, consider translating estimates of relative risk into absolute risk</w:t>
            </w:r>
          </w:p>
        </w:tc>
        <w:tc>
          <w:tcPr>
            <w:tcW w:w="0" w:type="auto"/>
            <w:hideMark/>
          </w:tcPr>
          <w:p w14:paraId="60FED83E" w14:textId="230C4A4B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Not done; the analysis focused on relative measures of association (odds ratios)</w:t>
            </w:r>
          </w:p>
        </w:tc>
      </w:tr>
      <w:tr w:rsidR="00F43F6E" w:rsidRPr="00F43F6E" w14:paraId="098A9962" w14:textId="77777777" w:rsidTr="00F43F6E">
        <w:tc>
          <w:tcPr>
            <w:tcW w:w="0" w:type="auto"/>
            <w:hideMark/>
          </w:tcPr>
          <w:p w14:paraId="3596B936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4C16B8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6C108355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Report other analyses done—e.g., analyses of subgroups and interactions, and sensitivity analyses</w:t>
            </w:r>
          </w:p>
        </w:tc>
        <w:tc>
          <w:tcPr>
            <w:tcW w:w="0" w:type="auto"/>
            <w:hideMark/>
          </w:tcPr>
          <w:p w14:paraId="508B42B2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6, Section 3.4 &amp; Table 4: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Sensitivity analysis (CBCT-only studies).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br/>
            </w: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9-11, Section 3.8 &amp; Table 8: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International comparison.</w:t>
            </w:r>
          </w:p>
        </w:tc>
      </w:tr>
      <w:tr w:rsidR="00F43F6E" w:rsidRPr="00F43F6E" w14:paraId="66406D71" w14:textId="77777777" w:rsidTr="00F43F6E">
        <w:tc>
          <w:tcPr>
            <w:tcW w:w="0" w:type="auto"/>
            <w:hideMark/>
          </w:tcPr>
          <w:p w14:paraId="252AFB9A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Discussion</w:t>
            </w:r>
          </w:p>
        </w:tc>
        <w:tc>
          <w:tcPr>
            <w:tcW w:w="0" w:type="auto"/>
            <w:hideMark/>
          </w:tcPr>
          <w:p w14:paraId="7D0302DB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14:paraId="7791896F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Summarise</w:t>
            </w:r>
            <w:proofErr w:type="spellEnd"/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key results with reference to study objectives</w:t>
            </w:r>
          </w:p>
        </w:tc>
        <w:tc>
          <w:tcPr>
            <w:tcW w:w="0" w:type="auto"/>
            <w:hideMark/>
          </w:tcPr>
          <w:p w14:paraId="25526D86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11, Section 4 (Discussion), 1st paragraph: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 Summarizes key findings (high </w:t>
            </w:r>
            <w:proofErr w:type="spellStart"/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mesioangular</w:t>
            </w:r>
            <w:proofErr w:type="spellEnd"/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prevalence, CEJ distance as strong predictor, distinct Saudi profile).</w:t>
            </w:r>
          </w:p>
        </w:tc>
      </w:tr>
      <w:tr w:rsidR="00F43F6E" w:rsidRPr="00F43F6E" w14:paraId="610223B1" w14:textId="77777777" w:rsidTr="00F43F6E">
        <w:tc>
          <w:tcPr>
            <w:tcW w:w="0" w:type="auto"/>
            <w:hideMark/>
          </w:tcPr>
          <w:p w14:paraId="50B377FE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0F335A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14:paraId="3231C2A3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Discuss limitations of the study, taking into account sources of potential bias or imprecision. Discuss both direction and magnitude of any potential bias.</w:t>
            </w:r>
          </w:p>
        </w:tc>
        <w:tc>
          <w:tcPr>
            <w:tcW w:w="0" w:type="auto"/>
            <w:hideMark/>
          </w:tcPr>
          <w:p w14:paraId="3A04B0DF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12, Section 4 (Discussion), 4th paragraph: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Lists limitations (retrospective design, single-center, radiographic-only assessment, lack of external validation for risk score).</w:t>
            </w:r>
          </w:p>
        </w:tc>
      </w:tr>
      <w:tr w:rsidR="00F43F6E" w:rsidRPr="00F43F6E" w14:paraId="4DE92140" w14:textId="77777777" w:rsidTr="00F43F6E">
        <w:tc>
          <w:tcPr>
            <w:tcW w:w="0" w:type="auto"/>
            <w:hideMark/>
          </w:tcPr>
          <w:p w14:paraId="2A201E7C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3E4514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14:paraId="48ECD56D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Give a cautious overall interpretation of results considering objectives, limitations, and results from similar studies</w:t>
            </w:r>
          </w:p>
        </w:tc>
        <w:tc>
          <w:tcPr>
            <w:tcW w:w="0" w:type="auto"/>
            <w:hideMark/>
          </w:tcPr>
          <w:p w14:paraId="40C4832D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11-12, Section 4 (Discussion):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Compares results to prior literature, interprets population-specific findings, and acknowledges novelty and limitations.</w:t>
            </w:r>
          </w:p>
        </w:tc>
      </w:tr>
      <w:tr w:rsidR="00F43F6E" w:rsidRPr="00F43F6E" w14:paraId="653747D8" w14:textId="77777777" w:rsidTr="00F43F6E">
        <w:tc>
          <w:tcPr>
            <w:tcW w:w="0" w:type="auto"/>
            <w:hideMark/>
          </w:tcPr>
          <w:p w14:paraId="03AD6E2B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6819E6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47B661D3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Discuss the </w:t>
            </w:r>
            <w:proofErr w:type="spellStart"/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generalisability</w:t>
            </w:r>
            <w:proofErr w:type="spellEnd"/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(external validity) of the study results</w:t>
            </w:r>
          </w:p>
        </w:tc>
        <w:tc>
          <w:tcPr>
            <w:tcW w:w="0" w:type="auto"/>
            <w:hideMark/>
          </w:tcPr>
          <w:p w14:paraId="3AD3AA41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12, Section 4 (Discussion), 4th paragraph: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"single-center sample may limit the generalizability of the findings across all Saudi regions."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br/>
            </w: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3, Section 2.1: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Clarifies cohort is referral-based, not for population prevalence.</w:t>
            </w:r>
          </w:p>
        </w:tc>
      </w:tr>
      <w:tr w:rsidR="00F43F6E" w:rsidRPr="00F43F6E" w14:paraId="02466A42" w14:textId="77777777" w:rsidTr="00F43F6E">
        <w:tc>
          <w:tcPr>
            <w:tcW w:w="0" w:type="auto"/>
            <w:hideMark/>
          </w:tcPr>
          <w:p w14:paraId="14CC0735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Other information</w:t>
            </w:r>
          </w:p>
        </w:tc>
        <w:tc>
          <w:tcPr>
            <w:tcW w:w="0" w:type="auto"/>
            <w:hideMark/>
          </w:tcPr>
          <w:p w14:paraId="723D38A5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0" w:type="auto"/>
            <w:hideMark/>
          </w:tcPr>
          <w:p w14:paraId="31B2FB38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Give the source of funding and the role of the funders for the present study</w:t>
            </w:r>
          </w:p>
        </w:tc>
        <w:tc>
          <w:tcPr>
            <w:tcW w:w="0" w:type="auto"/>
            <w:hideMark/>
          </w:tcPr>
          <w:p w14:paraId="3A5C4EC3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Funding Section: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"This study did not receive any external funding."</w:t>
            </w:r>
          </w:p>
        </w:tc>
      </w:tr>
      <w:tr w:rsidR="00F43F6E" w:rsidRPr="00F43F6E" w14:paraId="30831F90" w14:textId="77777777" w:rsidTr="00F43F6E">
        <w:tc>
          <w:tcPr>
            <w:tcW w:w="0" w:type="auto"/>
            <w:hideMark/>
          </w:tcPr>
          <w:p w14:paraId="62670A2A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FDE333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0" w:type="auto"/>
            <w:hideMark/>
          </w:tcPr>
          <w:p w14:paraId="1801E243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New Item: Where the full protocol can be accessed</w:t>
            </w:r>
          </w:p>
        </w:tc>
        <w:tc>
          <w:tcPr>
            <w:tcW w:w="0" w:type="auto"/>
            <w:hideMark/>
          </w:tcPr>
          <w:p w14:paraId="1B51E9CD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Not applicable (retrospective study).</w:t>
            </w:r>
          </w:p>
        </w:tc>
      </w:tr>
      <w:tr w:rsidR="00F43F6E" w:rsidRPr="00F43F6E" w14:paraId="653410B9" w14:textId="77777777" w:rsidTr="00F43F6E">
        <w:tc>
          <w:tcPr>
            <w:tcW w:w="0" w:type="auto"/>
            <w:hideMark/>
          </w:tcPr>
          <w:p w14:paraId="315E92BB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2FEB59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0" w:type="auto"/>
            <w:hideMark/>
          </w:tcPr>
          <w:p w14:paraId="0D647FE4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New Item: Present summary statistics for continuous variables (e.g., mean, SD)</w:t>
            </w:r>
          </w:p>
        </w:tc>
        <w:tc>
          <w:tcPr>
            <w:tcW w:w="0" w:type="auto"/>
            <w:hideMark/>
          </w:tcPr>
          <w:p w14:paraId="638AF709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5, Section 3.1: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"mean age of 28.4 ± 8.7 years."</w:t>
            </w:r>
          </w:p>
        </w:tc>
      </w:tr>
      <w:tr w:rsidR="00F43F6E" w:rsidRPr="00F43F6E" w14:paraId="4CE0B3B4" w14:textId="77777777" w:rsidTr="00F43F6E">
        <w:tc>
          <w:tcPr>
            <w:tcW w:w="0" w:type="auto"/>
            <w:hideMark/>
          </w:tcPr>
          <w:p w14:paraId="19727E19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5C4658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0" w:type="auto"/>
            <w:hideMark/>
          </w:tcPr>
          <w:p w14:paraId="67037FD3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New Item: Report any efforts to assess measurement error or bias for key variables</w:t>
            </w:r>
          </w:p>
        </w:tc>
        <w:tc>
          <w:tcPr>
            <w:tcW w:w="0" w:type="auto"/>
            <w:hideMark/>
          </w:tcPr>
          <w:p w14:paraId="0C4BA409" w14:textId="77777777" w:rsidR="00F43F6E" w:rsidRPr="00F43F6E" w:rsidRDefault="00F43F6E" w:rsidP="00F43F6E">
            <w:pPr>
              <w:spacing w:line="375" w:lineRule="atLeast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F43F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  <w:t>Pg. 5, Section 2.4 &amp; 3.2 &amp; Table 2:</w:t>
            </w:r>
            <w:r w:rsidRPr="00F43F6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 Detailed description of examiner calibration and reporting of inter-examiner reliability metrics (Kappa, ICC with 95% CIs)</w:t>
            </w:r>
          </w:p>
        </w:tc>
      </w:tr>
    </w:tbl>
    <w:p w14:paraId="635AD056" w14:textId="77777777" w:rsidR="00F90145" w:rsidRPr="00F43F6E" w:rsidRDefault="00F90145">
      <w:pPr>
        <w:rPr>
          <w:rFonts w:asciiTheme="majorBidi" w:hAnsiTheme="majorBidi" w:cstheme="majorBidi"/>
          <w:sz w:val="20"/>
          <w:szCs w:val="20"/>
        </w:rPr>
      </w:pPr>
    </w:p>
    <w:sectPr w:rsidR="00F90145" w:rsidRPr="00F43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6E"/>
    <w:rsid w:val="000904DE"/>
    <w:rsid w:val="00140B4E"/>
    <w:rsid w:val="005379C9"/>
    <w:rsid w:val="00747E9C"/>
    <w:rsid w:val="00770805"/>
    <w:rsid w:val="007A446F"/>
    <w:rsid w:val="00CB164D"/>
    <w:rsid w:val="00D10589"/>
    <w:rsid w:val="00F43F6E"/>
    <w:rsid w:val="00F9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F1D37"/>
  <w15:chartTrackingRefBased/>
  <w15:docId w15:val="{D9458545-7311-4D19-9208-A5E227C2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43F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3F6E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F43F6E"/>
    <w:rPr>
      <w:b/>
      <w:bCs/>
    </w:rPr>
  </w:style>
  <w:style w:type="table" w:styleId="TableGrid">
    <w:name w:val="Table Grid"/>
    <w:basedOn w:val="TableNormal"/>
    <w:uiPriority w:val="39"/>
    <w:rsid w:val="00F43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2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1284</Words>
  <Characters>7321</Characters>
  <Application>Microsoft Office Word</Application>
  <DocSecurity>0</DocSecurity>
  <Lines>61</Lines>
  <Paragraphs>17</Paragraphs>
  <ScaleCrop>false</ScaleCrop>
  <Company/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Dr.Rameswari</dc:creator>
  <cp:keywords/>
  <dc:description/>
  <cp:lastModifiedBy>Dr.Rameswari</cp:lastModifiedBy>
  <cp:revision>2</cp:revision>
  <dcterms:created xsi:type="dcterms:W3CDTF">2026-01-26T04:47:00Z</dcterms:created>
  <dcterms:modified xsi:type="dcterms:W3CDTF">2026-01-26T04:51:00Z</dcterms:modified>
</cp:coreProperties>
</file>