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190A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OLE_LINK101"/>
      <w:bookmarkStart w:id="1" w:name="OLE_LINK93"/>
      <w:bookmarkStart w:id="2" w:name="OLE_LINK96"/>
      <w:r>
        <w:rPr>
          <w:rFonts w:ascii="Times New Roman" w:hAnsi="Times New Roman" w:cs="Times New Roman"/>
          <w:b/>
          <w:bCs/>
          <w:sz w:val="20"/>
          <w:szCs w:val="20"/>
        </w:rPr>
        <w:t>Effects of different numbers of micro-osteoperforations on acceleration of orthodontic tooth movement and alveolar bone remodeling in rats</w:t>
      </w:r>
    </w:p>
    <w:p w14:paraId="50A0182F">
      <w:pPr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bookmarkStart w:id="3" w:name="OLE_LINK8"/>
      <w:r>
        <w:rPr>
          <w:rFonts w:ascii="Times New Roman" w:hAnsi="Times New Roman" w:eastAsia="Verdana" w:cs="Times New Roman"/>
          <w:color w:val="000000"/>
          <w:sz w:val="20"/>
          <w:szCs w:val="20"/>
          <w:shd w:val="clear" w:color="auto" w:fill="FFFFFF"/>
        </w:rPr>
        <w:t>Yingyu Ch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</w:rPr>
        <w:t>e</w:t>
      </w:r>
      <w:r>
        <w:rPr>
          <w:rFonts w:ascii="Times New Roman" w:hAnsi="Times New Roman" w:eastAsia="Verdana" w:cs="Times New Roman"/>
          <w:color w:val="000000"/>
          <w:sz w:val="20"/>
          <w:szCs w:val="20"/>
          <w:shd w:val="clear" w:color="auto" w:fill="FFFFFF"/>
        </w:rPr>
        <w:t>n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ascii="Times New Roman" w:hAnsi="Times New Roman" w:eastAsia="Verdana" w:cs="Times New Roman"/>
          <w:color w:val="000000"/>
          <w:sz w:val="20"/>
          <w:szCs w:val="20"/>
          <w:shd w:val="clear" w:color="auto" w:fill="FFFFFF"/>
        </w:rPr>
        <w:t>Mao Liu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ascii="Times New Roman" w:hAnsi="Times New Roman" w:eastAsia="Verdana" w:cs="Times New Roman"/>
          <w:color w:val="000000"/>
          <w:sz w:val="20"/>
          <w:szCs w:val="20"/>
          <w:shd w:val="clear" w:color="auto" w:fill="FFFFFF"/>
        </w:rPr>
        <w:t>Fan Yang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</w:rPr>
        <w:t>, Yi Lu,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eastAsia="Verdana" w:cs="Times New Roman"/>
          <w:color w:val="000000"/>
          <w:sz w:val="20"/>
          <w:szCs w:val="20"/>
          <w:shd w:val="clear" w:color="auto" w:fill="FFFFFF"/>
        </w:rPr>
        <w:t>Di Jiang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ascii="Times New Roman" w:hAnsi="Times New Roman" w:eastAsia="Verdana" w:cs="Times New Roman"/>
          <w:color w:val="000000"/>
          <w:sz w:val="20"/>
          <w:szCs w:val="20"/>
          <w:shd w:val="clear" w:color="auto" w:fill="FFFFFF"/>
        </w:rPr>
        <w:t>Bin Wu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0"/>
          <w:szCs w:val="20"/>
          <w:shd w:val="clear" w:color="auto" w:fill="FFFFFF"/>
        </w:rPr>
        <w:t xml:space="preserve">, and </w:t>
      </w:r>
      <w:r>
        <w:rPr>
          <w:rFonts w:ascii="Times New Roman" w:hAnsi="Times New Roman" w:eastAsia="Verdana" w:cs="Times New Roman"/>
          <w:color w:val="000000"/>
          <w:sz w:val="20"/>
          <w:szCs w:val="20"/>
          <w:shd w:val="clear" w:color="auto" w:fill="FFFFFF"/>
        </w:rPr>
        <w:t>Bin Yan</w:t>
      </w:r>
      <w:bookmarkEnd w:id="3"/>
    </w:p>
    <w:p w14:paraId="44B32754">
      <w:pPr>
        <w:rPr>
          <w:rFonts w:ascii="Times New Roman" w:hAnsi="Times New Roman" w:cs="Times New Roman"/>
          <w:sz w:val="20"/>
          <w:szCs w:val="20"/>
        </w:rPr>
      </w:pPr>
    </w:p>
    <w:p w14:paraId="000C82B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Address correspondence to: Bin Yan, Department of Orthodontics, The Affiliated Stomatological Hospital of Nanjing Medical University, 1 Shanghai St, Gulou District, Nanjing 210029, China; Tel: 86-025-85031982; Fax:86-025-86516414; e-mail: byan@njmu.edu.cn</w:t>
      </w:r>
    </w:p>
    <w:p w14:paraId="3DE0A9C7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55C0CB2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A17B381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Table</w:t>
      </w:r>
    </w:p>
    <w:bookmarkEnd w:id="0"/>
    <w:p w14:paraId="591215A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2DC61D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Note: Table S1–Table</w:t>
      </w:r>
      <w:bookmarkEnd w:id="1"/>
      <w:r>
        <w:rPr>
          <w:rFonts w:ascii="Times New Roman" w:hAnsi="Times New Roman" w:cs="Times New Roman"/>
          <w:sz w:val="20"/>
          <w:szCs w:val="20"/>
        </w:rPr>
        <w:t xml:space="preserve"> S10 presents data on OTM, trabecular parameters, Raman spectroscopy, and nanoindentation, with values expressed as mean ± standard deviation‌.</w:t>
      </w:r>
    </w:p>
    <w:p w14:paraId="6AC58125">
      <w:pPr>
        <w:rPr>
          <w:rFonts w:ascii="Times New Roman" w:hAnsi="Times New Roman" w:cs="Times New Roman"/>
          <w:sz w:val="20"/>
          <w:szCs w:val="20"/>
        </w:rPr>
      </w:pPr>
    </w:p>
    <w:p w14:paraId="6B0598AF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S1. 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>Tukey</w:t>
      </w:r>
      <w:r>
        <w:rPr>
          <w:rFonts w:hint="default" w:ascii="Times New Roman" w:hAnsi="Times New Roman" w:eastAsia="等线" w:cs="Times New Roman"/>
          <w:sz w:val="20"/>
          <w:szCs w:val="20"/>
          <w:lang w:val="en-US" w:eastAsia="zh-CN" w:bidi="ar"/>
        </w:rPr>
        <w:t>’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>s post hoc test</w:t>
      </w:r>
      <w:r>
        <w:rPr>
          <w:rFonts w:ascii="Times New Roman" w:hAnsi="Times New Roman" w:cs="Times New Roman"/>
          <w:sz w:val="20"/>
          <w:szCs w:val="20"/>
        </w:rPr>
        <w:t xml:space="preserve"> results (p values) for OTM distance in different MOPs groups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12F88E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</w:tcBorders>
            <w:vAlign w:val="center"/>
          </w:tcPr>
          <w:p w14:paraId="50BF685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‌Intergroup comparisons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A1281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Time points</w:t>
            </w:r>
          </w:p>
        </w:tc>
      </w:tr>
      <w:tr w14:paraId="599E8F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continue"/>
            <w:tcBorders>
              <w:bottom w:val="single" w:color="auto" w:sz="8" w:space="0"/>
            </w:tcBorders>
          </w:tcPr>
          <w:p w14:paraId="6489DCD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17E992E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76B4576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7F89841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</w:tc>
      </w:tr>
      <w:tr w14:paraId="05ABC3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</w:tcBorders>
            <w:vAlign w:val="center"/>
          </w:tcPr>
          <w:p w14:paraId="32F6CD0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OTM vs 2MOP</w:t>
            </w:r>
          </w:p>
        </w:tc>
        <w:tc>
          <w:tcPr>
            <w:tcW w:w="2074" w:type="dxa"/>
            <w:tcBorders>
              <w:top w:val="single" w:color="auto" w:sz="8" w:space="0"/>
            </w:tcBorders>
            <w:vAlign w:val="center"/>
          </w:tcPr>
          <w:p w14:paraId="41252C9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0.5480</w:t>
            </w:r>
          </w:p>
        </w:tc>
        <w:tc>
          <w:tcPr>
            <w:tcW w:w="2074" w:type="dxa"/>
            <w:tcBorders>
              <w:top w:val="single" w:color="auto" w:sz="8" w:space="0"/>
            </w:tcBorders>
            <w:vAlign w:val="center"/>
          </w:tcPr>
          <w:p w14:paraId="4A2D420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0.0889</w:t>
            </w:r>
          </w:p>
        </w:tc>
        <w:tc>
          <w:tcPr>
            <w:tcW w:w="2074" w:type="dxa"/>
            <w:tcBorders>
              <w:top w:val="single" w:color="auto" w:sz="8" w:space="0"/>
            </w:tcBorders>
            <w:vAlign w:val="center"/>
          </w:tcPr>
          <w:p w14:paraId="454BBD5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</w:tr>
      <w:tr w14:paraId="476619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Align w:val="center"/>
          </w:tcPr>
          <w:p w14:paraId="2986E36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OTM vs 3MOP</w:t>
            </w:r>
          </w:p>
        </w:tc>
        <w:tc>
          <w:tcPr>
            <w:tcW w:w="2074" w:type="dxa"/>
            <w:vAlign w:val="center"/>
          </w:tcPr>
          <w:p w14:paraId="36CE1379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2074" w:type="dxa"/>
            <w:vAlign w:val="center"/>
          </w:tcPr>
          <w:p w14:paraId="1ACDDFE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0.0029</w:t>
            </w:r>
          </w:p>
        </w:tc>
        <w:tc>
          <w:tcPr>
            <w:tcW w:w="2074" w:type="dxa"/>
            <w:vAlign w:val="center"/>
          </w:tcPr>
          <w:p w14:paraId="671262D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0.0010</w:t>
            </w:r>
          </w:p>
        </w:tc>
      </w:tr>
      <w:tr w14:paraId="386D64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Align w:val="center"/>
          </w:tcPr>
          <w:p w14:paraId="32E5D1A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OTM vs 4MOP</w:t>
            </w:r>
          </w:p>
        </w:tc>
        <w:tc>
          <w:tcPr>
            <w:tcW w:w="2074" w:type="dxa"/>
            <w:vAlign w:val="center"/>
          </w:tcPr>
          <w:p w14:paraId="35A9BB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  <w:tc>
          <w:tcPr>
            <w:tcW w:w="2074" w:type="dxa"/>
            <w:vAlign w:val="center"/>
          </w:tcPr>
          <w:p w14:paraId="4B988A8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0.0033</w:t>
            </w:r>
          </w:p>
        </w:tc>
        <w:tc>
          <w:tcPr>
            <w:tcW w:w="2074" w:type="dxa"/>
            <w:vAlign w:val="center"/>
          </w:tcPr>
          <w:p w14:paraId="3606A82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0.0010</w:t>
            </w:r>
          </w:p>
        </w:tc>
      </w:tr>
      <w:tr w14:paraId="051F1E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Align w:val="center"/>
          </w:tcPr>
          <w:p w14:paraId="57A7849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2MOP vs 3MOP</w:t>
            </w:r>
          </w:p>
        </w:tc>
        <w:tc>
          <w:tcPr>
            <w:tcW w:w="2074" w:type="dxa"/>
            <w:vAlign w:val="center"/>
          </w:tcPr>
          <w:p w14:paraId="50970BB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  <w:tc>
          <w:tcPr>
            <w:tcW w:w="2074" w:type="dxa"/>
            <w:vAlign w:val="center"/>
          </w:tcPr>
          <w:p w14:paraId="4DAA654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0.0233</w:t>
            </w:r>
          </w:p>
        </w:tc>
        <w:tc>
          <w:tcPr>
            <w:tcW w:w="2074" w:type="dxa"/>
            <w:vAlign w:val="center"/>
          </w:tcPr>
          <w:p w14:paraId="1CFBDB7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0.0240</w:t>
            </w:r>
          </w:p>
        </w:tc>
      </w:tr>
      <w:tr w14:paraId="0C880A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Align w:val="center"/>
          </w:tcPr>
          <w:p w14:paraId="15D1A17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2MOP vs 4MOP</w:t>
            </w:r>
          </w:p>
        </w:tc>
        <w:tc>
          <w:tcPr>
            <w:tcW w:w="2074" w:type="dxa"/>
            <w:vAlign w:val="center"/>
          </w:tcPr>
          <w:p w14:paraId="262AF3B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0.0039</w:t>
            </w:r>
          </w:p>
        </w:tc>
        <w:tc>
          <w:tcPr>
            <w:tcW w:w="2074" w:type="dxa"/>
            <w:vAlign w:val="center"/>
          </w:tcPr>
          <w:p w14:paraId="58D3BB5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0.0223</w:t>
            </w:r>
          </w:p>
        </w:tc>
        <w:tc>
          <w:tcPr>
            <w:tcW w:w="2074" w:type="dxa"/>
            <w:vAlign w:val="center"/>
          </w:tcPr>
          <w:p w14:paraId="4DC7FED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0.0549</w:t>
            </w:r>
          </w:p>
        </w:tc>
      </w:tr>
      <w:tr w14:paraId="746960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bottom w:val="single" w:color="auto" w:sz="8" w:space="0"/>
            </w:tcBorders>
            <w:vAlign w:val="center"/>
          </w:tcPr>
          <w:p w14:paraId="5A0C360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3MOP vs 4MOP</w:t>
            </w:r>
          </w:p>
        </w:tc>
        <w:tc>
          <w:tcPr>
            <w:tcW w:w="2074" w:type="dxa"/>
            <w:tcBorders>
              <w:bottom w:val="single" w:color="auto" w:sz="8" w:space="0"/>
            </w:tcBorders>
            <w:vAlign w:val="center"/>
          </w:tcPr>
          <w:p w14:paraId="218264B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0.9856</w:t>
            </w:r>
          </w:p>
        </w:tc>
        <w:tc>
          <w:tcPr>
            <w:tcW w:w="2074" w:type="dxa"/>
            <w:tcBorders>
              <w:bottom w:val="single" w:color="auto" w:sz="8" w:space="0"/>
            </w:tcBorders>
            <w:vAlign w:val="center"/>
          </w:tcPr>
          <w:p w14:paraId="225EB21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0.9955</w:t>
            </w:r>
          </w:p>
        </w:tc>
        <w:tc>
          <w:tcPr>
            <w:tcW w:w="2074" w:type="dxa"/>
            <w:tcBorders>
              <w:bottom w:val="single" w:color="auto" w:sz="8" w:space="0"/>
            </w:tcBorders>
            <w:vAlign w:val="center"/>
          </w:tcPr>
          <w:p w14:paraId="25E2447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0.8020</w:t>
            </w:r>
          </w:p>
        </w:tc>
      </w:tr>
    </w:tbl>
    <w:p w14:paraId="032B8146">
      <w:pPr>
        <w:rPr>
          <w:rFonts w:ascii="Times New Roman" w:hAnsi="Times New Roman" w:cs="Times New Roman"/>
          <w:sz w:val="20"/>
          <w:szCs w:val="20"/>
        </w:rPr>
      </w:pPr>
    </w:p>
    <w:p w14:paraId="0E1B73A0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4" w:name="OLE_LINK65"/>
      <w:bookmarkStart w:id="5" w:name="OLE_LINK98"/>
      <w:r>
        <w:rPr>
          <w:rFonts w:ascii="Times New Roman" w:hAnsi="Times New Roman" w:cs="Times New Roman"/>
          <w:sz w:val="20"/>
          <w:szCs w:val="20"/>
        </w:rPr>
        <w:t>Table S2. The OTM rate (</w:t>
      </w:r>
      <w:bookmarkStart w:id="6" w:name="OLE_LINK77"/>
      <w:r>
        <w:rPr>
          <w:rFonts w:ascii="Times New Roman" w:hAnsi="Times New Roman" w:cs="Times New Roman"/>
          <w:sz w:val="20"/>
          <w:szCs w:val="20"/>
        </w:rPr>
        <w:t>μm</w:t>
      </w:r>
      <w:bookmarkEnd w:id="6"/>
      <w:r>
        <w:rPr>
          <w:rFonts w:ascii="Times New Roman" w:hAnsi="Times New Roman" w:cs="Times New Roman"/>
          <w:sz w:val="20"/>
          <w:szCs w:val="20"/>
        </w:rPr>
        <w:t xml:space="preserve">/day) </w:t>
      </w:r>
      <w:bookmarkStart w:id="7" w:name="OLE_LINK66"/>
      <w:r>
        <w:rPr>
          <w:rFonts w:ascii="Times New Roman" w:hAnsi="Times New Roman" w:cs="Times New Roman"/>
          <w:sz w:val="20"/>
          <w:szCs w:val="20"/>
        </w:rPr>
        <w:t>at each time period in different MOPs groups</w:t>
      </w:r>
      <w:bookmarkEnd w:id="7"/>
    </w:p>
    <w:bookmarkEnd w:id="4"/>
    <w:tbl>
      <w:tblPr>
        <w:tblStyle w:val="3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5CC549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E2F70B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bookmarkStart w:id="8" w:name="OLE_LINK64"/>
            <w:r>
              <w:rPr>
                <w:rFonts w:ascii="Times New Roman" w:hAnsi="Times New Roman" w:eastAsia="MS Gothic" w:cs="Times New Roman"/>
                <w:kern w:val="0"/>
                <w:sz w:val="20"/>
                <w:szCs w:val="20"/>
              </w:rPr>
              <w:t>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roup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D039058">
            <w:pPr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Time p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eriod</w:t>
            </w: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>s</w:t>
            </w:r>
          </w:p>
        </w:tc>
      </w:tr>
      <w:tr w14:paraId="20A124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7A08811">
            <w:pPr>
              <w:widowControl/>
              <w:jc w:val="left"/>
              <w:rPr>
                <w:rFonts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490B73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0-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ED2687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4-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8FD834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8-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 days</w:t>
            </w:r>
          </w:p>
        </w:tc>
      </w:tr>
      <w:tr w14:paraId="2805B2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0F05BC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OTM 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FFE2B2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7.8±2.8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4CA37A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5.7±1.5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CC6F72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8.4±1.7</w:t>
            </w:r>
          </w:p>
        </w:tc>
      </w:tr>
      <w:tr w14:paraId="4D77B4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4E5F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834D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9.7±1.6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EECF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 xml:space="preserve">8.3±1.8 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6DFE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18.3±2.7</w:t>
            </w:r>
          </w:p>
        </w:tc>
      </w:tr>
      <w:tr w14:paraId="01BD0D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A0C1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824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20.3±3.9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8D94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13.8±3.1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4397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27.3±4.9</w:t>
            </w:r>
          </w:p>
        </w:tc>
      </w:tr>
      <w:tr w14:paraId="70E182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CCE0CC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4MOP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7CE24A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21.1±4.5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A605DF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14.2±3.3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E0214B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23.6±4.8</w:t>
            </w:r>
          </w:p>
        </w:tc>
      </w:tr>
      <w:bookmarkEnd w:id="8"/>
    </w:tbl>
    <w:p w14:paraId="165C2AC9">
      <w:pPr>
        <w:rPr>
          <w:rFonts w:ascii="Times New Roman" w:hAnsi="Times New Roman" w:cs="Times New Roman"/>
          <w:sz w:val="20"/>
          <w:szCs w:val="20"/>
        </w:rPr>
      </w:pPr>
    </w:p>
    <w:p w14:paraId="68E21697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9" w:name="OLE_LINK69"/>
      <w:r>
        <w:rPr>
          <w:rFonts w:ascii="Times New Roman" w:hAnsi="Times New Roman" w:cs="Times New Roman"/>
          <w:sz w:val="20"/>
          <w:szCs w:val="20"/>
        </w:rPr>
        <w:t xml:space="preserve">Table S3. The </w:t>
      </w:r>
      <w:bookmarkStart w:id="10" w:name="OLE_LINK71"/>
      <w:r>
        <w:rPr>
          <w:rFonts w:ascii="Times New Roman" w:hAnsi="Times New Roman" w:cs="Times New Roman"/>
          <w:sz w:val="20"/>
          <w:szCs w:val="20"/>
        </w:rPr>
        <w:t>‌alveolar bone</w:t>
      </w:r>
      <w:bookmarkEnd w:id="10"/>
      <w:r>
        <w:rPr>
          <w:rFonts w:ascii="Times New Roman" w:hAnsi="Times New Roman" w:cs="Times New Roman"/>
          <w:sz w:val="20"/>
          <w:szCs w:val="20"/>
        </w:rPr>
        <w:t xml:space="preserve"> BV/TV (%) at each time </w:t>
      </w:r>
      <w:bookmarkStart w:id="11" w:name="OLE_LINK72"/>
      <w:r>
        <w:rPr>
          <w:rFonts w:ascii="Times New Roman" w:hAnsi="Times New Roman" w:cs="Times New Roman"/>
          <w:sz w:val="20"/>
          <w:szCs w:val="20"/>
        </w:rPr>
        <w:t>point</w:t>
      </w:r>
      <w:bookmarkEnd w:id="11"/>
      <w:r>
        <w:rPr>
          <w:rFonts w:ascii="Times New Roman" w:hAnsi="Times New Roman" w:cs="Times New Roman"/>
          <w:sz w:val="20"/>
          <w:szCs w:val="20"/>
        </w:rPr>
        <w:t xml:space="preserve"> in different MOPs groups</w:t>
      </w:r>
    </w:p>
    <w:bookmarkEnd w:id="9"/>
    <w:tbl>
      <w:tblPr>
        <w:tblStyle w:val="3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37A09F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4899A3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bookmarkStart w:id="12" w:name="OLE_LINK68"/>
            <w:r>
              <w:rPr>
                <w:rFonts w:ascii="Times New Roman" w:hAnsi="Times New Roman" w:eastAsia="MS Gothic" w:cs="Times New Roman"/>
                <w:kern w:val="0"/>
                <w:sz w:val="20"/>
                <w:szCs w:val="20"/>
              </w:rPr>
              <w:t>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roup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DECFC86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Time point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s</w:t>
            </w:r>
          </w:p>
        </w:tc>
      </w:tr>
      <w:tr w14:paraId="50D4F2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81DB1B7">
            <w:pPr>
              <w:widowControl/>
              <w:jc w:val="left"/>
              <w:rPr>
                <w:rFonts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63783F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ACE3CF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505F6A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 days</w:t>
            </w:r>
          </w:p>
        </w:tc>
      </w:tr>
      <w:tr w14:paraId="6E6996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46D1C0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OTM 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8D7FC1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76.5±9.5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0EF2B9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71.7±6.5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26817E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70.0±8.9</w:t>
            </w:r>
          </w:p>
        </w:tc>
      </w:tr>
      <w:tr w14:paraId="18F014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D364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75E3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63.3±10.1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62E7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 xml:space="preserve">66.1±4.0 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2DA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66.5±6.5</w:t>
            </w:r>
          </w:p>
        </w:tc>
      </w:tr>
      <w:tr w14:paraId="536314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F1AE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86EE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67.4±6.9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3835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60.2±5.3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257E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79.9±2.9</w:t>
            </w:r>
          </w:p>
        </w:tc>
      </w:tr>
      <w:tr w14:paraId="3EE61B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B23EA8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4MOP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BE9162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69.2±6.4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802EF1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71.0±6.8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39A3B6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78.6±5.2</w:t>
            </w:r>
          </w:p>
        </w:tc>
      </w:tr>
      <w:bookmarkEnd w:id="12"/>
    </w:tbl>
    <w:p w14:paraId="1CCC8185">
      <w:pPr>
        <w:rPr>
          <w:rFonts w:ascii="Times New Roman" w:hAnsi="Times New Roman" w:cs="Times New Roman"/>
          <w:sz w:val="20"/>
          <w:szCs w:val="20"/>
        </w:rPr>
      </w:pPr>
    </w:p>
    <w:p w14:paraId="6C917F2A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13" w:name="OLE_LINK75"/>
      <w:r>
        <w:rPr>
          <w:rFonts w:ascii="Times New Roman" w:hAnsi="Times New Roman" w:cs="Times New Roman"/>
          <w:sz w:val="20"/>
          <w:szCs w:val="20"/>
        </w:rPr>
        <w:t>Table S4. The ‌alveolar bone Po(tot) (%) at each time point in different MOPs groups</w:t>
      </w:r>
    </w:p>
    <w:bookmarkEnd w:id="13"/>
    <w:tbl>
      <w:tblPr>
        <w:tblStyle w:val="3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35E4BE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4C862C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MS Gothic" w:cs="Times New Roman"/>
                <w:kern w:val="0"/>
                <w:sz w:val="20"/>
                <w:szCs w:val="20"/>
              </w:rPr>
              <w:t>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roup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6820ACA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Time point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s</w:t>
            </w:r>
          </w:p>
        </w:tc>
      </w:tr>
      <w:tr w14:paraId="16FF07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36B1E2A">
            <w:pPr>
              <w:widowControl/>
              <w:jc w:val="left"/>
              <w:rPr>
                <w:rFonts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F7109A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E8CF23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034DC9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 days</w:t>
            </w:r>
          </w:p>
        </w:tc>
      </w:tr>
      <w:tr w14:paraId="694BC8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0C5711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OTM 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1909FE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23.5±9.5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4542AC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29.8±7.3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BF8F7E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30.0±8.9</w:t>
            </w:r>
          </w:p>
        </w:tc>
      </w:tr>
      <w:tr w14:paraId="5C066E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A6AD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1F7F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36.7±10.1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2EFE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 xml:space="preserve">33.9±4.0 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B93E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33.5±6.5</w:t>
            </w:r>
          </w:p>
        </w:tc>
      </w:tr>
      <w:tr w14:paraId="3247C5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792E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A8C2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32.6±6.9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F292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38.2±5.4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AA27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20.5±3.6</w:t>
            </w:r>
          </w:p>
        </w:tc>
      </w:tr>
      <w:tr w14:paraId="313E3F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674E0B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4MOP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CDDADA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30.8±6.4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F5C1CC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29.0±6.8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BC9368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22.2±3.9</w:t>
            </w:r>
          </w:p>
        </w:tc>
      </w:tr>
    </w:tbl>
    <w:p w14:paraId="3C0967AD">
      <w:pPr>
        <w:rPr>
          <w:rFonts w:ascii="Times New Roman" w:hAnsi="Times New Roman" w:cs="Times New Roman"/>
          <w:sz w:val="20"/>
          <w:szCs w:val="20"/>
        </w:rPr>
      </w:pPr>
    </w:p>
    <w:p w14:paraId="4FDB2DA4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14" w:name="OLE_LINK79"/>
      <w:r>
        <w:rPr>
          <w:rFonts w:ascii="Times New Roman" w:hAnsi="Times New Roman" w:cs="Times New Roman"/>
          <w:sz w:val="20"/>
          <w:szCs w:val="20"/>
        </w:rPr>
        <w:t>Table S5. The ‌alveolar bone Tb.Sp (</w:t>
      </w:r>
      <w:bookmarkStart w:id="15" w:name="OLE_LINK78"/>
      <w:r>
        <w:rPr>
          <w:rFonts w:ascii="Times New Roman" w:hAnsi="Times New Roman" w:cs="Times New Roman"/>
          <w:sz w:val="20"/>
          <w:szCs w:val="20"/>
        </w:rPr>
        <w:t>μm</w:t>
      </w:r>
      <w:bookmarkEnd w:id="15"/>
      <w:r>
        <w:rPr>
          <w:rFonts w:ascii="Times New Roman" w:hAnsi="Times New Roman" w:cs="Times New Roman"/>
          <w:sz w:val="20"/>
          <w:szCs w:val="20"/>
        </w:rPr>
        <w:t>) at each time point in different MOPs groups</w:t>
      </w:r>
    </w:p>
    <w:tbl>
      <w:tblPr>
        <w:tblStyle w:val="3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263DC9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672C59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MS Gothic" w:cs="Times New Roman"/>
                <w:kern w:val="0"/>
                <w:sz w:val="20"/>
                <w:szCs w:val="20"/>
              </w:rPr>
              <w:t>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roup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1329F8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Time point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s</w:t>
            </w:r>
          </w:p>
        </w:tc>
      </w:tr>
      <w:tr w14:paraId="0B6BEA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B584176">
            <w:pPr>
              <w:widowControl/>
              <w:jc w:val="left"/>
              <w:rPr>
                <w:rFonts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3D417F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AA95A1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DF2171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 days</w:t>
            </w:r>
          </w:p>
        </w:tc>
      </w:tr>
      <w:tr w14:paraId="5DE0AE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61F5FD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OTM 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CAC45E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6.1±1.5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802420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7.1±2.5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9ABC63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5.8±1.2</w:t>
            </w:r>
          </w:p>
        </w:tc>
      </w:tr>
      <w:tr w14:paraId="638B9B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FB7F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1D6C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7.1±1.2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850E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 xml:space="preserve">6.8±1.2 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5716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7.1±2.5</w:t>
            </w:r>
          </w:p>
        </w:tc>
      </w:tr>
      <w:tr w14:paraId="7B97FF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9154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24A9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5.8±1.2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552C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7.8±1.5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4C1B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4.3±1.0</w:t>
            </w:r>
          </w:p>
        </w:tc>
      </w:tr>
      <w:tr w14:paraId="0CEE0D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12F5ED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4MOP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156B21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6.4±1.4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5FA7DC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6.2±2.1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5B85DA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4.3±1.4</w:t>
            </w:r>
          </w:p>
        </w:tc>
      </w:tr>
      <w:bookmarkEnd w:id="14"/>
    </w:tbl>
    <w:p w14:paraId="2395A4B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EDD798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16" w:name="OLE_LINK81"/>
      <w:r>
        <w:rPr>
          <w:rFonts w:ascii="Times New Roman" w:hAnsi="Times New Roman" w:cs="Times New Roman"/>
          <w:sz w:val="20"/>
          <w:szCs w:val="20"/>
        </w:rPr>
        <w:t>Table S6. The ‌alveolar bone Tb.Th (</w:t>
      </w:r>
      <w:bookmarkStart w:id="17" w:name="OLE_LINK91"/>
      <w:r>
        <w:rPr>
          <w:rFonts w:ascii="Times New Roman" w:hAnsi="Times New Roman" w:cs="Times New Roman"/>
          <w:sz w:val="20"/>
          <w:szCs w:val="20"/>
        </w:rPr>
        <w:t>μm</w:t>
      </w:r>
      <w:bookmarkEnd w:id="17"/>
      <w:r>
        <w:rPr>
          <w:rFonts w:ascii="Times New Roman" w:hAnsi="Times New Roman" w:cs="Times New Roman"/>
          <w:sz w:val="20"/>
          <w:szCs w:val="20"/>
        </w:rPr>
        <w:t>) at each time point in different MOPs groups</w:t>
      </w:r>
    </w:p>
    <w:tbl>
      <w:tblPr>
        <w:tblStyle w:val="3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45194E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18C9AA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MS Gothic" w:cs="Times New Roman"/>
                <w:kern w:val="0"/>
                <w:sz w:val="20"/>
                <w:szCs w:val="20"/>
              </w:rPr>
              <w:t>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roup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A157AEB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Time point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s</w:t>
            </w:r>
          </w:p>
        </w:tc>
      </w:tr>
      <w:tr w14:paraId="4D100C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6D544C2">
            <w:pPr>
              <w:widowControl/>
              <w:jc w:val="left"/>
              <w:rPr>
                <w:rFonts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EBBAB1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0A0028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58EA9A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 days</w:t>
            </w:r>
          </w:p>
        </w:tc>
      </w:tr>
      <w:tr w14:paraId="66E07F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BAEA70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OTM 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64BA61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9.5±2.0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F2FB0A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8.8±1.4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3999B1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8.5±1.0</w:t>
            </w:r>
          </w:p>
        </w:tc>
      </w:tr>
      <w:tr w14:paraId="232255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CB57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9C22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8.0±1.4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A806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 xml:space="preserve">8.3±0.9 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BC8C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8.2±1.3</w:t>
            </w:r>
          </w:p>
        </w:tc>
      </w:tr>
      <w:tr w14:paraId="5FB368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06BF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A53D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7.2±0.6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E739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8.2±1.0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5023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7.8±0.5</w:t>
            </w:r>
          </w:p>
        </w:tc>
      </w:tr>
      <w:tr w14:paraId="5DC28B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0CB323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4MOP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E53385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8.7±0.8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9A4FD7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8.0±1.2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99D2C8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7.7±2.1</w:t>
            </w:r>
          </w:p>
        </w:tc>
      </w:tr>
      <w:bookmarkEnd w:id="16"/>
    </w:tbl>
    <w:p w14:paraId="0B7FDB5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30D9DCC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18" w:name="OLE_LINK83"/>
      <w:r>
        <w:rPr>
          <w:rFonts w:ascii="Times New Roman" w:hAnsi="Times New Roman" w:cs="Times New Roman"/>
          <w:sz w:val="20"/>
          <w:szCs w:val="20"/>
        </w:rPr>
        <w:t>Table S7. The mineral-to-matrix ratio at each time point in different MOPs groups</w:t>
      </w:r>
    </w:p>
    <w:tbl>
      <w:tblPr>
        <w:tblStyle w:val="3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0AD368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C6B801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MS Gothic" w:cs="Times New Roman"/>
                <w:kern w:val="0"/>
                <w:sz w:val="20"/>
                <w:szCs w:val="20"/>
              </w:rPr>
              <w:t>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roup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1EACAE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Time point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s</w:t>
            </w:r>
          </w:p>
        </w:tc>
      </w:tr>
      <w:tr w14:paraId="032414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B5AEA6D">
            <w:pPr>
              <w:widowControl/>
              <w:jc w:val="left"/>
              <w:rPr>
                <w:rFonts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9E051F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DB4EF4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14D723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 days</w:t>
            </w:r>
          </w:p>
        </w:tc>
      </w:tr>
      <w:tr w14:paraId="74AE99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A3A297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OTM 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4563E7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6.29 ± 0.42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BA6F92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3.79 ± 0.33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FB02CA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4.35 ± 0.16</w:t>
            </w:r>
          </w:p>
        </w:tc>
      </w:tr>
      <w:tr w14:paraId="320BB3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2B2B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FD93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5.75 ± 0.51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C39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3.31 ± 0.11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75B7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4.78 ± 0.32</w:t>
            </w:r>
          </w:p>
        </w:tc>
      </w:tr>
      <w:tr w14:paraId="4B4CFB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E367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CF22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5.11 ± 0.65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2004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2.99 ± 0.24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2972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5.62 ± 0.23</w:t>
            </w:r>
          </w:p>
        </w:tc>
      </w:tr>
      <w:tr w14:paraId="40BEC8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35ED25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4MOP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7B9296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5.70 ± 0.36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5772D2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3.57 ± 0.35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80C73A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5.02 ± 0.38</w:t>
            </w:r>
          </w:p>
        </w:tc>
      </w:tr>
      <w:bookmarkEnd w:id="18"/>
    </w:tbl>
    <w:p w14:paraId="722784B3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9" w:name="OLE_LINK85"/>
    </w:p>
    <w:p w14:paraId="711AADE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S8. The carbonate substitution index at each time point in different MOPs groups</w:t>
      </w:r>
    </w:p>
    <w:tbl>
      <w:tblPr>
        <w:tblStyle w:val="3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04819C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78E5FE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MS Gothic" w:cs="Times New Roman"/>
                <w:kern w:val="0"/>
                <w:sz w:val="20"/>
                <w:szCs w:val="20"/>
              </w:rPr>
              <w:t>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roup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019A1A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Time point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s</w:t>
            </w:r>
          </w:p>
        </w:tc>
      </w:tr>
      <w:tr w14:paraId="0888B1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B70123C">
            <w:pPr>
              <w:widowControl/>
              <w:jc w:val="left"/>
              <w:rPr>
                <w:rFonts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5788BD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C98D33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DEC2D0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 days</w:t>
            </w:r>
          </w:p>
        </w:tc>
      </w:tr>
      <w:tr w14:paraId="487FD8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F16DEE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OTM 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B72DFF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0.05±0.0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1071E0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0.10±0.0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91728A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0.10±0.0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2</w:t>
            </w:r>
          </w:p>
        </w:tc>
      </w:tr>
      <w:tr w14:paraId="57167C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E547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B124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803E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0.09±0.0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2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BA3C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0.08±0.00</w:t>
            </w:r>
          </w:p>
        </w:tc>
      </w:tr>
      <w:tr w14:paraId="29CDAB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112F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1D30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0.07±0.01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9244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0.08±0.01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0CFB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1</w:t>
            </w:r>
          </w:p>
        </w:tc>
      </w:tr>
      <w:tr w14:paraId="1E1464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22E7A6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4MOP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C1AB34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6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75DBB2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0.08±0.01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1E0F49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0.08±0.0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1</w:t>
            </w:r>
          </w:p>
        </w:tc>
      </w:tr>
      <w:bookmarkEnd w:id="19"/>
    </w:tbl>
    <w:p w14:paraId="0F72AB0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D180E13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20" w:name="OLE_LINK87"/>
      <w:r>
        <w:rPr>
          <w:rFonts w:ascii="Times New Roman" w:hAnsi="Times New Roman" w:cs="Times New Roman"/>
          <w:sz w:val="20"/>
          <w:szCs w:val="20"/>
        </w:rPr>
        <w:t>Table S9. The elastic modulus (Gpa) at each time point in different MOPs groups</w:t>
      </w:r>
    </w:p>
    <w:tbl>
      <w:tblPr>
        <w:tblStyle w:val="3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52343E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EE0C34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MS Gothic" w:cs="Times New Roman"/>
                <w:kern w:val="0"/>
                <w:sz w:val="20"/>
                <w:szCs w:val="20"/>
              </w:rPr>
              <w:t>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roup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FB01C22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Time point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s</w:t>
            </w:r>
          </w:p>
        </w:tc>
      </w:tr>
      <w:tr w14:paraId="65DAF7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93CB883">
            <w:pPr>
              <w:widowControl/>
              <w:jc w:val="left"/>
              <w:rPr>
                <w:rFonts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97F39E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0DC40B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CAC378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 days</w:t>
            </w:r>
          </w:p>
        </w:tc>
      </w:tr>
      <w:tr w14:paraId="1502F3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C59CCA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OTM 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C0DDAB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21.59 ± 1.04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A8D995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18.26 ± 1.32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53FA0A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21.87 ± 0.46</w:t>
            </w:r>
          </w:p>
        </w:tc>
      </w:tr>
      <w:tr w14:paraId="3B29F1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8E32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EC7C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20.16 ± 0.56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1EB4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16.84 ± 0.88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535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21.50 ± 0.39</w:t>
            </w:r>
          </w:p>
        </w:tc>
      </w:tr>
      <w:tr w14:paraId="390A19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09A6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F274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22.14 ± 0.88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360F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18.30 ± 0.55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B626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22.50 ± 1.10</w:t>
            </w:r>
          </w:p>
        </w:tc>
      </w:tr>
      <w:tr w14:paraId="651486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371C9A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4MOP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F51988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20.59 ± 0.53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85662B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18.50 ± 1.37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515EC3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22.93 ± 0.48</w:t>
            </w:r>
          </w:p>
        </w:tc>
      </w:tr>
      <w:bookmarkEnd w:id="20"/>
    </w:tbl>
    <w:p w14:paraId="384237E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F87FBF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S10. The hardness (Gpa) at each time point in different MOPs groups</w:t>
      </w:r>
    </w:p>
    <w:tbl>
      <w:tblPr>
        <w:tblStyle w:val="39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17E4B7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ED95D4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MS Gothic" w:cs="Times New Roman"/>
                <w:kern w:val="0"/>
                <w:sz w:val="20"/>
                <w:szCs w:val="20"/>
              </w:rPr>
              <w:t>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roup </w:t>
            </w:r>
          </w:p>
        </w:tc>
        <w:tc>
          <w:tcPr>
            <w:tcW w:w="62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DD9D34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Time point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s</w:t>
            </w:r>
          </w:p>
        </w:tc>
      </w:tr>
      <w:tr w14:paraId="35826A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C59A021">
            <w:pPr>
              <w:widowControl/>
              <w:jc w:val="left"/>
              <w:rPr>
                <w:rFonts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560D59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EEE3C1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 days</w:t>
            </w:r>
          </w:p>
        </w:tc>
        <w:tc>
          <w:tcPr>
            <w:tcW w:w="207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48460C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 days</w:t>
            </w:r>
          </w:p>
        </w:tc>
      </w:tr>
      <w:tr w14:paraId="4BE75A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73D462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OTM 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4BA59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0.88±0.0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5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BF7621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4</w:t>
            </w:r>
          </w:p>
        </w:tc>
        <w:tc>
          <w:tcPr>
            <w:tcW w:w="207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C7A53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81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7</w:t>
            </w:r>
          </w:p>
        </w:tc>
      </w:tr>
      <w:tr w14:paraId="0CB037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601D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267D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0.89±0.0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71DF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56BA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8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3</w:t>
            </w:r>
          </w:p>
        </w:tc>
      </w:tr>
      <w:tr w14:paraId="52FDB7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E001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3MOP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59A3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6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AFEF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0.73±0.0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2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4E7C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95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7</w:t>
            </w:r>
          </w:p>
        </w:tc>
      </w:tr>
      <w:tr w14:paraId="1A04F6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A62942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4MOP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2DA807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6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±0.0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4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3806A4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08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07A972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0.99</w:t>
            </w:r>
            <w:r>
              <w:rPr>
                <w:rFonts w:ascii="Times New Roman" w:hAnsi="Times New Roman" w:eastAsia="Times New Roman" w:cs="Times New Roman"/>
                <w:spacing w:val="6"/>
                <w:kern w:val="0"/>
                <w:sz w:val="20"/>
                <w:szCs w:val="20"/>
              </w:rPr>
              <w:t>±0.</w:t>
            </w:r>
            <w:r>
              <w:rPr>
                <w:rFonts w:ascii="Times New Roman" w:hAnsi="Times New Roman" w:cs="Times New Roman"/>
                <w:spacing w:val="6"/>
                <w:kern w:val="0"/>
                <w:sz w:val="20"/>
                <w:szCs w:val="20"/>
              </w:rPr>
              <w:t>10</w:t>
            </w:r>
          </w:p>
        </w:tc>
      </w:tr>
      <w:bookmarkEnd w:id="2"/>
      <w:bookmarkEnd w:id="5"/>
    </w:tbl>
    <w:p w14:paraId="4E7D7915">
      <w:pPr>
        <w:rPr>
          <w:rFonts w:hint="eastAsia" w:ascii="Times New Roman" w:hAnsi="Times New Roman" w:cs="Times New Roman"/>
          <w:sz w:val="20"/>
          <w:szCs w:val="20"/>
        </w:rPr>
      </w:pPr>
    </w:p>
    <w:tbl>
      <w:tblPr>
        <w:tblStyle w:val="40"/>
        <w:tblpPr w:leftFromText="180" w:rightFromText="180" w:vertAnchor="text" w:horzAnchor="margin" w:tblpY="162"/>
        <w:tblW w:w="0" w:type="auto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402"/>
        <w:gridCol w:w="851"/>
        <w:gridCol w:w="907"/>
        <w:gridCol w:w="1418"/>
      </w:tblGrid>
      <w:tr w14:paraId="6D5C2D52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9" w:type="dxa"/>
            <w:gridSpan w:val="5"/>
            <w:tcBorders>
              <w:top w:val="nil"/>
              <w:bottom w:val="single" w:color="auto" w:sz="8" w:space="0"/>
            </w:tcBorders>
          </w:tcPr>
          <w:p w14:paraId="605D10D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Table S11.Correlation between mineral-to-matrix ratio and biomechanical properties stratified by experimental group.</w:t>
            </w:r>
          </w:p>
        </w:tc>
      </w:tr>
      <w:tr w14:paraId="53D82CD8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single" w:color="auto" w:sz="8" w:space="0"/>
              <w:bottom w:val="single" w:color="auto" w:sz="8" w:space="0"/>
            </w:tcBorders>
          </w:tcPr>
          <w:p w14:paraId="71D1ADF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Group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8" w:space="0"/>
            </w:tcBorders>
          </w:tcPr>
          <w:p w14:paraId="140CF4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</w:p>
        </w:tc>
        <w:tc>
          <w:tcPr>
            <w:tcW w:w="851" w:type="dxa"/>
            <w:tcBorders>
              <w:top w:val="single" w:color="auto" w:sz="8" w:space="0"/>
              <w:bottom w:val="single" w:color="auto" w:sz="8" w:space="0"/>
            </w:tcBorders>
          </w:tcPr>
          <w:p w14:paraId="5003AC72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07" w:type="dxa"/>
            <w:tcBorders>
              <w:top w:val="single" w:color="auto" w:sz="8" w:space="0"/>
              <w:bottom w:val="single" w:color="auto" w:sz="8" w:space="0"/>
            </w:tcBorders>
          </w:tcPr>
          <w:p w14:paraId="37FB5F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418" w:type="dxa"/>
            <w:tcBorders>
              <w:top w:val="single" w:color="auto" w:sz="8" w:space="0"/>
              <w:bottom w:val="single" w:color="auto" w:sz="8" w:space="0"/>
            </w:tcBorders>
          </w:tcPr>
          <w:p w14:paraId="4AD47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14:paraId="3178C98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single" w:color="auto" w:sz="8" w:space="0"/>
              <w:bottom w:val="nil"/>
            </w:tcBorders>
          </w:tcPr>
          <w:p w14:paraId="273D4E4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OTM</w:t>
            </w:r>
          </w:p>
        </w:tc>
        <w:tc>
          <w:tcPr>
            <w:tcW w:w="3402" w:type="dxa"/>
            <w:tcBorders>
              <w:top w:val="single" w:color="auto" w:sz="8" w:space="0"/>
              <w:bottom w:val="nil"/>
            </w:tcBorders>
          </w:tcPr>
          <w:p w14:paraId="75F1FF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Mineral/Matrix vs. Elastic Modulus</w:t>
            </w:r>
          </w:p>
        </w:tc>
        <w:tc>
          <w:tcPr>
            <w:tcW w:w="851" w:type="dxa"/>
            <w:tcBorders>
              <w:top w:val="single" w:color="auto" w:sz="8" w:space="0"/>
              <w:bottom w:val="nil"/>
            </w:tcBorders>
          </w:tcPr>
          <w:p w14:paraId="5FE379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top w:val="single" w:color="auto" w:sz="8" w:space="0"/>
              <w:bottom w:val="nil"/>
            </w:tcBorders>
          </w:tcPr>
          <w:p w14:paraId="34CAAF81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1418" w:type="dxa"/>
            <w:tcBorders>
              <w:top w:val="single" w:color="auto" w:sz="8" w:space="0"/>
              <w:bottom w:val="nil"/>
            </w:tcBorders>
          </w:tcPr>
          <w:p w14:paraId="62BE16A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0.029</w:t>
            </w:r>
          </w:p>
        </w:tc>
      </w:tr>
      <w:tr w14:paraId="3F45C45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bottom w:val="nil"/>
            </w:tcBorders>
          </w:tcPr>
          <w:p w14:paraId="01D93D3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OTM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060DC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Mineral/Matrix vs. Hardness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AA2F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14:paraId="37E6785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0C922B9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26525E3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bottom w:val="nil"/>
            </w:tcBorders>
          </w:tcPr>
          <w:p w14:paraId="728ADD4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bookmarkStart w:id="21" w:name="_GoBack" w:colFirst="3" w:colLast="3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2MOP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5456F8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Mineral/Matrix vs. Elastic Modulus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779E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14:paraId="0B3A0147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9E662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bookmarkEnd w:id="21"/>
      <w:tr w14:paraId="5642BB7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bottom w:val="nil"/>
            </w:tcBorders>
          </w:tcPr>
          <w:p w14:paraId="40F4A74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2MOP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04C296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Mineral/Matrix vs. Hardness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81F2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14:paraId="1D781959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60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774528C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bottom w:val="nil"/>
            </w:tcBorders>
          </w:tcPr>
          <w:p w14:paraId="591E031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3MOP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6F6A75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Mineral/Matrix vs. Elastic Modulus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2308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14:paraId="7BA27EB4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13773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66158C6A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bottom w:val="nil"/>
            </w:tcBorders>
          </w:tcPr>
          <w:p w14:paraId="333AA56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3MOP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6BE90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Mineral/Matrix vs. Hardness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646E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14:paraId="4810ECE3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8CC06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14:paraId="2D1EEBE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bottom w:val="nil"/>
            </w:tcBorders>
          </w:tcPr>
          <w:p w14:paraId="63B8B4D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4MOP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3FFDAE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Mineral/Matrix vs. Elastic Modulus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2A0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14:paraId="226FCA64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C6BC2D9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4F11A0C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bottom w:val="single" w:color="auto" w:sz="8" w:space="0"/>
            </w:tcBorders>
          </w:tcPr>
          <w:p w14:paraId="164DCEE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4MOP</w:t>
            </w:r>
          </w:p>
        </w:tc>
        <w:tc>
          <w:tcPr>
            <w:tcW w:w="3402" w:type="dxa"/>
            <w:tcBorders>
              <w:top w:val="nil"/>
              <w:bottom w:val="single" w:color="auto" w:sz="8" w:space="0"/>
            </w:tcBorders>
          </w:tcPr>
          <w:p w14:paraId="4207F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Mineral/Matrix vs. Hardness</w:t>
            </w:r>
          </w:p>
        </w:tc>
        <w:tc>
          <w:tcPr>
            <w:tcW w:w="851" w:type="dxa"/>
            <w:tcBorders>
              <w:top w:val="nil"/>
              <w:bottom w:val="single" w:color="auto" w:sz="8" w:space="0"/>
            </w:tcBorders>
          </w:tcPr>
          <w:p w14:paraId="466E5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7" w:type="dxa"/>
            <w:tcBorders>
              <w:top w:val="nil"/>
              <w:bottom w:val="single" w:color="auto" w:sz="8" w:space="0"/>
            </w:tcBorders>
          </w:tcPr>
          <w:p w14:paraId="12A89CF4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nil"/>
              <w:bottom w:val="single" w:color="auto" w:sz="8" w:space="0"/>
            </w:tcBorders>
          </w:tcPr>
          <w:p w14:paraId="5512D8BD">
            <w:pPr>
              <w:keepNext/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52</w:t>
            </w:r>
          </w:p>
        </w:tc>
      </w:tr>
    </w:tbl>
    <w:p w14:paraId="0ADF6D49">
      <w:pPr>
        <w:rPr>
          <w:rFonts w:hint="eastAsia" w:ascii="Times New Roman" w:hAnsi="Times New Roman" w:cs="Times New Roman"/>
          <w:i/>
          <w:iCs/>
          <w:sz w:val="18"/>
          <w:szCs w:val="18"/>
        </w:rPr>
      </w:pPr>
      <w:r>
        <w:rPr>
          <w:rFonts w:hint="eastAsia" w:ascii="Times New Roman" w:hAnsi="Times New Roman" w:cs="Times New Roman"/>
          <w:i/>
          <w:iCs/>
          <w:sz w:val="18"/>
          <w:szCs w:val="18"/>
        </w:rPr>
        <w:t xml:space="preserve">Note: </w:t>
      </w:r>
      <w:r>
        <w:rPr>
          <w:rFonts w:ascii="Times New Roman" w:hAnsi="Times New Roman" w:cs="Times New Roman"/>
          <w:i/>
          <w:iCs/>
          <w:sz w:val="18"/>
          <w:szCs w:val="18"/>
        </w:rPr>
        <w:t>normality of the data was assessed using the Shapiro-Wilk test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 xml:space="preserve">. </w:t>
      </w:r>
      <w:r>
        <w:rPr>
          <w:rFonts w:ascii="Times New Roman" w:hAnsi="Times New Roman" w:cs="Times New Roman"/>
          <w:i/>
          <w:iCs/>
          <w:sz w:val="18"/>
          <w:szCs w:val="18"/>
        </w:rPr>
        <w:t>Pearson correlation analysis was applied for data meeting the normality assumption; otherwise, Spearman rank correlation analysis was used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 xml:space="preserve">; All correlations were statistically significant at p &lt; 0.05; </w:t>
      </w:r>
      <w:r>
        <w:rPr>
          <w:rFonts w:ascii="Times New Roman" w:hAnsi="Times New Roman" w:cs="Times New Roman"/>
          <w:i/>
          <w:iCs/>
          <w:sz w:val="18"/>
          <w:szCs w:val="18"/>
        </w:rPr>
        <w:t>Mineral/Matrix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>:</w:t>
      </w:r>
      <w:r>
        <w:rPr>
          <w:rFonts w:ascii="Segoe UI" w:hAnsi="Segoe UI" w:cs="Segoe UI"/>
          <w:i/>
          <w:iCs/>
          <w:color w:val="0F1115"/>
          <w:sz w:val="20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>mineral-to-matrix ratio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>; r: c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orrelation 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>c</w:t>
      </w:r>
      <w:r>
        <w:rPr>
          <w:rFonts w:ascii="Times New Roman" w:hAnsi="Times New Roman" w:cs="Times New Roman"/>
          <w:i/>
          <w:iCs/>
          <w:sz w:val="18"/>
          <w:szCs w:val="18"/>
        </w:rPr>
        <w:t>oefficient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>.</w:t>
      </w:r>
    </w:p>
    <w:p w14:paraId="446D20CC">
      <w:pPr>
        <w:rPr>
          <w:rFonts w:ascii="Times New Roman" w:hAnsi="Times New Roman" w:cs="Times New Roman"/>
          <w:sz w:val="20"/>
          <w:szCs w:val="20"/>
        </w:rPr>
      </w:pPr>
    </w:p>
    <w:p w14:paraId="162A1AD3">
      <w:pPr>
        <w:rPr>
          <w:rFonts w:ascii="Times New Roman" w:hAnsi="Times New Roman" w:cs="Times New Roman"/>
          <w:sz w:val="20"/>
          <w:szCs w:val="20"/>
        </w:rPr>
      </w:pPr>
    </w:p>
    <w:p w14:paraId="6FE89F8C">
      <w:pPr>
        <w:rPr>
          <w:rFonts w:ascii="Times New Roman" w:hAnsi="Times New Roman" w:cs="Times New Roman"/>
          <w:sz w:val="20"/>
          <w:szCs w:val="20"/>
        </w:rPr>
      </w:pPr>
    </w:p>
    <w:p w14:paraId="44625A00">
      <w:pPr>
        <w:rPr>
          <w:rFonts w:ascii="Times New Roman" w:hAnsi="Times New Roman" w:cs="Times New Roman"/>
          <w:sz w:val="20"/>
          <w:szCs w:val="20"/>
        </w:rPr>
      </w:pPr>
    </w:p>
    <w:p w14:paraId="4914DBA9">
      <w:pPr>
        <w:rPr>
          <w:rFonts w:ascii="Times New Roman" w:hAnsi="Times New Roman" w:cs="Times New Roman"/>
          <w:sz w:val="20"/>
          <w:szCs w:val="20"/>
        </w:rPr>
      </w:pPr>
    </w:p>
    <w:p w14:paraId="4CCE3132">
      <w:pPr>
        <w:rPr>
          <w:rFonts w:ascii="Times New Roman" w:hAnsi="Times New Roman" w:cs="Times New Roman"/>
          <w:sz w:val="20"/>
          <w:szCs w:val="20"/>
        </w:rPr>
      </w:pPr>
    </w:p>
    <w:p w14:paraId="0DC626B6">
      <w:pPr>
        <w:rPr>
          <w:rFonts w:ascii="Times New Roman" w:hAnsi="Times New Roman" w:cs="Times New Roman"/>
          <w:sz w:val="20"/>
          <w:szCs w:val="20"/>
        </w:rPr>
      </w:pPr>
    </w:p>
    <w:p w14:paraId="5C916045">
      <w:pPr>
        <w:rPr>
          <w:rFonts w:ascii="Times New Roman" w:hAnsi="Times New Roman" w:cs="Times New Roman"/>
          <w:sz w:val="20"/>
          <w:szCs w:val="20"/>
        </w:rPr>
      </w:pPr>
    </w:p>
    <w:p w14:paraId="05A3A740">
      <w:pPr>
        <w:rPr>
          <w:rFonts w:ascii="Times New Roman" w:hAnsi="Times New Roman" w:cs="Times New Roman"/>
          <w:sz w:val="20"/>
          <w:szCs w:val="20"/>
        </w:rPr>
      </w:pPr>
    </w:p>
    <w:p w14:paraId="1A62AE1B">
      <w:pPr>
        <w:rPr>
          <w:rFonts w:ascii="Times New Roman" w:hAnsi="Times New Roman" w:cs="Times New Roman"/>
          <w:sz w:val="20"/>
          <w:szCs w:val="20"/>
        </w:rPr>
      </w:pPr>
    </w:p>
    <w:p w14:paraId="50469311">
      <w:pPr>
        <w:jc w:val="left"/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383C84A5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Figure</w:t>
      </w:r>
    </w:p>
    <w:p w14:paraId="4E360D42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83181D1">
      <w:r>
        <w:rPr>
          <w:rFonts w:hint="eastAsia"/>
        </w:rPr>
        <w:drawing>
          <wp:inline distT="0" distB="0" distL="0" distR="0">
            <wp:extent cx="5274310" cy="7717155"/>
            <wp:effectExtent l="0" t="0" r="2540" b="0"/>
            <wp:docPr id="16587234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723456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1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8645C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4EBE476C">
      <w:pPr>
        <w:rPr>
          <w:rFonts w:hint="eastAsia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</w:rPr>
        <w:t>. Correlation between mineral-to-matrix ratio and biomechanical properties.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(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A-D</w:t>
      </w:r>
      <w:r>
        <w:rPr>
          <w:rFonts w:hint="eastAsia" w:ascii="Times New Roman" w:hAnsi="Times New Roman" w:cs="Times New Roman"/>
          <w:sz w:val="20"/>
          <w:szCs w:val="20"/>
        </w:rPr>
        <w:t>) Scatter plots illustrating the correlation between the mineral-to-matrix ratio and elastic modulus. (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E-H</w:t>
      </w:r>
      <w:r>
        <w:rPr>
          <w:rFonts w:hint="eastAsia" w:ascii="Times New Roman" w:hAnsi="Times New Roman" w:cs="Times New Roman"/>
          <w:sz w:val="20"/>
          <w:szCs w:val="20"/>
        </w:rPr>
        <w:t>) Scatter plots illustrating the correlation between the mineral-to-matrix ratio and hardness. (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A-H</w:t>
      </w:r>
      <w:r>
        <w:rPr>
          <w:rFonts w:hint="eastAsia" w:ascii="Times New Roman" w:hAnsi="Times New Roman" w:cs="Times New Roman"/>
          <w:sz w:val="20"/>
          <w:szCs w:val="20"/>
        </w:rPr>
        <w:t>) Data are stratified by experimental group (OTM, 2MOP, 3MOP, 4MOP). Each dot represents an individual sample, with n = 18 per group (combining samples from all three time points).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AF"/>
    <w:rsid w:val="00033DBE"/>
    <w:rsid w:val="00034677"/>
    <w:rsid w:val="00037A04"/>
    <w:rsid w:val="000624D5"/>
    <w:rsid w:val="000B3B29"/>
    <w:rsid w:val="000C6C57"/>
    <w:rsid w:val="000E585E"/>
    <w:rsid w:val="00135B68"/>
    <w:rsid w:val="001A1A32"/>
    <w:rsid w:val="001A6849"/>
    <w:rsid w:val="001B58B6"/>
    <w:rsid w:val="001C13CC"/>
    <w:rsid w:val="001E0362"/>
    <w:rsid w:val="001E6586"/>
    <w:rsid w:val="00217A13"/>
    <w:rsid w:val="00220094"/>
    <w:rsid w:val="00230001"/>
    <w:rsid w:val="00237E92"/>
    <w:rsid w:val="00291A95"/>
    <w:rsid w:val="002B2556"/>
    <w:rsid w:val="002B25D9"/>
    <w:rsid w:val="002B3DED"/>
    <w:rsid w:val="00356EA6"/>
    <w:rsid w:val="00363BE5"/>
    <w:rsid w:val="00383C96"/>
    <w:rsid w:val="003901FE"/>
    <w:rsid w:val="003B202D"/>
    <w:rsid w:val="003E032F"/>
    <w:rsid w:val="00414863"/>
    <w:rsid w:val="004769A0"/>
    <w:rsid w:val="00514C35"/>
    <w:rsid w:val="00537721"/>
    <w:rsid w:val="005720D7"/>
    <w:rsid w:val="005A4EF5"/>
    <w:rsid w:val="005B498F"/>
    <w:rsid w:val="00616D48"/>
    <w:rsid w:val="00624810"/>
    <w:rsid w:val="00624E98"/>
    <w:rsid w:val="006D34AF"/>
    <w:rsid w:val="006E6052"/>
    <w:rsid w:val="00722C96"/>
    <w:rsid w:val="00753017"/>
    <w:rsid w:val="00765492"/>
    <w:rsid w:val="00864360"/>
    <w:rsid w:val="008871E1"/>
    <w:rsid w:val="008C6298"/>
    <w:rsid w:val="008E784A"/>
    <w:rsid w:val="0093049E"/>
    <w:rsid w:val="009367D5"/>
    <w:rsid w:val="00981937"/>
    <w:rsid w:val="00987644"/>
    <w:rsid w:val="00996B7A"/>
    <w:rsid w:val="00A26430"/>
    <w:rsid w:val="00A32C1C"/>
    <w:rsid w:val="00A35DBD"/>
    <w:rsid w:val="00A405D4"/>
    <w:rsid w:val="00A54B50"/>
    <w:rsid w:val="00A62754"/>
    <w:rsid w:val="00A671CA"/>
    <w:rsid w:val="00A75BC7"/>
    <w:rsid w:val="00A82D0F"/>
    <w:rsid w:val="00B117E6"/>
    <w:rsid w:val="00B54D62"/>
    <w:rsid w:val="00B75564"/>
    <w:rsid w:val="00BB56FF"/>
    <w:rsid w:val="00BD0E1E"/>
    <w:rsid w:val="00BD2FAF"/>
    <w:rsid w:val="00C56801"/>
    <w:rsid w:val="00C90194"/>
    <w:rsid w:val="00CC3328"/>
    <w:rsid w:val="00D13AF0"/>
    <w:rsid w:val="00D16754"/>
    <w:rsid w:val="00D24E6F"/>
    <w:rsid w:val="00DD7222"/>
    <w:rsid w:val="00EC2B36"/>
    <w:rsid w:val="00F01886"/>
    <w:rsid w:val="00F10046"/>
    <w:rsid w:val="00F17432"/>
    <w:rsid w:val="00F32EA8"/>
    <w:rsid w:val="00F475A8"/>
    <w:rsid w:val="00F5471E"/>
    <w:rsid w:val="00FA7DDC"/>
    <w:rsid w:val="00FB3579"/>
    <w:rsid w:val="34A821B4"/>
    <w:rsid w:val="5FFC3E13"/>
    <w:rsid w:val="60726698"/>
    <w:rsid w:val="70954606"/>
    <w:rsid w:val="77F4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2"/>
    <w:qFormat/>
    <w:uiPriority w:val="99"/>
    <w:rPr>
      <w:sz w:val="18"/>
      <w:szCs w:val="18"/>
    </w:rPr>
  </w:style>
  <w:style w:type="table" w:customStyle="1" w:styleId="39">
    <w:name w:val="网格型1"/>
    <w:basedOn w:val="16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Plain Table 2"/>
    <w:basedOn w:val="16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744</Words>
  <Characters>3983</Characters>
  <Lines>34</Lines>
  <Paragraphs>9</Paragraphs>
  <TotalTime>408</TotalTime>
  <ScaleCrop>false</ScaleCrop>
  <LinksUpToDate>false</LinksUpToDate>
  <CharactersWithSpaces>4472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2025-10-01T16:18:00Z</dcterms:created>
  <dc:creator>1643711993@qq.com</dc:creator>
  <cp:lastModifiedBy>不才雷某</cp:lastModifiedBy>
  <dcterms:modified xsi:type="dcterms:W3CDTF">2026-04-30T11:15:02Z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eyJoZGlkIjoiYmRkNjJiM2I3Nzg1MWRjYzQ2ODAwMWIzNWI1Yzc0NjciLCJ1c2VySWQiOiI0MDIxNTM5NTIifQ==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ABD10F2ADA7B4E87BD9EF4339C48A812_12</vt:lpwstr>
  </property>
</Properties>
</file>