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E38E0">
      <w:pPr>
        <w:jc w:val="center"/>
        <w:rPr>
          <w:rFonts w:hint="default" w:ascii="Times New Roman Regular" w:hAnsi="Times New Roman Regular" w:eastAsia="宋体" w:cs="Times New Roman Regular"/>
          <w:b/>
          <w:sz w:val="24"/>
          <w:szCs w:val="24"/>
        </w:rPr>
      </w:pPr>
      <w:r>
        <w:rPr>
          <w:rFonts w:hint="default" w:ascii="Times New Roman Regular" w:hAnsi="Times New Roman Regular" w:eastAsia="宋体" w:cs="Times New Roman Regular"/>
          <w:b/>
          <w:sz w:val="24"/>
          <w:szCs w:val="24"/>
        </w:rPr>
        <w:t>Supplementary Material</w:t>
      </w:r>
    </w:p>
    <w:p w14:paraId="23C0582D">
      <w:pPr>
        <w:jc w:val="center"/>
        <w:rPr>
          <w:rFonts w:hint="default" w:ascii="Times New Roman Regular" w:hAnsi="Times New Roman Regular" w:eastAsia="宋体" w:cs="Times New Roman Regular"/>
          <w:b/>
          <w:sz w:val="20"/>
          <w:szCs w:val="20"/>
        </w:rPr>
      </w:pPr>
    </w:p>
    <w:p w14:paraId="5DDAC3E8">
      <w:pPr>
        <w:spacing w:after="160"/>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i/>
          <w:sz w:val="20"/>
          <w:szCs w:val="20"/>
        </w:rPr>
        <w:t>This supplementary material provides detailed post hoc pairwise comparisons and sensitivity analysis supporting the main manuscript.</w:t>
      </w:r>
      <w:r>
        <w:rPr>
          <w:rFonts w:hint="default" w:ascii="Times New Roman Regular" w:hAnsi="Times New Roman Regular" w:eastAsia="宋体" w:cs="Times New Roman Regular"/>
          <w:i/>
          <w:sz w:val="20"/>
          <w:szCs w:val="20"/>
        </w:rPr>
        <w:br w:type="textWrapping"/>
      </w:r>
    </w:p>
    <w:p w14:paraId="71998705">
      <w:pPr>
        <w:spacing w:after="0"/>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Supplementary Table S1. Pairwise comparisons of oral consultation demands across psychiatric disorder subtypes</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6"/>
        <w:gridCol w:w="2376"/>
        <w:gridCol w:w="2376"/>
        <w:gridCol w:w="2376"/>
        <w:gridCol w:w="2376"/>
        <w:gridCol w:w="2376"/>
      </w:tblGrid>
      <w:tr w14:paraId="42C30F23">
        <w:trPr>
          <w:tblHeader/>
          <w:jc w:val="center"/>
        </w:trPr>
        <w:tc>
          <w:tcPr>
            <w:tcW w:w="3024" w:type="dxa"/>
            <w:vAlign w:val="center"/>
          </w:tcPr>
          <w:p w14:paraId="05D1742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Consultation demand</w:t>
            </w:r>
          </w:p>
        </w:tc>
        <w:tc>
          <w:tcPr>
            <w:tcW w:w="2088" w:type="dxa"/>
            <w:vAlign w:val="center"/>
          </w:tcPr>
          <w:p w14:paraId="4B61338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Organic mental disorders</w:t>
            </w:r>
            <w:r>
              <w:rPr>
                <w:rFonts w:hint="default" w:ascii="Times New Roman Regular" w:hAnsi="Times New Roman Regular" w:eastAsia="宋体" w:cs="Times New Roman Regular"/>
                <w:b/>
                <w:sz w:val="20"/>
                <w:szCs w:val="20"/>
              </w:rPr>
              <w:br w:type="textWrapping"/>
            </w:r>
            <w:r>
              <w:rPr>
                <w:rFonts w:hint="default" w:ascii="Times New Roman Regular" w:hAnsi="Times New Roman Regular" w:eastAsia="宋体" w:cs="Times New Roman Regular"/>
                <w:b/>
                <w:sz w:val="20"/>
                <w:szCs w:val="20"/>
              </w:rPr>
              <w:t>(n = 165)</w:t>
            </w:r>
          </w:p>
        </w:tc>
        <w:tc>
          <w:tcPr>
            <w:tcW w:w="1944" w:type="dxa"/>
            <w:vAlign w:val="center"/>
          </w:tcPr>
          <w:p w14:paraId="56CC2CF9">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Schizophrenia</w:t>
            </w:r>
            <w:r>
              <w:rPr>
                <w:rFonts w:hint="default" w:ascii="Times New Roman Regular" w:hAnsi="Times New Roman Regular" w:eastAsia="宋体" w:cs="Times New Roman Regular"/>
                <w:b/>
                <w:sz w:val="20"/>
                <w:szCs w:val="20"/>
              </w:rPr>
              <w:br w:type="textWrapping"/>
            </w:r>
            <w:r>
              <w:rPr>
                <w:rFonts w:hint="default" w:ascii="Times New Roman Regular" w:hAnsi="Times New Roman Regular" w:eastAsia="宋体" w:cs="Times New Roman Regular"/>
                <w:b/>
                <w:sz w:val="20"/>
                <w:szCs w:val="20"/>
              </w:rPr>
              <w:t>(n = 144)</w:t>
            </w:r>
          </w:p>
        </w:tc>
        <w:tc>
          <w:tcPr>
            <w:tcW w:w="1800" w:type="dxa"/>
            <w:vAlign w:val="center"/>
          </w:tcPr>
          <w:p w14:paraId="4C3E9AA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Mood disorders</w:t>
            </w:r>
            <w:r>
              <w:rPr>
                <w:rFonts w:hint="default" w:ascii="Times New Roman Regular" w:hAnsi="Times New Roman Regular" w:eastAsia="宋体" w:cs="Times New Roman Regular"/>
                <w:b/>
                <w:sz w:val="20"/>
                <w:szCs w:val="20"/>
              </w:rPr>
              <w:br w:type="textWrapping"/>
            </w:r>
            <w:r>
              <w:rPr>
                <w:rFonts w:hint="default" w:ascii="Times New Roman Regular" w:hAnsi="Times New Roman Regular" w:eastAsia="宋体" w:cs="Times New Roman Regular"/>
                <w:b/>
                <w:sz w:val="20"/>
                <w:szCs w:val="20"/>
              </w:rPr>
              <w:t>(n = 82)</w:t>
            </w:r>
          </w:p>
        </w:tc>
        <w:tc>
          <w:tcPr>
            <w:tcW w:w="1872" w:type="dxa"/>
            <w:vAlign w:val="center"/>
          </w:tcPr>
          <w:p w14:paraId="47C9C2F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Anxiety disorders</w:t>
            </w:r>
            <w:r>
              <w:rPr>
                <w:rFonts w:hint="default" w:ascii="Times New Roman Regular" w:hAnsi="Times New Roman Regular" w:eastAsia="宋体" w:cs="Times New Roman Regular"/>
                <w:b/>
                <w:sz w:val="20"/>
                <w:szCs w:val="20"/>
              </w:rPr>
              <w:br w:type="textWrapping"/>
            </w:r>
            <w:r>
              <w:rPr>
                <w:rFonts w:hint="default" w:ascii="Times New Roman Regular" w:hAnsi="Times New Roman Regular" w:eastAsia="宋体" w:cs="Times New Roman Regular"/>
                <w:b/>
                <w:sz w:val="20"/>
                <w:szCs w:val="20"/>
              </w:rPr>
              <w:t>(n = 17)</w:t>
            </w:r>
          </w:p>
        </w:tc>
        <w:tc>
          <w:tcPr>
            <w:tcW w:w="1512" w:type="dxa"/>
            <w:vAlign w:val="center"/>
          </w:tcPr>
          <w:p w14:paraId="53F4AF59">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Other</w:t>
            </w:r>
            <w:r>
              <w:rPr>
                <w:rFonts w:hint="default" w:ascii="Times New Roman Regular" w:hAnsi="Times New Roman Regular" w:eastAsia="宋体" w:cs="Times New Roman Regular"/>
                <w:b/>
                <w:sz w:val="20"/>
                <w:szCs w:val="20"/>
              </w:rPr>
              <w:br w:type="textWrapping"/>
            </w:r>
            <w:r>
              <w:rPr>
                <w:rFonts w:hint="default" w:ascii="Times New Roman Regular" w:hAnsi="Times New Roman Regular" w:eastAsia="宋体" w:cs="Times New Roman Regular"/>
                <w:b/>
                <w:sz w:val="20"/>
                <w:szCs w:val="20"/>
              </w:rPr>
              <w:t>(n = 28)</w:t>
            </w:r>
          </w:p>
        </w:tc>
      </w:tr>
      <w:tr w14:paraId="53C67FD4">
        <w:trPr>
          <w:jc w:val="center"/>
        </w:trPr>
        <w:tc>
          <w:tcPr>
            <w:tcW w:w="2376" w:type="dxa"/>
            <w:vAlign w:val="center"/>
          </w:tcPr>
          <w:p w14:paraId="25C12315">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Tooth pain</w:t>
            </w:r>
          </w:p>
        </w:tc>
        <w:tc>
          <w:tcPr>
            <w:tcW w:w="2376" w:type="dxa"/>
            <w:vAlign w:val="center"/>
          </w:tcPr>
          <w:p w14:paraId="1CBA0C6F">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49 (29.70)</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6F8D69D3">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71 (49.31)</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FE424A6">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37 (45.12)</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45DDF263">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14 (82.35)</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2C43ADD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14 (50.00)</w:t>
            </w:r>
            <w:r>
              <w:rPr>
                <w:rFonts w:hint="default" w:ascii="Times New Roman Regular" w:hAnsi="Times New Roman Regular" w:eastAsia="宋体" w:cs="Times New Roman Regular"/>
                <w:b w:val="0"/>
                <w:sz w:val="20"/>
                <w:szCs w:val="20"/>
                <w:vertAlign w:val="superscript"/>
              </w:rPr>
              <w:t>a,b</w:t>
            </w:r>
          </w:p>
        </w:tc>
      </w:tr>
      <w:tr w14:paraId="0DE766A1">
        <w:trPr>
          <w:jc w:val="center"/>
        </w:trPr>
        <w:tc>
          <w:tcPr>
            <w:tcW w:w="2376" w:type="dxa"/>
            <w:vAlign w:val="center"/>
          </w:tcPr>
          <w:p w14:paraId="1341B9D6">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Prosthetic treatment of missing teeth</w:t>
            </w:r>
          </w:p>
        </w:tc>
        <w:tc>
          <w:tcPr>
            <w:tcW w:w="2376" w:type="dxa"/>
            <w:vAlign w:val="center"/>
          </w:tcPr>
          <w:p w14:paraId="657381B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77 (46.67)</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68974582">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35 (24.31)</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5D601D13">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14 (17.07)</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5557308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 (0.00)</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3352D2AC">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 (10.71)</w:t>
            </w:r>
            <w:r>
              <w:rPr>
                <w:rFonts w:hint="default" w:ascii="Times New Roman Regular" w:hAnsi="Times New Roman Regular" w:eastAsia="宋体" w:cs="Times New Roman Regular"/>
                <w:b w:val="0"/>
                <w:sz w:val="20"/>
                <w:szCs w:val="20"/>
                <w:vertAlign w:val="superscript"/>
              </w:rPr>
              <w:t>b</w:t>
            </w:r>
          </w:p>
        </w:tc>
      </w:tr>
      <w:tr w14:paraId="744D7393">
        <w:trPr>
          <w:jc w:val="center"/>
        </w:trPr>
        <w:tc>
          <w:tcPr>
            <w:tcW w:w="2376" w:type="dxa"/>
            <w:vAlign w:val="center"/>
          </w:tcPr>
          <w:p w14:paraId="60372755">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Tooth mobility</w:t>
            </w:r>
          </w:p>
        </w:tc>
        <w:tc>
          <w:tcPr>
            <w:tcW w:w="2376" w:type="dxa"/>
            <w:vAlign w:val="center"/>
          </w:tcPr>
          <w:p w14:paraId="6684F7D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11 (6.67)</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04BFD1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19 (13.19)</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7A9F968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8 (9.76)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9064296">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 (5.88)</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0325C31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 (7.14)</w:t>
            </w:r>
            <w:r>
              <w:rPr>
                <w:rFonts w:hint="default" w:ascii="Times New Roman Regular" w:hAnsi="Times New Roman Regular" w:eastAsia="宋体" w:cs="Times New Roman Regular"/>
                <w:b w:val="0"/>
                <w:sz w:val="20"/>
                <w:szCs w:val="20"/>
                <w:vertAlign w:val="superscript"/>
              </w:rPr>
              <w:t>a</w:t>
            </w:r>
          </w:p>
        </w:tc>
      </w:tr>
      <w:tr w14:paraId="5AA6A194">
        <w:trPr>
          <w:jc w:val="center"/>
        </w:trPr>
        <w:tc>
          <w:tcPr>
            <w:tcW w:w="2376" w:type="dxa"/>
            <w:vAlign w:val="center"/>
          </w:tcPr>
          <w:p w14:paraId="4FF31937">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Oral mucosal discomfort</w:t>
            </w:r>
          </w:p>
        </w:tc>
        <w:tc>
          <w:tcPr>
            <w:tcW w:w="2376" w:type="dxa"/>
            <w:vAlign w:val="center"/>
          </w:tcPr>
          <w:p w14:paraId="0A0CFF63">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14 (8.48)</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3F677878">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8 (5.56)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634BFED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9 (10.98)</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23254268">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 (11.76)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0E0B2B7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 (10.71)</w:t>
            </w:r>
            <w:r>
              <w:rPr>
                <w:rFonts w:hint="default" w:ascii="Times New Roman Regular" w:hAnsi="Times New Roman Regular" w:eastAsia="宋体" w:cs="Times New Roman Regular"/>
                <w:b w:val="0"/>
                <w:sz w:val="20"/>
                <w:szCs w:val="20"/>
                <w:vertAlign w:val="superscript"/>
              </w:rPr>
              <w:t>a</w:t>
            </w:r>
          </w:p>
        </w:tc>
      </w:tr>
      <w:tr w14:paraId="205BE969">
        <w:trPr>
          <w:jc w:val="center"/>
        </w:trPr>
        <w:tc>
          <w:tcPr>
            <w:tcW w:w="2376" w:type="dxa"/>
            <w:vAlign w:val="center"/>
          </w:tcPr>
          <w:p w14:paraId="3123A859">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Tooth defect</w:t>
            </w:r>
          </w:p>
        </w:tc>
        <w:tc>
          <w:tcPr>
            <w:tcW w:w="2376" w:type="dxa"/>
            <w:vAlign w:val="center"/>
          </w:tcPr>
          <w:p w14:paraId="5E70BFC3">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 (2.42)</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72440675">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8 (5.56)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A721D6D">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5 (6.10)</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0AF90AC8">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 (0.00)</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37EBBCE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 (7.14)</w:t>
            </w:r>
            <w:r>
              <w:rPr>
                <w:rFonts w:hint="default" w:ascii="Times New Roman Regular" w:hAnsi="Times New Roman Regular" w:eastAsia="宋体" w:cs="Times New Roman Regular"/>
                <w:b w:val="0"/>
                <w:sz w:val="20"/>
                <w:szCs w:val="20"/>
                <w:vertAlign w:val="superscript"/>
              </w:rPr>
              <w:t>a</w:t>
            </w:r>
          </w:p>
        </w:tc>
      </w:tr>
      <w:tr w14:paraId="46DF623F">
        <w:trPr>
          <w:jc w:val="center"/>
        </w:trPr>
        <w:tc>
          <w:tcPr>
            <w:tcW w:w="2376" w:type="dxa"/>
            <w:vAlign w:val="center"/>
          </w:tcPr>
          <w:p w14:paraId="2607CBAF">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Other</w:t>
            </w:r>
          </w:p>
        </w:tc>
        <w:tc>
          <w:tcPr>
            <w:tcW w:w="2376" w:type="dxa"/>
            <w:vAlign w:val="center"/>
          </w:tcPr>
          <w:p w14:paraId="042C196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 (6.06)</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21214272">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 (2.08)</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4654C4B8">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9 (10.98)</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77CBF7A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 (0.00)</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2CA6DA2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 (14.29)</w:t>
            </w:r>
            <w:r>
              <w:rPr>
                <w:rFonts w:hint="default" w:ascii="Times New Roman Regular" w:hAnsi="Times New Roman Regular" w:eastAsia="宋体" w:cs="Times New Roman Regular"/>
                <w:b w:val="0"/>
                <w:sz w:val="20"/>
                <w:szCs w:val="20"/>
                <w:vertAlign w:val="superscript"/>
              </w:rPr>
              <w:t>a</w:t>
            </w:r>
          </w:p>
        </w:tc>
      </w:tr>
    </w:tbl>
    <w:p w14:paraId="36C7A6DF">
      <w:pPr>
        <w:spacing w:after="60"/>
        <w:rPr>
          <w:rFonts w:hint="default" w:ascii="Times New Roman Regular" w:hAnsi="Times New Roman Regular" w:eastAsia="宋体" w:cs="Times New Roman Regular"/>
          <w:sz w:val="20"/>
          <w:szCs w:val="20"/>
        </w:rPr>
      </w:pPr>
      <w:r>
        <w:rPr>
          <w:rFonts w:hint="default" w:ascii="Times New Roman Regular" w:hAnsi="Times New Roman Regular" w:eastAsia="宋体" w:cs="Times New Roman Regular"/>
          <w:b/>
          <w:sz w:val="20"/>
          <w:szCs w:val="20"/>
        </w:rPr>
        <w:t xml:space="preserve">Table note: </w:t>
      </w:r>
      <w:r>
        <w:rPr>
          <w:rFonts w:hint="default" w:ascii="Times New Roman Regular" w:hAnsi="Times New Roman Regular" w:eastAsia="宋体" w:cs="Times New Roman Regular"/>
          <w:sz w:val="20"/>
          <w:szCs w:val="20"/>
        </w:rPr>
        <w:t>Table note: Data are presented as n (%). Superscript letters indicate the results of post hoc pairwise comparisons using Fisher’s exact test with Bonferroni correction. Within the same row, values sharing at least one common superscript letter are not significantly different (adjusted P &gt; 0.05); values with no common superscript letter are significantly different after Bonferroni correction (adjusted P &lt; 0.05).</w:t>
      </w:r>
      <w:bookmarkStart w:id="0" w:name="_GoBack"/>
      <w:bookmarkEnd w:id="0"/>
    </w:p>
    <w:p w14:paraId="41C2195B">
      <w:pPr>
        <w:spacing w:after="60"/>
        <w:rPr>
          <w:rFonts w:hint="default" w:ascii="Times New Roman Regular" w:hAnsi="Times New Roman Regular" w:eastAsia="宋体" w:cs="Times New Roman Regular"/>
          <w:sz w:val="20"/>
          <w:szCs w:val="20"/>
        </w:rPr>
      </w:pPr>
    </w:p>
    <w:p w14:paraId="612DCCA3">
      <w:pPr>
        <w:spacing w:after="0"/>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Supplementary Table S2. Pairwise comparisons of oral diagnoses across psychiatric disorder subtypes</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6"/>
        <w:gridCol w:w="2376"/>
        <w:gridCol w:w="2376"/>
        <w:gridCol w:w="2376"/>
        <w:gridCol w:w="2376"/>
        <w:gridCol w:w="2376"/>
      </w:tblGrid>
      <w:tr w14:paraId="0391DAF3">
        <w:trPr>
          <w:tblHeader/>
          <w:jc w:val="center"/>
        </w:trPr>
        <w:tc>
          <w:tcPr>
            <w:tcW w:w="3024" w:type="dxa"/>
            <w:vAlign w:val="center"/>
          </w:tcPr>
          <w:p w14:paraId="6A63DF7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Oral diagnosis</w:t>
            </w:r>
          </w:p>
        </w:tc>
        <w:tc>
          <w:tcPr>
            <w:tcW w:w="2088" w:type="dxa"/>
            <w:vAlign w:val="center"/>
          </w:tcPr>
          <w:p w14:paraId="00A16DF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Organic mental disorders</w:t>
            </w:r>
          </w:p>
        </w:tc>
        <w:tc>
          <w:tcPr>
            <w:tcW w:w="1872" w:type="dxa"/>
            <w:vAlign w:val="center"/>
          </w:tcPr>
          <w:p w14:paraId="3E3CA68F">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Schizophrenia</w:t>
            </w:r>
          </w:p>
        </w:tc>
        <w:tc>
          <w:tcPr>
            <w:tcW w:w="1800" w:type="dxa"/>
            <w:vAlign w:val="center"/>
          </w:tcPr>
          <w:p w14:paraId="612FEA0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Mood disorders</w:t>
            </w:r>
          </w:p>
        </w:tc>
        <w:tc>
          <w:tcPr>
            <w:tcW w:w="1872" w:type="dxa"/>
            <w:vAlign w:val="center"/>
          </w:tcPr>
          <w:p w14:paraId="7029A4D1">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Anxiety disorders</w:t>
            </w:r>
          </w:p>
        </w:tc>
        <w:tc>
          <w:tcPr>
            <w:tcW w:w="1512" w:type="dxa"/>
            <w:vAlign w:val="center"/>
          </w:tcPr>
          <w:p w14:paraId="57D9E506">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Other</w:t>
            </w:r>
          </w:p>
        </w:tc>
      </w:tr>
      <w:tr w14:paraId="7654DA86">
        <w:trPr>
          <w:jc w:val="center"/>
        </w:trPr>
        <w:tc>
          <w:tcPr>
            <w:tcW w:w="2376" w:type="dxa"/>
            <w:vAlign w:val="center"/>
          </w:tcPr>
          <w:p w14:paraId="64C456AC">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Tooth loss</w:t>
            </w:r>
          </w:p>
        </w:tc>
        <w:tc>
          <w:tcPr>
            <w:tcW w:w="2376" w:type="dxa"/>
            <w:vAlign w:val="center"/>
          </w:tcPr>
          <w:p w14:paraId="52CB0081">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76 (46.06)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3BF21CF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32 (22.22)</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0235D752">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14 (17.07)</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0B3A1DA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 (0.00)</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0A39889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 (7.14)</w:t>
            </w:r>
            <w:r>
              <w:rPr>
                <w:rFonts w:hint="default" w:ascii="Times New Roman Regular" w:hAnsi="Times New Roman Regular" w:eastAsia="宋体" w:cs="Times New Roman Regular"/>
                <w:b w:val="0"/>
                <w:sz w:val="20"/>
                <w:szCs w:val="20"/>
                <w:vertAlign w:val="superscript"/>
              </w:rPr>
              <w:t>b</w:t>
            </w:r>
          </w:p>
        </w:tc>
      </w:tr>
      <w:tr w14:paraId="08ED769C">
        <w:trPr>
          <w:jc w:val="center"/>
        </w:trPr>
        <w:tc>
          <w:tcPr>
            <w:tcW w:w="2376" w:type="dxa"/>
            <w:vAlign w:val="center"/>
          </w:tcPr>
          <w:p w14:paraId="35829B64">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Residual roots/residual crowns</w:t>
            </w:r>
          </w:p>
        </w:tc>
        <w:tc>
          <w:tcPr>
            <w:tcW w:w="2376" w:type="dxa"/>
            <w:vAlign w:val="center"/>
          </w:tcPr>
          <w:p w14:paraId="2D21C75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21 (12.73)</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48DE9578">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40 (27.78)</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7518F31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15 (18.29)</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34BC40E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 (23.53)</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5D35E18F">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5 (17.86)</w:t>
            </w:r>
            <w:r>
              <w:rPr>
                <w:rFonts w:hint="default" w:ascii="Times New Roman Regular" w:hAnsi="Times New Roman Regular" w:eastAsia="宋体" w:cs="Times New Roman Regular"/>
                <w:b w:val="0"/>
                <w:sz w:val="20"/>
                <w:szCs w:val="20"/>
                <w:vertAlign w:val="superscript"/>
              </w:rPr>
              <w:t>a,b</w:t>
            </w:r>
          </w:p>
        </w:tc>
      </w:tr>
      <w:tr w14:paraId="716D5635">
        <w:trPr>
          <w:jc w:val="center"/>
        </w:trPr>
        <w:tc>
          <w:tcPr>
            <w:tcW w:w="2376" w:type="dxa"/>
            <w:vAlign w:val="center"/>
          </w:tcPr>
          <w:p w14:paraId="31B3A291">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Pulpitis/apical periodontitis</w:t>
            </w:r>
          </w:p>
        </w:tc>
        <w:tc>
          <w:tcPr>
            <w:tcW w:w="2376" w:type="dxa"/>
            <w:vAlign w:val="center"/>
          </w:tcPr>
          <w:p w14:paraId="4097B9F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20 (12.12)</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083053AD">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27 (18.75)</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675FD44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23 (28.05)</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5B49FB5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7 (41.18)</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18A5D90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 (35.71)</w:t>
            </w:r>
            <w:r>
              <w:rPr>
                <w:rFonts w:hint="default" w:ascii="Times New Roman Regular" w:hAnsi="Times New Roman Regular" w:eastAsia="宋体" w:cs="Times New Roman Regular"/>
                <w:b w:val="0"/>
                <w:sz w:val="20"/>
                <w:szCs w:val="20"/>
                <w:vertAlign w:val="superscript"/>
              </w:rPr>
              <w:t>b</w:t>
            </w:r>
          </w:p>
        </w:tc>
      </w:tr>
      <w:tr w14:paraId="4D3AACFC">
        <w:trPr>
          <w:jc w:val="center"/>
        </w:trPr>
        <w:tc>
          <w:tcPr>
            <w:tcW w:w="2376" w:type="dxa"/>
            <w:vAlign w:val="center"/>
          </w:tcPr>
          <w:p w14:paraId="4B8AE0DC">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Periodontal disease</w:t>
            </w:r>
          </w:p>
        </w:tc>
        <w:tc>
          <w:tcPr>
            <w:tcW w:w="2376" w:type="dxa"/>
            <w:vAlign w:val="center"/>
          </w:tcPr>
          <w:p w14:paraId="4FDF4575">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23 (13.94)</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5156795C">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25 (17.36)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47D1E351">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8 (9.76)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32C3135C">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 (23.53)</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26A69BD5">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 (10.71)</w:t>
            </w:r>
            <w:r>
              <w:rPr>
                <w:rFonts w:hint="default" w:ascii="Times New Roman Regular" w:hAnsi="Times New Roman Regular" w:eastAsia="宋体" w:cs="Times New Roman Regular"/>
                <w:b w:val="0"/>
                <w:sz w:val="20"/>
                <w:szCs w:val="20"/>
                <w:vertAlign w:val="superscript"/>
              </w:rPr>
              <w:t>a</w:t>
            </w:r>
          </w:p>
        </w:tc>
      </w:tr>
      <w:tr w14:paraId="38728A84">
        <w:trPr>
          <w:jc w:val="center"/>
        </w:trPr>
        <w:tc>
          <w:tcPr>
            <w:tcW w:w="2376" w:type="dxa"/>
            <w:vAlign w:val="center"/>
          </w:tcPr>
          <w:p w14:paraId="5854DD84">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Oral mucosal disease</w:t>
            </w:r>
          </w:p>
        </w:tc>
        <w:tc>
          <w:tcPr>
            <w:tcW w:w="2376" w:type="dxa"/>
            <w:vAlign w:val="center"/>
          </w:tcPr>
          <w:p w14:paraId="6DF40E68">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 (6.06)</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F1D8283">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6 (4.17)</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01969E9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7 (8.54)</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3939F1BF">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 (5.88)</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05989BB4">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 (7.14)</w:t>
            </w:r>
            <w:r>
              <w:rPr>
                <w:rFonts w:hint="default" w:ascii="Times New Roman Regular" w:hAnsi="Times New Roman Regular" w:eastAsia="宋体" w:cs="Times New Roman Regular"/>
                <w:b w:val="0"/>
                <w:sz w:val="20"/>
                <w:szCs w:val="20"/>
                <w:vertAlign w:val="superscript"/>
              </w:rPr>
              <w:t>a</w:t>
            </w:r>
          </w:p>
        </w:tc>
      </w:tr>
      <w:tr w14:paraId="0201B3EE">
        <w:trPr>
          <w:jc w:val="center"/>
        </w:trPr>
        <w:tc>
          <w:tcPr>
            <w:tcW w:w="2376" w:type="dxa"/>
            <w:vAlign w:val="center"/>
          </w:tcPr>
          <w:p w14:paraId="2E063E50">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Hard tissue defect</w:t>
            </w:r>
          </w:p>
        </w:tc>
        <w:tc>
          <w:tcPr>
            <w:tcW w:w="2376" w:type="dxa"/>
            <w:vAlign w:val="center"/>
          </w:tcPr>
          <w:p w14:paraId="2ED82D42">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 (2.42)</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60AA33F">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11 (7.64)</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3ACA17DC">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6 (7.32)</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1F3CF99">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 (5.88)</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40850145">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2 (7.14)</w:t>
            </w:r>
            <w:r>
              <w:rPr>
                <w:rFonts w:hint="default" w:ascii="Times New Roman Regular" w:hAnsi="Times New Roman Regular" w:eastAsia="宋体" w:cs="Times New Roman Regular"/>
                <w:b w:val="0"/>
                <w:sz w:val="20"/>
                <w:szCs w:val="20"/>
                <w:vertAlign w:val="superscript"/>
              </w:rPr>
              <w:t>a</w:t>
            </w:r>
          </w:p>
        </w:tc>
      </w:tr>
      <w:tr w14:paraId="69C57EE3">
        <w:trPr>
          <w:jc w:val="center"/>
        </w:trPr>
        <w:tc>
          <w:tcPr>
            <w:tcW w:w="2376" w:type="dxa"/>
            <w:vAlign w:val="center"/>
          </w:tcPr>
          <w:p w14:paraId="5D69947F">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Other</w:t>
            </w:r>
          </w:p>
        </w:tc>
        <w:tc>
          <w:tcPr>
            <w:tcW w:w="2376" w:type="dxa"/>
            <w:vAlign w:val="center"/>
          </w:tcPr>
          <w:p w14:paraId="66D76E6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11 (6.67)</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0D517A6D">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 (2.08)</w:t>
            </w:r>
            <w:r>
              <w:rPr>
                <w:rFonts w:hint="default" w:ascii="Times New Roman Regular" w:hAnsi="Times New Roman Regular" w:eastAsia="宋体" w:cs="Times New Roman Regular"/>
                <w:b w:val="0"/>
                <w:sz w:val="20"/>
                <w:szCs w:val="20"/>
                <w:vertAlign w:val="superscript"/>
              </w:rPr>
              <w:t>b</w:t>
            </w:r>
          </w:p>
        </w:tc>
        <w:tc>
          <w:tcPr>
            <w:tcW w:w="2376" w:type="dxa"/>
            <w:vAlign w:val="center"/>
          </w:tcPr>
          <w:p w14:paraId="0E507EC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9 (10.98)</w:t>
            </w:r>
            <w:r>
              <w:rPr>
                <w:rFonts w:hint="default" w:ascii="Times New Roman Regular" w:hAnsi="Times New Roman Regular" w:eastAsia="宋体" w:cs="Times New Roman Regular"/>
                <w:b w:val="0"/>
                <w:sz w:val="20"/>
                <w:szCs w:val="20"/>
                <w:vertAlign w:val="superscript"/>
              </w:rPr>
              <w:t>a</w:t>
            </w:r>
          </w:p>
        </w:tc>
        <w:tc>
          <w:tcPr>
            <w:tcW w:w="2376" w:type="dxa"/>
            <w:vAlign w:val="center"/>
          </w:tcPr>
          <w:p w14:paraId="13992A3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 (0.00)</w:t>
            </w:r>
            <w:r>
              <w:rPr>
                <w:rFonts w:hint="default" w:ascii="Times New Roman Regular" w:hAnsi="Times New Roman Regular" w:eastAsia="宋体" w:cs="Times New Roman Regular"/>
                <w:b w:val="0"/>
                <w:sz w:val="20"/>
                <w:szCs w:val="20"/>
                <w:vertAlign w:val="superscript"/>
              </w:rPr>
              <w:t>a,b</w:t>
            </w:r>
          </w:p>
        </w:tc>
        <w:tc>
          <w:tcPr>
            <w:tcW w:w="2376" w:type="dxa"/>
            <w:vAlign w:val="center"/>
          </w:tcPr>
          <w:p w14:paraId="4DDB10A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4 (14.29)</w:t>
            </w:r>
            <w:r>
              <w:rPr>
                <w:rFonts w:hint="default" w:ascii="Times New Roman Regular" w:hAnsi="Times New Roman Regular" w:eastAsia="宋体" w:cs="Times New Roman Regular"/>
                <w:b w:val="0"/>
                <w:sz w:val="20"/>
                <w:szCs w:val="20"/>
                <w:vertAlign w:val="superscript"/>
              </w:rPr>
              <w:t>a</w:t>
            </w:r>
          </w:p>
        </w:tc>
      </w:tr>
    </w:tbl>
    <w:p w14:paraId="7E4AA470">
      <w:pPr>
        <w:spacing w:after="60"/>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 xml:space="preserve">Table note: </w:t>
      </w:r>
      <w:r>
        <w:rPr>
          <w:rFonts w:hint="default" w:ascii="Times New Roman Regular" w:hAnsi="Times New Roman Regular" w:eastAsia="宋体" w:cs="Times New Roman Regular"/>
          <w:sz w:val="20"/>
          <w:szCs w:val="20"/>
        </w:rPr>
        <w:t>Table note: Data are presented as n (%). Superscript letters indicate the results of post hoc pairwise comparisons using Fisher’s exact test with Bonferroni correction. Within the same row, values sharing at least one common superscript letter are not significantly different (adjusted P &gt; 0.05); values with no common superscript letter are significantly different after Bonferroni correction (adjusted P &lt; 0.05).</w:t>
      </w:r>
    </w:p>
    <w:p w14:paraId="148B7CFD">
      <w:pPr>
        <w:spacing w:after="0"/>
        <w:rPr>
          <w:rFonts w:hint="default" w:ascii="Times New Roman Regular" w:hAnsi="Times New Roman Regular" w:eastAsia="宋体" w:cs="Times New Roman Regular"/>
          <w:b/>
          <w:sz w:val="20"/>
          <w:szCs w:val="20"/>
        </w:rPr>
      </w:pPr>
    </w:p>
    <w:p w14:paraId="581686B6">
      <w:pPr>
        <w:spacing w:after="0"/>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Supplementary Table S3. Sensitivity analysis of organic mental disorders and consultation demand for prosthetic treatment of missing teeth using age as a continuous variable</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1"/>
        <w:gridCol w:w="2851"/>
        <w:gridCol w:w="2851"/>
        <w:gridCol w:w="2851"/>
        <w:gridCol w:w="2851"/>
      </w:tblGrid>
      <w:tr w14:paraId="08BB6C0F">
        <w:trPr>
          <w:tblHeader/>
          <w:jc w:val="center"/>
        </w:trPr>
        <w:tc>
          <w:tcPr>
            <w:tcW w:w="3024" w:type="dxa"/>
            <w:vAlign w:val="center"/>
          </w:tcPr>
          <w:p w14:paraId="19BF703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Variable</w:t>
            </w:r>
          </w:p>
        </w:tc>
        <w:tc>
          <w:tcPr>
            <w:tcW w:w="2592" w:type="dxa"/>
            <w:vAlign w:val="center"/>
          </w:tcPr>
          <w:p w14:paraId="073F788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Univariable OR (95% CI)</w:t>
            </w:r>
          </w:p>
        </w:tc>
        <w:tc>
          <w:tcPr>
            <w:tcW w:w="1296" w:type="dxa"/>
            <w:vAlign w:val="center"/>
          </w:tcPr>
          <w:p w14:paraId="270D80AF">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P value</w:t>
            </w:r>
          </w:p>
        </w:tc>
        <w:tc>
          <w:tcPr>
            <w:tcW w:w="2736" w:type="dxa"/>
            <w:vAlign w:val="center"/>
          </w:tcPr>
          <w:p w14:paraId="380A13B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Multivariable OR (95% CI)</w:t>
            </w:r>
          </w:p>
        </w:tc>
        <w:tc>
          <w:tcPr>
            <w:tcW w:w="1296" w:type="dxa"/>
            <w:vAlign w:val="center"/>
          </w:tcPr>
          <w:p w14:paraId="5091EEBD">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sz w:val="20"/>
                <w:szCs w:val="20"/>
              </w:rPr>
              <w:t>P value</w:t>
            </w:r>
          </w:p>
        </w:tc>
      </w:tr>
      <w:tr w14:paraId="37F6B5B0">
        <w:trPr>
          <w:jc w:val="center"/>
        </w:trPr>
        <w:tc>
          <w:tcPr>
            <w:tcW w:w="2851" w:type="dxa"/>
            <w:vAlign w:val="center"/>
          </w:tcPr>
          <w:p w14:paraId="1A822D69">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Organic mental disorders</w:t>
            </w:r>
          </w:p>
        </w:tc>
        <w:tc>
          <w:tcPr>
            <w:tcW w:w="2851" w:type="dxa"/>
            <w:vAlign w:val="center"/>
          </w:tcPr>
          <w:p w14:paraId="69DAC277">
            <w:pPr>
              <w:jc w:val="center"/>
              <w:rPr>
                <w:rFonts w:hint="default" w:ascii="Times New Roman Regular" w:hAnsi="Times New Roman Regular" w:cs="Times New Roman Regular"/>
                <w:sz w:val="20"/>
                <w:szCs w:val="20"/>
              </w:rPr>
            </w:pPr>
          </w:p>
        </w:tc>
        <w:tc>
          <w:tcPr>
            <w:tcW w:w="2851" w:type="dxa"/>
            <w:vAlign w:val="center"/>
          </w:tcPr>
          <w:p w14:paraId="73C5ABF4">
            <w:pPr>
              <w:jc w:val="center"/>
              <w:rPr>
                <w:rFonts w:hint="default" w:ascii="Times New Roman Regular" w:hAnsi="Times New Roman Regular" w:cs="Times New Roman Regular"/>
                <w:sz w:val="20"/>
                <w:szCs w:val="20"/>
              </w:rPr>
            </w:pPr>
          </w:p>
        </w:tc>
        <w:tc>
          <w:tcPr>
            <w:tcW w:w="2851" w:type="dxa"/>
            <w:vAlign w:val="center"/>
          </w:tcPr>
          <w:p w14:paraId="61BED5D3">
            <w:pPr>
              <w:jc w:val="center"/>
              <w:rPr>
                <w:rFonts w:hint="default" w:ascii="Times New Roman Regular" w:hAnsi="Times New Roman Regular" w:cs="Times New Roman Regular"/>
                <w:sz w:val="20"/>
                <w:szCs w:val="20"/>
              </w:rPr>
            </w:pPr>
          </w:p>
        </w:tc>
        <w:tc>
          <w:tcPr>
            <w:tcW w:w="2851" w:type="dxa"/>
            <w:vAlign w:val="center"/>
          </w:tcPr>
          <w:p w14:paraId="39737263">
            <w:pPr>
              <w:jc w:val="center"/>
              <w:rPr>
                <w:rFonts w:hint="default" w:ascii="Times New Roman Regular" w:hAnsi="Times New Roman Regular" w:cs="Times New Roman Regular"/>
                <w:sz w:val="20"/>
                <w:szCs w:val="20"/>
              </w:rPr>
            </w:pPr>
          </w:p>
        </w:tc>
      </w:tr>
      <w:tr w14:paraId="5C8C4A04">
        <w:trPr>
          <w:jc w:val="center"/>
        </w:trPr>
        <w:tc>
          <w:tcPr>
            <w:tcW w:w="2851" w:type="dxa"/>
            <w:vAlign w:val="center"/>
          </w:tcPr>
          <w:p w14:paraId="788E6E8D">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No (reference)</w:t>
            </w:r>
          </w:p>
        </w:tc>
        <w:tc>
          <w:tcPr>
            <w:tcW w:w="2851" w:type="dxa"/>
            <w:vAlign w:val="center"/>
          </w:tcPr>
          <w:p w14:paraId="4FA17F7A">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1.00</w:t>
            </w:r>
          </w:p>
        </w:tc>
        <w:tc>
          <w:tcPr>
            <w:tcW w:w="2851" w:type="dxa"/>
            <w:vAlign w:val="center"/>
          </w:tcPr>
          <w:p w14:paraId="3338AE0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w:t>
            </w:r>
          </w:p>
        </w:tc>
        <w:tc>
          <w:tcPr>
            <w:tcW w:w="2851" w:type="dxa"/>
            <w:vAlign w:val="center"/>
          </w:tcPr>
          <w:p w14:paraId="55AEA39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1.00</w:t>
            </w:r>
          </w:p>
        </w:tc>
        <w:tc>
          <w:tcPr>
            <w:tcW w:w="2851" w:type="dxa"/>
            <w:vAlign w:val="center"/>
          </w:tcPr>
          <w:p w14:paraId="1D377BE7">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w:t>
            </w:r>
          </w:p>
        </w:tc>
      </w:tr>
      <w:tr w14:paraId="6C7A0825">
        <w:trPr>
          <w:jc w:val="center"/>
        </w:trPr>
        <w:tc>
          <w:tcPr>
            <w:tcW w:w="2851" w:type="dxa"/>
            <w:vAlign w:val="center"/>
          </w:tcPr>
          <w:p w14:paraId="2C6B9D97">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Yes</w:t>
            </w:r>
          </w:p>
        </w:tc>
        <w:tc>
          <w:tcPr>
            <w:tcW w:w="2851" w:type="dxa"/>
            <w:vAlign w:val="center"/>
          </w:tcPr>
          <w:p w14:paraId="1C79125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3.69 (2.40–5.67)</w:t>
            </w:r>
          </w:p>
        </w:tc>
        <w:tc>
          <w:tcPr>
            <w:tcW w:w="2851" w:type="dxa"/>
            <w:vAlign w:val="center"/>
          </w:tcPr>
          <w:p w14:paraId="1BF3B2F1">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&lt;0.001</w:t>
            </w:r>
          </w:p>
        </w:tc>
        <w:tc>
          <w:tcPr>
            <w:tcW w:w="2851" w:type="dxa"/>
            <w:vAlign w:val="center"/>
          </w:tcPr>
          <w:p w14:paraId="511DBFD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1.58 (0.88–2.84)</w:t>
            </w:r>
          </w:p>
        </w:tc>
        <w:tc>
          <w:tcPr>
            <w:tcW w:w="2851" w:type="dxa"/>
            <w:vAlign w:val="center"/>
          </w:tcPr>
          <w:p w14:paraId="21750D55">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0.122</w:t>
            </w:r>
          </w:p>
        </w:tc>
      </w:tr>
      <w:tr w14:paraId="561A6DA5">
        <w:trPr>
          <w:jc w:val="center"/>
        </w:trPr>
        <w:tc>
          <w:tcPr>
            <w:tcW w:w="2851" w:type="dxa"/>
            <w:vAlign w:val="center"/>
          </w:tcPr>
          <w:p w14:paraId="77A2E745">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Sex</w:t>
            </w:r>
          </w:p>
        </w:tc>
        <w:tc>
          <w:tcPr>
            <w:tcW w:w="2851" w:type="dxa"/>
            <w:vAlign w:val="center"/>
          </w:tcPr>
          <w:p w14:paraId="6628BF94">
            <w:pPr>
              <w:jc w:val="center"/>
              <w:rPr>
                <w:rFonts w:hint="default" w:ascii="Times New Roman Regular" w:hAnsi="Times New Roman Regular" w:cs="Times New Roman Regular"/>
                <w:sz w:val="20"/>
                <w:szCs w:val="20"/>
              </w:rPr>
            </w:pPr>
          </w:p>
        </w:tc>
        <w:tc>
          <w:tcPr>
            <w:tcW w:w="2851" w:type="dxa"/>
            <w:vAlign w:val="center"/>
          </w:tcPr>
          <w:p w14:paraId="6F8C478B">
            <w:pPr>
              <w:jc w:val="center"/>
              <w:rPr>
                <w:rFonts w:hint="default" w:ascii="Times New Roman Regular" w:hAnsi="Times New Roman Regular" w:cs="Times New Roman Regular"/>
                <w:sz w:val="20"/>
                <w:szCs w:val="20"/>
              </w:rPr>
            </w:pPr>
          </w:p>
        </w:tc>
        <w:tc>
          <w:tcPr>
            <w:tcW w:w="2851" w:type="dxa"/>
            <w:vAlign w:val="center"/>
          </w:tcPr>
          <w:p w14:paraId="5962D726">
            <w:pPr>
              <w:jc w:val="center"/>
              <w:rPr>
                <w:rFonts w:hint="default" w:ascii="Times New Roman Regular" w:hAnsi="Times New Roman Regular" w:cs="Times New Roman Regular"/>
                <w:sz w:val="20"/>
                <w:szCs w:val="20"/>
              </w:rPr>
            </w:pPr>
          </w:p>
        </w:tc>
        <w:tc>
          <w:tcPr>
            <w:tcW w:w="2851" w:type="dxa"/>
            <w:vAlign w:val="center"/>
          </w:tcPr>
          <w:p w14:paraId="56DF193E">
            <w:pPr>
              <w:jc w:val="center"/>
              <w:rPr>
                <w:rFonts w:hint="default" w:ascii="Times New Roman Regular" w:hAnsi="Times New Roman Regular" w:cs="Times New Roman Regular"/>
                <w:sz w:val="20"/>
                <w:szCs w:val="20"/>
              </w:rPr>
            </w:pPr>
          </w:p>
        </w:tc>
      </w:tr>
      <w:tr w14:paraId="39925E5E">
        <w:trPr>
          <w:jc w:val="center"/>
        </w:trPr>
        <w:tc>
          <w:tcPr>
            <w:tcW w:w="2851" w:type="dxa"/>
            <w:vAlign w:val="center"/>
          </w:tcPr>
          <w:p w14:paraId="44039BBC">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Male (reference)</w:t>
            </w:r>
          </w:p>
        </w:tc>
        <w:tc>
          <w:tcPr>
            <w:tcW w:w="2851" w:type="dxa"/>
            <w:vAlign w:val="center"/>
          </w:tcPr>
          <w:p w14:paraId="2F53FEB0">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1.00</w:t>
            </w:r>
          </w:p>
        </w:tc>
        <w:tc>
          <w:tcPr>
            <w:tcW w:w="2851" w:type="dxa"/>
            <w:vAlign w:val="center"/>
          </w:tcPr>
          <w:p w14:paraId="5A4A632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w:t>
            </w:r>
          </w:p>
        </w:tc>
        <w:tc>
          <w:tcPr>
            <w:tcW w:w="2851" w:type="dxa"/>
            <w:vAlign w:val="center"/>
          </w:tcPr>
          <w:p w14:paraId="60ED64F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1.00</w:t>
            </w:r>
          </w:p>
        </w:tc>
        <w:tc>
          <w:tcPr>
            <w:tcW w:w="2851" w:type="dxa"/>
            <w:vAlign w:val="center"/>
          </w:tcPr>
          <w:p w14:paraId="4403ABCB">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w:t>
            </w:r>
          </w:p>
        </w:tc>
      </w:tr>
      <w:tr w14:paraId="79F8B03A">
        <w:trPr>
          <w:jc w:val="center"/>
        </w:trPr>
        <w:tc>
          <w:tcPr>
            <w:tcW w:w="2851" w:type="dxa"/>
            <w:vAlign w:val="center"/>
          </w:tcPr>
          <w:p w14:paraId="324F713C">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Female</w:t>
            </w:r>
          </w:p>
        </w:tc>
        <w:tc>
          <w:tcPr>
            <w:tcW w:w="2851" w:type="dxa"/>
            <w:vAlign w:val="center"/>
          </w:tcPr>
          <w:p w14:paraId="55497D39">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1.29 (0.85–1.97)</w:t>
            </w:r>
          </w:p>
        </w:tc>
        <w:tc>
          <w:tcPr>
            <w:tcW w:w="2851" w:type="dxa"/>
            <w:vAlign w:val="center"/>
          </w:tcPr>
          <w:p w14:paraId="2A6092CD">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0.238</w:t>
            </w:r>
          </w:p>
        </w:tc>
        <w:tc>
          <w:tcPr>
            <w:tcW w:w="2851" w:type="dxa"/>
            <w:vAlign w:val="center"/>
          </w:tcPr>
          <w:p w14:paraId="4030B04C">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0.90 (0.56–1.45)</w:t>
            </w:r>
          </w:p>
        </w:tc>
        <w:tc>
          <w:tcPr>
            <w:tcW w:w="2851" w:type="dxa"/>
            <w:vAlign w:val="center"/>
          </w:tcPr>
          <w:p w14:paraId="15F6F1F1">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0.675</w:t>
            </w:r>
          </w:p>
        </w:tc>
      </w:tr>
      <w:tr w14:paraId="6AF30FE9">
        <w:trPr>
          <w:jc w:val="center"/>
        </w:trPr>
        <w:tc>
          <w:tcPr>
            <w:tcW w:w="2851" w:type="dxa"/>
            <w:vAlign w:val="center"/>
          </w:tcPr>
          <w:p w14:paraId="609182AB">
            <w:pPr>
              <w:jc w:val="left"/>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Age, years</w:t>
            </w:r>
          </w:p>
        </w:tc>
        <w:tc>
          <w:tcPr>
            <w:tcW w:w="2851" w:type="dxa"/>
            <w:vAlign w:val="center"/>
          </w:tcPr>
          <w:p w14:paraId="2D6679FE">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1.05 (1.04–1.07)</w:t>
            </w:r>
          </w:p>
        </w:tc>
        <w:tc>
          <w:tcPr>
            <w:tcW w:w="2851" w:type="dxa"/>
            <w:vAlign w:val="center"/>
          </w:tcPr>
          <w:p w14:paraId="28035602">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&lt;0.001</w:t>
            </w:r>
          </w:p>
        </w:tc>
        <w:tc>
          <w:tcPr>
            <w:tcW w:w="2851" w:type="dxa"/>
            <w:vAlign w:val="center"/>
          </w:tcPr>
          <w:p w14:paraId="2E372276">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1.04 (1.02–1.06)</w:t>
            </w:r>
          </w:p>
        </w:tc>
        <w:tc>
          <w:tcPr>
            <w:tcW w:w="2851" w:type="dxa"/>
            <w:vAlign w:val="center"/>
          </w:tcPr>
          <w:p w14:paraId="0C8E0D81">
            <w:pPr>
              <w:jc w:val="center"/>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b w:val="0"/>
                <w:sz w:val="20"/>
                <w:szCs w:val="20"/>
              </w:rPr>
              <w:t>&lt;0.001</w:t>
            </w:r>
          </w:p>
        </w:tc>
      </w:tr>
    </w:tbl>
    <w:p w14:paraId="5DBE5683">
      <w:pPr>
        <w:spacing w:after="60"/>
        <w:rPr>
          <w:rFonts w:hint="default" w:ascii="Times New Roman Regular" w:hAnsi="Times New Roman Regular" w:eastAsia="宋体" w:cs="Times New Roman Regular"/>
          <w:sz w:val="20"/>
          <w:szCs w:val="20"/>
        </w:rPr>
      </w:pPr>
      <w:r>
        <w:rPr>
          <w:rFonts w:hint="default" w:ascii="Times New Roman Regular" w:hAnsi="Times New Roman Regular" w:eastAsia="宋体" w:cs="Times New Roman Regular"/>
          <w:b/>
          <w:sz w:val="20"/>
          <w:szCs w:val="20"/>
        </w:rPr>
        <w:t xml:space="preserve">Table note: </w:t>
      </w:r>
      <w:r>
        <w:rPr>
          <w:rFonts w:hint="default" w:ascii="Times New Roman Regular" w:hAnsi="Times New Roman Regular" w:eastAsia="宋体" w:cs="Times New Roman Regular"/>
          <w:sz w:val="20"/>
          <w:szCs w:val="20"/>
        </w:rPr>
        <w:t>OR, odds ratio; CI, confidence interval. The multivariable model included organic mental disorders, sex, and age as a continuous variable.</w:t>
      </w:r>
    </w:p>
    <w:sectPr>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7AF1AA8"/>
    <w:rsid w:val="3EEFAEAA"/>
    <w:rsid w:val="7697916B"/>
    <w:rsid w:val="77BFC406"/>
    <w:rsid w:val="79BF6BC0"/>
    <w:rsid w:val="7EFF3725"/>
    <w:rsid w:val="7F5FE4A6"/>
    <w:rsid w:val="ED9E2AB5"/>
    <w:rsid w:val="EFF7F072"/>
    <w:rsid w:val="FF7F5996"/>
    <w:rsid w:val="FFFDEA6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Fang X</cp:lastModifiedBy>
  <dcterms:modified xsi:type="dcterms:W3CDTF">2026-05-15T09:22:12Z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ED1E16D11D9ED58F7E72066AFF8E779E_42</vt:lpwstr>
  </property>
</Properties>
</file>