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707"/>
        <w:gridCol w:w="2061"/>
        <w:gridCol w:w="2598"/>
        <w:gridCol w:w="1993"/>
      </w:tblGrid>
      <w:tr w14:paraId="69441006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88C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Category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ADE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Item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42A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F02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Manuscript Reference (Section/Figure/Table)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81D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Corresponding Content from the Manuscript</w:t>
            </w:r>
          </w:p>
        </w:tc>
      </w:tr>
      <w:tr w14:paraId="61F57F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D8C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Title &amp; Abstract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16F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B06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Indicate the study’s design with a commonly used term in the title or abstract.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544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Title/Abstract Paragraph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47D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Title specifies "Immediate Dental Implants"; abstract explicitly labels the study as a "retrospective cohort study"; keywords include "immediate implant placement, early failure, late failure".</w:t>
            </w:r>
          </w:p>
        </w:tc>
      </w:tr>
      <w:tr w14:paraId="301DE8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426EEF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6BB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0CA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Provide an informative and balanced summary of methods and findings in the abstract.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B93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Abstract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72A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"A total of 1513 implants in 781 patients were analyzed. Regression analysis identified risk factors for early/late failure. Cumulative Survival Rates (CSR) and Kaplan-Meier (K-M) curves showed 10-year survival rates of 92.66% (implant-level) and 88.86% (patient-level)."</w:t>
            </w:r>
          </w:p>
        </w:tc>
      </w:tr>
      <w:tr w14:paraId="2C61FA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C98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Introduction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720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507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Explain the scientific background and rationale for the study.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C43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Introduction Sections 1–3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F99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Immediate implantation offers advantages (shorter treatment time, alveolar bone preservation) but carries early/late failure risks; large-scale data on risk factors for immediate implantation in the Chinese population remains limited.</w:t>
            </w:r>
          </w:p>
        </w:tc>
      </w:tr>
      <w:tr w14:paraId="39F0A9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1292AA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7AE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09E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State specific objectives, including any prespecified hypotheses.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F90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Introduction Section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B4B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Objective: To systematically identify risk factors for early (pre-loading) and late (post-loading) failure of immediate dental implants; no prespecified hypotheses (exploratory analysis).</w:t>
            </w:r>
          </w:p>
        </w:tc>
      </w:tr>
      <w:tr w14:paraId="3390AE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19C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Methods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1EA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DE1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Present key elements of the study design early in the paper.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E9D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C95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Study design: Retrospective cohort study; Study period: January 2013–December 2022 (implant surgery), follow-up until October 31, 2023; Study setting: Department of Implantology, Stomatological Hospital of Xiamen Medical College.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Inclusion criteria were as follows: (1) age ≥ 18 years; (2) received at least one immediate implant placement; (3) at least one implant placed by seven experienced surgeons; (4) in good general health; and (5) had complete clinical and radiographic records for at least one year post-loading or until failure. </w:t>
            </w:r>
          </w:p>
          <w:p w14:paraId="7F588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Exclusion criteria included: (1) uncontrolled diabetes or other systemic contraindications; (2) history of head and neck radiotherapy or bisphosphonate therapy; (3) severe bruxism or parafunctional habits; and (4) incomplete clinical or radiographic data.</w:t>
            </w:r>
          </w:p>
        </w:tc>
      </w:tr>
      <w:tr w14:paraId="4A99C8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543764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9F5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EB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Describe the setting, locations, and relevant dates (recruitment, exposure, follow-up, data collection).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5FA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639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Setting: Tertiary dental hospital implant department; Data sources: Electronic Medical Records (EMR), surgical notes, periapical/panoramic radiographs; Follow-up schedule: 3, 6, 12 months post-surgery, and annual visits thereafter.</w:t>
            </w:r>
          </w:p>
        </w:tc>
      </w:tr>
      <w:tr w14:paraId="7525CB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A01CC0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4E6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F81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Cohort study: Describe eligibility criteria, sources/methods of participant selection, and follow-up methods.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72E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78B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Inclusion criteria: ≥18 years old, ≥1 immediate implant, operated by 7 designated surgeons, good general health, complete follow-up (≥1 year); Exclusion criteria: Uncontrolled diabetes, head/neck radiotherapy, bisphosphonate use, severe bruxism, incomplete records.</w:t>
            </w:r>
          </w:p>
        </w:tc>
      </w:tr>
      <w:tr w14:paraId="223E8A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FDA4A1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B86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B78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Cohort study: For matched studies, report matching criteria and numbers of exposed/unexposed participants.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66F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538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matching design; not applicable.</w:t>
            </w:r>
          </w:p>
        </w:tc>
      </w:tr>
      <w:tr w14:paraId="38BFE3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638D26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A55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99C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Clearly define outcomes, exposures, predictors, confounders, and effect modifiers; provide diagnostic criteria if applicable.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974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Sections 2.1.2 &amp;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EDC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Outcomes: Early failure (implant loss pre-loading), late failure (implant loss post-loading); Predictors: Gender, age, periodontitis history, implant site, bone grafting, maxillary sinus elevation, surgeon experience, healing method, implant diameter/length; Periodontitis diagnosed per AAP Classification (Stage II–IV bone loss).</w:t>
            </w:r>
          </w:p>
        </w:tc>
      </w:tr>
      <w:tr w14:paraId="680E88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6105C0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C90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744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For each variable of interest, report data sources and assessment methods; describe comparability of methods if multiple groups exist.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EC9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422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Data sources: EMR, surgical records, radiographs, telephone follow-up; Assessment: Cross-verification by two independent reviewers; discrepancies resolved via consulting attending physicians; Uniform coding (e.g., age grouped into 3 categories).</w:t>
            </w:r>
          </w:p>
        </w:tc>
      </w:tr>
      <w:tr w14:paraId="4A8C19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4A76A2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A70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2B2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Describe efforts to address potential sources of bias.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712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Sections 2.1.1 &amp;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3AD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Selection bias: Strict inclusion/exclusion criteria; Information bias: Cross-verification of data by two reviewers; Confounding bias: Adjustment via multivariate Cox regression (e.g., age, implant site).</w:t>
            </w:r>
          </w:p>
        </w:tc>
      </w:tr>
      <w:tr w14:paraId="10470D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2A124A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40D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7D3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Explain how the study size was determined.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4BA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2CE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a priori sample size calculation; consecutive eligible cases (1513 implants) over a 10-year period were included, providing sufficient statistical power for multivariate analyses.</w:t>
            </w:r>
          </w:p>
        </w:tc>
      </w:tr>
      <w:tr w14:paraId="6BC1A3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2C77F2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171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7BA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Explain how quantitative variables were handled in analyses; describe grouping rationale if applicable.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555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97C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Quantitative variables: Age (mean±SD, grouped into 18–40, 41–60, &gt;60 years); Implant diameter (≤3.75mm, 4.0–4.5mm, &gt;4.5mm); Grouping based on clinical practice and statistical conventions.</w:t>
            </w:r>
          </w:p>
        </w:tc>
      </w:tr>
      <w:tr w14:paraId="3DF678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699CF2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3DA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7EF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Describe all statistical methods, including those used to control confounding.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F45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908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Descriptive analysis (mean, SD, frequency, percentage); Survival analysis (K-M curves, CSR); Univariate/multivariate Cox proportional hazards regression (backward stepwise selection via Akaike Information Criterion [AIC]); Confounder adjustment in multivariate models.</w:t>
            </w:r>
          </w:p>
        </w:tc>
      </w:tr>
      <w:tr w14:paraId="1A6035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62FCB8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BFB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179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Describe methods used to examine subgroups and interactions.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06A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9EC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subgroup or interaction analyses performed; not applicable.</w:t>
            </w:r>
          </w:p>
        </w:tc>
      </w:tr>
      <w:tr w14:paraId="7958F9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C97CE9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BC8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B01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Explain how missing data were addressed.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1A3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426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Cases with missing key data (e.g., implant specifications, follow-up outcomes) were excluded; no missing data in the final analysis dataset (N=1513 implants).</w:t>
            </w:r>
          </w:p>
        </w:tc>
      </w:tr>
      <w:tr w14:paraId="57BFAF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996BF1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94B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AFF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Cohort study: Explain how loss to follow-up was addressed; describe analytical methods for sampling strategy if applicable.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328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Sections 2.2 &amp;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221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Loss to follow-up: Supplemented via telephone follow-up; Survival time defined as "implant placement to failure date or last follow-up (October 31, 2023)"; Intent-to-treat analysis applied.</w:t>
            </w:r>
          </w:p>
        </w:tc>
      </w:tr>
      <w:tr w14:paraId="25A66A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5D317E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B98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3DB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Describe any sensitivity analyses.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A32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C0E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sensitivity analyses performed; not applicable.</w:t>
            </w:r>
          </w:p>
        </w:tc>
      </w:tr>
      <w:tr w14:paraId="011050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7E3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Results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3D9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0B6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Report numbers of individuals at each study stage (e.g., eligible, included, followed up, analyzed); consider a flow diagram.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F36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3.1/Figure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771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Total cases: 4687 patients (10,831 implants) → Eligible cases: 781 patients (1513 immediate implants) → Analyzed cases: 781 patients (1513 implants: 50 early failures, 36 late failures, 1427 survivals); 详见 Figure 1 (Sample Selection Flowchart).</w:t>
            </w:r>
          </w:p>
        </w:tc>
      </w:tr>
      <w:tr w14:paraId="5FF2B8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169B02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55F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BF7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Give reasons for non-participation at each stage.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32D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DB8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Exclusion reasons: Uncontrolled diabetes, head/neck radiotherapy, bisphosphonate use, severe bruxism, incomplete clinical/radiographic data.</w:t>
            </w:r>
          </w:p>
        </w:tc>
      </w:tr>
      <w:tr w14:paraId="73AC59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320465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F9E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9A0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Consider using a flow diagram.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37F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Figure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5A4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A "Sample Selection Flowchart" is provided, illustrating the progression from total cases to the final analysis dataset.</w:t>
            </w:r>
          </w:p>
        </w:tc>
      </w:tr>
      <w:tr w14:paraId="40E0D9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545F74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E57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6E5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Present characteristics of study participants (demographic, clinical, social) and information on exposures/confounders.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E7D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Table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1DF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Table 1 details implant-level baseline characteristics: Gender (male 53.54%, female 46.46%), age (mean 53.02±14.02 years), implant site (maxillary anterior 25.65%, maxillary posterior 25.44%), bone grafting, maxillary sinus elevation (5.68%), surgeon experience, healing method, implant diameter/length.</w:t>
            </w:r>
          </w:p>
        </w:tc>
      </w:tr>
      <w:tr w14:paraId="5A2184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D6DEA6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C66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A29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Indicate the number of participants with missing data for each variable of interest.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FF1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Table 1/Section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D0D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missing data for any variable of interest (N=1513 implants).</w:t>
            </w:r>
          </w:p>
        </w:tc>
      </w:tr>
      <w:tr w14:paraId="3B56BE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CF7676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1E1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6DB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Cohort study: Summarize follow-up time (e.g., mean, total).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252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A5E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Mean follow-up time: 47.34±34.98 months; Follow-up range: 0–128 months.</w:t>
            </w:r>
          </w:p>
        </w:tc>
      </w:tr>
      <w:tr w14:paraId="3C20EB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EECBD1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FB3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D16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Cohort study: Report numbers of outcome events or summary measures over time.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3ED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Table 2/Section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A76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Outcome events: 50 early failures (3.30%), 36 late failures (2.38%); Table 2 presents CSR at different time points (0, 12, 24…120 months); Figure 4 shows K-M survival curves.</w:t>
            </w:r>
          </w:p>
        </w:tc>
      </w:tr>
      <w:tr w14:paraId="639F22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551187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04C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D21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Report unadjusted and confounder-adjusted effect estimates with precision (e.g., 95% CI); specify confounders adjusted for and their inclusion rationale.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845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Tables 3 &amp;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F1F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Adjusted risk factors for early failure: Male gender (HR=2.48, 95% CI:1.31–4.69), maxillary sinus elevation (HR=2.49, 95% CI:1.05–5.87), maxillary anterior site (HR=3.15, 95% CI:1.29–7.69); Adjusted risk factors for late failure: Simple bone grafting (HR=3.54, 95% CI:1.07–11.74); 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Confounders selected based on clinical relevance and univariate associations.</w:t>
            </w:r>
          </w:p>
          <w:p w14:paraId="2D3D6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Confounding factors included in the early failure model: gender, implant position (maxillary anterior / maxillary posterior vs. mandibular posterior), bone grafting method (simple bone grafting), maxillary sinus elevation, and healing method.</w:t>
            </w:r>
          </w:p>
          <w:p w14:paraId="4A886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Confounding factors included in the late failure model: age, bone grafting method (simple bone grafting), maxillary sinus elevation, and implant diameter.</w:t>
            </w:r>
          </w:p>
          <w:p w14:paraId="3404B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Statistical analysis phase: Controlling associative confounding through stratified screening and multivariate models:</w:t>
            </w:r>
          </w:p>
          <w:p w14:paraId="13C0F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Univariate Cox regression to screen for potential confounding factors;</w:t>
            </w:r>
          </w:p>
          <w:p w14:paraId="5A63F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Multivariate Cox regression to adjust for core confounding factors;</w:t>
            </w:r>
          </w:p>
          <w:p w14:paraId="0D64D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Backward stepwise regression to optimize the model (based on the Akaike Information Criterion, AIC);</w:t>
            </w:r>
          </w:p>
          <w:p w14:paraId="5A28C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Kaplan-Meier survival curves with log-rank test and stratified analysis of Cumulative Survival Rates (CSR) to indirectly verify the effectiveness of confounding control.</w:t>
            </w:r>
          </w:p>
        </w:tc>
      </w:tr>
      <w:tr w14:paraId="7AEB6C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A14F5F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89D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0A7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Report category boundaries when continuous variables are categorized.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D91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Section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E44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 xml:space="preserve">Age: 18–40, 41–60, &gt;60 years; Implant diameter: ≤3.75mm, 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FF0000"/>
                <w:spacing w:val="0"/>
                <w:kern w:val="0"/>
                <w:sz w:val="16"/>
                <w:szCs w:val="16"/>
                <w:lang w:val="en-US" w:eastAsia="zh-CN" w:bidi="ar"/>
              </w:rPr>
              <w:t>3.75-4.0mm，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4.0–4.5mm, &gt;4.5mm; Implan</w:t>
            </w:r>
            <w:bookmarkStart w:id="0" w:name="_GoBack"/>
            <w:bookmarkEnd w:id="0"/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t length: ≤10mm, &gt;10mm; Boundaries based on clinical standards and analytical conventions.</w:t>
            </w:r>
          </w:p>
        </w:tc>
      </w:tr>
      <w:tr w14:paraId="33672C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26ECF1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E96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E41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If relevant, translate relative risk estimates into absolute risk for a meaningful time period.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3DD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5C6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Not performed; not applicable.</w:t>
            </w:r>
          </w:p>
        </w:tc>
      </w:tr>
      <w:tr w14:paraId="4ACD19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7F8075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9EE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487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Report other analyses (e.g., subgroup, interaction, sensitivity analyses).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303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6CD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No such analyses performed; not applicable.</w:t>
            </w:r>
          </w:p>
        </w:tc>
      </w:tr>
      <w:tr w14:paraId="137B12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D0D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Discussion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6B2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4B9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Summarize key results with reference to study objectives.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772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Discussion Paragraph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559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10-year survival rates of immediate implants in Chinese patients are comparable to international cohorts; Early failure is associated with gender, implant site, and maxillary sinus elevation; Late failure is linked to bone grafting and implant diameter; Non-submerged healing reduces early failure risk.</w:t>
            </w:r>
          </w:p>
        </w:tc>
      </w:tr>
      <w:tr w14:paraId="125F82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CC4C8E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4EE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C3C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 study limitations, including potential bias/imprecision; address direction and magnitude of bias.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37D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Discussion Last Paragraph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648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Limitations: Retrospective design (selection bias), unmeasured confounders (smoking, oral hygiene, not recorded in EMR), limited generalizability (Chinese population only), no assessment of secondary outcomes (e.g., aesthetic outcomes).</w:t>
            </w:r>
          </w:p>
        </w:tc>
      </w:tr>
      <w:tr w14:paraId="509D2F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1BEC3E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76D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7EC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Provide a cautious overall interpretation considering objectives, limitations, multiplicity of analyses, similar studies, and other evidence.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C6D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Discussion Paragraphs 2–6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DD9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Results align with international studies (e.g., higher failure risk in males) and reveal population-specific findings; Immediate implantation is feasible but requires personalized planning based on patient characteristics, anatomy, surgical techniques, and implant specifications.</w:t>
            </w:r>
          </w:p>
        </w:tc>
      </w:tr>
      <w:tr w14:paraId="3D303D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C5BFEF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168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5A7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 generalizability (external validity) of results.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929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Discussion Last Paragraph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272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Generalizability: Applicable to Chinese patients undergoing immediate implantation in similar settings (tertiary dental hospitals, experienced surgeons); Not applicable to excluded groups (uncontrolled systemic disease, radiotherapy history).</w:t>
            </w:r>
          </w:p>
        </w:tc>
      </w:tr>
      <w:tr w14:paraId="40808F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C1D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Other Information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EBD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86C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Report funding sources and the role of funders; if applicable, funders of the original study.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0BB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Acknowledgments/Declarations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4AF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Funding sources: Scientific Research Cultivation Fund of Stomatological Hospital of Xiamen Medical College (2023XKCX00030), Basic Research Training Program of Xiamen Medical College (K2023-22); Funders had no role in study design, data collection, analysis, manuscript writing, or publication decisions.</w:t>
            </w:r>
          </w:p>
        </w:tc>
      </w:tr>
    </w:tbl>
    <w:p w14:paraId="0FE1AD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82EFF"/>
    <w:rsid w:val="3DEE5E30"/>
    <w:rsid w:val="4BA46052"/>
    <w:rsid w:val="4C28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1332</Words>
  <Characters>9005</Characters>
  <Lines>0</Lines>
  <Paragraphs>0</Paragraphs>
  <TotalTime>7</TotalTime>
  <ScaleCrop>false</ScaleCrop>
  <LinksUpToDate>false</LinksUpToDate>
  <CharactersWithSpaces>10189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2025-11-13T17:42:00Z</dcterms:created>
  <dc:creator>yangyiyun</dc:creator>
  <cp:lastModifiedBy>yangyiyun</cp:lastModifiedBy>
  <dcterms:modified xsi:type="dcterms:W3CDTF">2025-11-19T13:02:46Z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CA213FDE0F884EC9A935D7D501145C0A_13</vt:lpwstr>
  </property>
  <property fmtid="{D5CDD505-2E9C-101B-9397-08002B2CF9AE}" pid="4" name="KSOTemplateDocerSaveRecord">
    <vt:lpwstr>eyJoZGlkIjoiZmRmNzJmNDdhY2UxMWEzNjcwYjY5ODNmZTdiNmQ4NGUiLCJ1c2VySWQiOiIxMTc5Mzc1NjAwIn0=</vt:lpwstr>
  </property>
</Properties>
</file>