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E832" w14:textId="77777777" w:rsidR="00D726FF" w:rsidRDefault="00275319">
      <w:pPr>
        <w:spacing w:after="200"/>
      </w:pPr>
      <w:r>
        <w:rPr>
          <w:b/>
          <w:bCs/>
          <w:sz w:val="28"/>
          <w:szCs w:val="28"/>
        </w:rPr>
        <w:t>Supplementary Material</w:t>
      </w:r>
    </w:p>
    <w:p w14:paraId="1F08B729" w14:textId="77777777" w:rsidR="00D726FF" w:rsidRDefault="00275319">
      <w:pPr>
        <w:spacing w:after="200"/>
      </w:pPr>
      <w:r>
        <w:rPr>
          <w:i/>
          <w:iCs/>
          <w:sz w:val="22"/>
          <w:szCs w:val="22"/>
        </w:rPr>
        <w:t>Anxiety Levels During the First Clinical Tooth Extraction Experience Among Fourth-Year Dental Students: A Cross-Sectional Observational Study</w:t>
      </w:r>
    </w:p>
    <w:p w14:paraId="2C675013" w14:textId="77777777" w:rsidR="00D726FF" w:rsidRDefault="00275319">
      <w:pPr>
        <w:spacing w:before="240" w:after="120"/>
      </w:pPr>
      <w:r>
        <w:rPr>
          <w:b/>
          <w:bCs/>
          <w:sz w:val="28"/>
          <w:szCs w:val="28"/>
        </w:rPr>
        <w:t>Supplementary Methods</w:t>
      </w:r>
    </w:p>
    <w:p w14:paraId="1277BAE1" w14:textId="77777777" w:rsidR="00D726FF" w:rsidRDefault="00275319">
      <w:pPr>
        <w:spacing w:before="240" w:after="120"/>
      </w:pPr>
      <w:r>
        <w:rPr>
          <w:b/>
          <w:bCs/>
          <w:sz w:val="26"/>
          <w:szCs w:val="26"/>
        </w:rPr>
        <w:t>S1. Multiple Comparisons and Correction Approach</w:t>
      </w:r>
    </w:p>
    <w:p w14:paraId="1648F247" w14:textId="77777777" w:rsidR="00D726FF" w:rsidRDefault="00275319">
      <w:pPr>
        <w:spacing w:before="120" w:after="120" w:line="360" w:lineRule="auto"/>
        <w:jc w:val="both"/>
      </w:pPr>
      <w:r>
        <w:t>The study involved six inferential comparisons in total: the one-sample t-test of STAI-S against the scale midpoint, the paired-samples t-test of STAI-S versus STAI-T, the Pearson correlation between STAI-S and STAI-T, two independent-samples t-tests comparing male and female students on STAI-S and STAI-T, and the Wilcoxon signed-rank sensitivity test for the paired comparison. No formal Bonferroni correction was applied, as the analyses were exploratory and hypothesis-generating rather than confirmatory; a</w:t>
      </w:r>
      <w:r>
        <w:t>pplying a correction of α = 0.008 would have substantially reduced statistical power in a sample already limited to n = 74. The results of each comparison should nonetheless be interpreted with appropriate caution, as the family-wise Type I error rate across all six tests exceeds the nominal 0.05 threshold.</w:t>
      </w:r>
    </w:p>
    <w:p w14:paraId="07834B8A" w14:textId="77777777" w:rsidR="00D726FF" w:rsidRDefault="00275319">
      <w:pPr>
        <w:spacing w:before="120" w:after="120" w:line="360" w:lineRule="auto"/>
        <w:jc w:val="both"/>
      </w:pPr>
      <w:r>
        <w:t>It should be noted that the conclusions of the study are not sensitive to this decision. The primary finding, the state–trait dissociation (Cohen’s d = 2.181), is highly robust and would survive any conventional correction for multiple comparisons. Likewise, the null gender comparisons (p = 0.441 for STAI-S and p = 0.939 for STAI-T) are equally unaffected by correction. The state–trait correlation values are accordingly best treated as provisional pending replication in larger samples.</w:t>
      </w:r>
    </w:p>
    <w:p w14:paraId="52F59405" w14:textId="77777777" w:rsidR="00D726FF" w:rsidRDefault="00275319">
      <w:pPr>
        <w:spacing w:before="240" w:after="120"/>
      </w:pPr>
      <w:r>
        <w:rPr>
          <w:b/>
          <w:bCs/>
          <w:sz w:val="26"/>
          <w:szCs w:val="26"/>
        </w:rPr>
        <w:t>S2. Sample Size and Post Hoc Power Estimation</w:t>
      </w:r>
    </w:p>
    <w:p w14:paraId="323C6812" w14:textId="77777777" w:rsidR="00D726FF" w:rsidRDefault="00275319">
      <w:pPr>
        <w:spacing w:before="120" w:after="120" w:line="360" w:lineRule="auto"/>
        <w:jc w:val="both"/>
      </w:pPr>
      <w:r>
        <w:t>Because the study aimed to include the entire accessible cohort of fourth-year students undertaking the first compulsory extraction session, a formal a priori power calculation was not performed; the sample comprised the full available population rather than a sample drawn to a target size. Nevertheless, a post hoc power estimation indicated that the achieved sample size (n = 74) provided greater than 80% power to detect medium effect sizes (Cohen’s d ≥ 0.50) at α = 0.05, supporting the adequacy of the samp</w:t>
      </w:r>
      <w:r>
        <w:t>le for the primary comparisons performed. The expected effect size was informed by previous dental anxiety studies reporting moderate-to-large state–trait differences in clinical training contexts, where Cohen’s d values between 0.50 and 1.00 have been commonly observed.</w:t>
      </w:r>
    </w:p>
    <w:sectPr w:rsidR="00D726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4390E"/>
    <w:multiLevelType w:val="hybridMultilevel"/>
    <w:tmpl w:val="AA4CBECA"/>
    <w:lvl w:ilvl="0" w:tplc="D2300958">
      <w:start w:val="1"/>
      <w:numFmt w:val="bullet"/>
      <w:lvlText w:val="●"/>
      <w:lvlJc w:val="left"/>
      <w:pPr>
        <w:ind w:left="720" w:hanging="360"/>
      </w:pPr>
    </w:lvl>
    <w:lvl w:ilvl="1" w:tplc="CFF8D234">
      <w:start w:val="1"/>
      <w:numFmt w:val="bullet"/>
      <w:lvlText w:val="○"/>
      <w:lvlJc w:val="left"/>
      <w:pPr>
        <w:ind w:left="1440" w:hanging="360"/>
      </w:pPr>
    </w:lvl>
    <w:lvl w:ilvl="2" w:tplc="B9CEA75C">
      <w:start w:val="1"/>
      <w:numFmt w:val="bullet"/>
      <w:lvlText w:val="■"/>
      <w:lvlJc w:val="left"/>
      <w:pPr>
        <w:ind w:left="2160" w:hanging="360"/>
      </w:pPr>
    </w:lvl>
    <w:lvl w:ilvl="3" w:tplc="ED28CD1E">
      <w:start w:val="1"/>
      <w:numFmt w:val="bullet"/>
      <w:lvlText w:val="●"/>
      <w:lvlJc w:val="left"/>
      <w:pPr>
        <w:ind w:left="2880" w:hanging="360"/>
      </w:pPr>
    </w:lvl>
    <w:lvl w:ilvl="4" w:tplc="9604AC0A">
      <w:start w:val="1"/>
      <w:numFmt w:val="bullet"/>
      <w:lvlText w:val="○"/>
      <w:lvlJc w:val="left"/>
      <w:pPr>
        <w:ind w:left="3600" w:hanging="360"/>
      </w:pPr>
    </w:lvl>
    <w:lvl w:ilvl="5" w:tplc="71D8E368">
      <w:start w:val="1"/>
      <w:numFmt w:val="bullet"/>
      <w:lvlText w:val="■"/>
      <w:lvlJc w:val="left"/>
      <w:pPr>
        <w:ind w:left="4320" w:hanging="360"/>
      </w:pPr>
    </w:lvl>
    <w:lvl w:ilvl="6" w:tplc="BEB6F47E">
      <w:start w:val="1"/>
      <w:numFmt w:val="bullet"/>
      <w:lvlText w:val="●"/>
      <w:lvlJc w:val="left"/>
      <w:pPr>
        <w:ind w:left="5040" w:hanging="360"/>
      </w:pPr>
    </w:lvl>
    <w:lvl w:ilvl="7" w:tplc="43685716">
      <w:start w:val="1"/>
      <w:numFmt w:val="bullet"/>
      <w:lvlText w:val="●"/>
      <w:lvlJc w:val="left"/>
      <w:pPr>
        <w:ind w:left="5760" w:hanging="360"/>
      </w:pPr>
    </w:lvl>
    <w:lvl w:ilvl="8" w:tplc="566034D6">
      <w:start w:val="1"/>
      <w:numFmt w:val="bullet"/>
      <w:lvlText w:val="●"/>
      <w:lvlJc w:val="left"/>
      <w:pPr>
        <w:ind w:left="6480" w:hanging="360"/>
      </w:pPr>
    </w:lvl>
  </w:abstractNum>
  <w:num w:numId="1" w16cid:durableId="19723242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FF"/>
    <w:rsid w:val="00275319"/>
    <w:rsid w:val="00490A5A"/>
    <w:rsid w:val="00BC419D"/>
    <w:rsid w:val="00D7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A04D25"/>
  <w15:docId w15:val="{2F31C7F1-CEF1-4BC8-8A48-5ED77343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2031</Characters>
  <Application>Microsoft Office Word</Application>
  <DocSecurity>4</DocSecurity>
  <Lines>30</Lines>
  <Paragraphs>8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emin ün</cp:lastModifiedBy>
  <cp:revision>2</cp:revision>
  <dcterms:created xsi:type="dcterms:W3CDTF">2026-06-01T20:05:00Z</dcterms:created>
  <dcterms:modified xsi:type="dcterms:W3CDTF">2026-06-01T20:05:00Z</dcterms:modified>
</cp:coreProperties>
</file>