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A8FF7">
      <w:pPr>
        <w:jc w:val="left"/>
        <w:rPr>
          <w:rFonts w:hint="default" w:ascii="Times New Roman Bold" w:hAnsi="Times New Roman Bold" w:cs="Times New Roman Bold"/>
          <w:b/>
          <w:color w:val="C00000"/>
          <w:sz w:val="24"/>
          <w:szCs w:val="24"/>
        </w:rPr>
      </w:pPr>
      <w:r>
        <w:rPr>
          <w:rFonts w:hint="default" w:ascii="Times New Roman Bold" w:hAnsi="Times New Roman Bold" w:eastAsia="Times New Roman" w:cs="Times New Roman Bold"/>
          <w:b/>
          <w:sz w:val="24"/>
          <w:szCs w:val="24"/>
        </w:rPr>
        <w:t xml:space="preserve">Supplementary Material </w:t>
      </w:r>
      <w:r>
        <w:rPr>
          <w:rFonts w:hint="eastAsia" w:ascii="Times New Roman Bold" w:hAnsi="Times New Roman Bold" w:eastAsia="宋体" w:cs="Times New Roman Bold"/>
          <w:b/>
          <w:sz w:val="24"/>
          <w:szCs w:val="24"/>
          <w:lang w:val="en-US" w:eastAsia="zh-CN"/>
        </w:rPr>
        <w:t>7</w:t>
      </w:r>
      <w:bookmarkStart w:id="0" w:name="_GoBack"/>
      <w:bookmarkEnd w:id="0"/>
      <w:r>
        <w:rPr>
          <w:rFonts w:hint="default" w:ascii="Times New Roman Bold" w:hAnsi="Times New Roman Bold" w:eastAsia="Times New Roman" w:cs="Times New Roman Bold"/>
          <w:b/>
          <w:sz w:val="24"/>
          <w:szCs w:val="24"/>
        </w:rPr>
        <w:t>. Publication bias and small-study effects assessment</w:t>
      </w:r>
    </w:p>
    <w:tbl>
      <w:tblPr>
        <w:tblStyle w:val="4"/>
        <w:tblW w:w="0" w:type="auto"/>
        <w:tblCellSpacing w:w="15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9"/>
        <w:gridCol w:w="1267"/>
        <w:gridCol w:w="1520"/>
        <w:gridCol w:w="2869"/>
        <w:gridCol w:w="1706"/>
        <w:gridCol w:w="1705"/>
      </w:tblGrid>
      <w:tr w14:paraId="7BC766B1">
        <w:trPr>
          <w:tblHeader/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160" w:type="dxa"/>
              <w:bottom w:w="160" w:type="dxa"/>
              <w:right w:w="480" w:type="dxa"/>
            </w:tcMar>
            <w:vAlign w:val="center"/>
          </w:tcPr>
          <w:p w14:paraId="4F4211A6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Outcome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160" w:type="dxa"/>
              <w:bottom w:w="160" w:type="dxa"/>
              <w:right w:w="480" w:type="dxa"/>
            </w:tcMar>
            <w:vAlign w:val="center"/>
          </w:tcPr>
          <w:p w14:paraId="38BCB303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Studies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160" w:type="dxa"/>
              <w:bottom w:w="160" w:type="dxa"/>
              <w:right w:w="480" w:type="dxa"/>
            </w:tcMar>
            <w:vAlign w:val="center"/>
          </w:tcPr>
          <w:p w14:paraId="26E8596C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Contrasts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160" w:type="dxa"/>
              <w:bottom w:w="160" w:type="dxa"/>
              <w:right w:w="480" w:type="dxa"/>
            </w:tcMar>
            <w:vAlign w:val="center"/>
          </w:tcPr>
          <w:p w14:paraId="67939EF8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Method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160" w:type="dxa"/>
              <w:bottom w:w="160" w:type="dxa"/>
              <w:right w:w="480" w:type="dxa"/>
            </w:tcMar>
            <w:vAlign w:val="center"/>
          </w:tcPr>
          <w:p w14:paraId="48A50595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Egger-type test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160" w:type="dxa"/>
              <w:bottom w:w="160" w:type="dxa"/>
            </w:tcMar>
            <w:vAlign w:val="center"/>
          </w:tcPr>
          <w:p w14:paraId="70B85E8D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Interpretation</w:t>
            </w:r>
          </w:p>
        </w:tc>
      </w:tr>
      <w:tr w14:paraId="15E972AA"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200" w:type="dxa"/>
              <w:right w:w="480" w:type="dxa"/>
            </w:tcMar>
            <w:vAlign w:val="center"/>
          </w:tcPr>
          <w:p w14:paraId="71429A23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LII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200" w:type="dxa"/>
              <w:right w:w="480" w:type="dxa"/>
            </w:tcMar>
            <w:vAlign w:val="center"/>
          </w:tcPr>
          <w:p w14:paraId="67356F55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200" w:type="dxa"/>
              <w:right w:w="480" w:type="dxa"/>
            </w:tcMar>
            <w:vAlign w:val="center"/>
          </w:tcPr>
          <w:p w14:paraId="653CEDDD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200" w:type="dxa"/>
              <w:right w:w="480" w:type="dxa"/>
            </w:tcMar>
            <w:vAlign w:val="center"/>
          </w:tcPr>
          <w:p w14:paraId="082705DA">
            <w:pPr>
              <w:spacing w:before="0" w:after="0" w:line="240" w:lineRule="auto"/>
              <w:jc w:val="left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Comparison-adjusted funnel plot with Egger-type regression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200" w:type="dxa"/>
              <w:right w:w="480" w:type="dxa"/>
            </w:tcMar>
            <w:vAlign w:val="center"/>
          </w:tcPr>
          <w:p w14:paraId="58A7BFB3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t = -2.507, df = 8, P = 0.0365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200" w:type="dxa"/>
            </w:tcMar>
            <w:vAlign w:val="center"/>
          </w:tcPr>
          <w:p w14:paraId="35C828B6">
            <w:pPr>
              <w:spacing w:before="0" w:after="0" w:line="240" w:lineRule="auto"/>
              <w:jc w:val="left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Possible funnel plot asymmetry / small-study effects; interpret cautiously</w:t>
            </w:r>
          </w:p>
        </w:tc>
      </w:tr>
      <w:tr w14:paraId="107C8B99"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480" w:type="dxa"/>
              <w:right w:w="480" w:type="dxa"/>
            </w:tcMar>
            <w:vAlign w:val="center"/>
          </w:tcPr>
          <w:p w14:paraId="1ED78434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ICD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480" w:type="dxa"/>
              <w:right w:w="480" w:type="dxa"/>
            </w:tcMar>
            <w:vAlign w:val="center"/>
          </w:tcPr>
          <w:p w14:paraId="640C06FB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480" w:type="dxa"/>
              <w:right w:w="480" w:type="dxa"/>
            </w:tcMar>
            <w:vAlign w:val="center"/>
          </w:tcPr>
          <w:p w14:paraId="172C1704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480" w:type="dxa"/>
              <w:right w:w="480" w:type="dxa"/>
            </w:tcMar>
            <w:vAlign w:val="center"/>
          </w:tcPr>
          <w:p w14:paraId="0494298D">
            <w:pPr>
              <w:spacing w:before="0" w:after="0" w:line="240" w:lineRule="auto"/>
              <w:jc w:val="left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Comparison-adjusted funnel plot with Egger-type regression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480" w:type="dxa"/>
              <w:right w:w="480" w:type="dxa"/>
            </w:tcMar>
            <w:vAlign w:val="center"/>
          </w:tcPr>
          <w:p w14:paraId="5E5AB7D0">
            <w:pPr>
              <w:spacing w:before="0"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t = 0.101, df = 9, P = 0.9221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200" w:type="dxa"/>
              <w:bottom w:w="480" w:type="dxa"/>
            </w:tcMar>
            <w:vAlign w:val="center"/>
          </w:tcPr>
          <w:p w14:paraId="414EEBB9">
            <w:pPr>
              <w:spacing w:before="0" w:after="0" w:line="240" w:lineRule="auto"/>
              <w:jc w:val="left"/>
              <w:rPr>
                <w:rFonts w:hint="default" w:ascii="Times New Roman Bold" w:hAnsi="Times New Roman Bold" w:cs="Times New Roman Bold"/>
                <w:b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sz w:val="24"/>
                <w:szCs w:val="24"/>
              </w:rPr>
              <w:t>No evidence of funnel plot asymmetry</w:t>
            </w:r>
          </w:p>
        </w:tc>
      </w:tr>
    </w:tbl>
    <w:p w14:paraId="1550F906">
      <w:pPr>
        <w:rPr>
          <w:rFonts w:hint="default" w:ascii="Times New Roman Bold" w:hAnsi="Times New Roman Bold" w:cs="Times New Roman Bold"/>
          <w:b/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DAF"/>
    <w:rsid w:val="0001706F"/>
    <w:rsid w:val="001B3082"/>
    <w:rsid w:val="004B71F0"/>
    <w:rsid w:val="005D70CD"/>
    <w:rsid w:val="00A57DAF"/>
    <w:rsid w:val="3BFFFF59"/>
    <w:rsid w:val="57CF29C9"/>
    <w:rsid w:val="6EFF1665"/>
    <w:rsid w:val="C75D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29</Characters>
  <Lines>1</Lines>
  <Paragraphs>1</Paragraphs>
  <TotalTime>5</TotalTime>
  <ScaleCrop>false</ScaleCrop>
  <LinksUpToDate>false</LinksUpToDate>
  <CharactersWithSpaces>33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2026-04-03T13:53:00Z</dcterms:created>
  <dc:creator>phoebusfreedom@gmail.com</dc:creator>
  <cp:lastModifiedBy>Aaron</cp:lastModifiedBy>
  <dcterms:modified xsi:type="dcterms:W3CDTF">2026-05-31T17:47:19Z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4ADA5A87F2EAFDEA02321B6A38EC5824_42</vt:lpwstr>
  </property>
</Properties>
</file>