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11CF" w:rsidRPr="00266E8F" w:rsidRDefault="000612BD">
      <w:pPr>
        <w:pStyle w:val="1"/>
        <w:rPr>
          <w:rFonts w:ascii="Times New Roman" w:hAnsi="Times New Roman" w:cs="Times New Roman"/>
          <w:sz w:val="24"/>
          <w:szCs w:val="24"/>
        </w:rPr>
      </w:pPr>
      <w:bookmarkStart w:id="0" w:name="_GoBack"/>
      <w:r w:rsidRPr="00266E8F">
        <w:rPr>
          <w:rFonts w:ascii="Times New Roman" w:hAnsi="Times New Roman" w:cs="Times New Roman"/>
          <w:sz w:val="24"/>
          <w:szCs w:val="24"/>
        </w:rPr>
        <w:t xml:space="preserve">Supplementary Material </w:t>
      </w:r>
      <w:r w:rsidRPr="00266E8F">
        <w:rPr>
          <w:rFonts w:ascii="Times New Roman" w:hAnsi="Times New Roman" w:cs="Times New Roman"/>
          <w:sz w:val="24"/>
          <w:szCs w:val="24"/>
          <w:lang w:eastAsia="zh-CN"/>
        </w:rPr>
        <w:t>8</w:t>
      </w:r>
      <w:r w:rsidRPr="00266E8F">
        <w:rPr>
          <w:rFonts w:ascii="Times New Roman" w:hAnsi="Times New Roman" w:cs="Times New Roman"/>
          <w:sz w:val="24"/>
          <w:szCs w:val="24"/>
        </w:rPr>
        <w:t>. GRADE assessment for pairwise meta-analysis</w:t>
      </w:r>
    </w:p>
    <w:p w:rsidR="00E011CF" w:rsidRPr="00266E8F" w:rsidRDefault="000612BD">
      <w:pPr>
        <w:rPr>
          <w:rFonts w:ascii="Times New Roman" w:hAnsi="Times New Roman" w:cs="Times New Roman"/>
          <w:sz w:val="24"/>
          <w:szCs w:val="24"/>
        </w:rPr>
      </w:pPr>
      <w:r w:rsidRPr="00266E8F">
        <w:rPr>
          <w:rFonts w:ascii="Times New Roman" w:hAnsi="Times New Roman" w:cs="Times New Roman"/>
          <w:sz w:val="24"/>
          <w:szCs w:val="24"/>
        </w:rPr>
        <w:t>The certainty of evidence for pairwise meta-analysis was assessed using the GRADE framework. Randomized controlled trials started as high-certainty evidence and were downgraded for risk of bias, inconsistency, indirectness, imprecision, and publication bias when applicable.</w:t>
      </w:r>
    </w:p>
    <w:tbl>
      <w:tblPr>
        <w:tblStyle w:val="af4"/>
        <w:tblW w:w="0" w:type="auto"/>
        <w:jc w:val="center"/>
        <w:tblBorders>
          <w:top w:val="single" w:sz="6" w:space="0" w:color="BFBFBF"/>
          <w:left w:val="single" w:sz="6" w:space="0" w:color="BFBFBF"/>
          <w:bottom w:val="single" w:sz="6" w:space="0" w:color="BFBFBF"/>
          <w:right w:val="single" w:sz="6" w:space="0" w:color="BFBFBF"/>
          <w:insideH w:val="single" w:sz="6" w:space="0" w:color="BFBFBF"/>
          <w:insideV w:val="single" w:sz="6" w:space="0" w:color="BFBFBF"/>
        </w:tblBorders>
        <w:tblLayout w:type="fixed"/>
        <w:tblLook w:val="04A0" w:firstRow="1" w:lastRow="0" w:firstColumn="1" w:lastColumn="0" w:noHBand="0" w:noVBand="1"/>
      </w:tblPr>
      <w:tblGrid>
        <w:gridCol w:w="1512"/>
        <w:gridCol w:w="3024"/>
        <w:gridCol w:w="1584"/>
        <w:gridCol w:w="1872"/>
        <w:gridCol w:w="1224"/>
        <w:gridCol w:w="1224"/>
        <w:gridCol w:w="1224"/>
        <w:gridCol w:w="1224"/>
        <w:gridCol w:w="1584"/>
        <w:gridCol w:w="1224"/>
        <w:gridCol w:w="4320"/>
      </w:tblGrid>
      <w:tr w:rsidR="00E011CF" w:rsidRPr="00266E8F">
        <w:trPr>
          <w:tblHeader/>
          <w:jc w:val="center"/>
        </w:trPr>
        <w:tc>
          <w:tcPr>
            <w:tcW w:w="1512"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Outcome</w:t>
            </w:r>
          </w:p>
        </w:tc>
        <w:tc>
          <w:tcPr>
            <w:tcW w:w="3024"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Studies</w:t>
            </w:r>
          </w:p>
        </w:tc>
        <w:tc>
          <w:tcPr>
            <w:tcW w:w="1584"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No. studies / participants</w:t>
            </w:r>
          </w:p>
        </w:tc>
        <w:tc>
          <w:tcPr>
            <w:tcW w:w="1872"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Effect</w:t>
            </w:r>
          </w:p>
        </w:tc>
        <w:tc>
          <w:tcPr>
            <w:tcW w:w="1224"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Risk of bias</w:t>
            </w:r>
          </w:p>
        </w:tc>
        <w:tc>
          <w:tcPr>
            <w:tcW w:w="1224"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Inconsistency</w:t>
            </w:r>
          </w:p>
        </w:tc>
        <w:tc>
          <w:tcPr>
            <w:tcW w:w="1224"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Indirectness</w:t>
            </w:r>
          </w:p>
        </w:tc>
        <w:tc>
          <w:tcPr>
            <w:tcW w:w="1224"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Imprecision</w:t>
            </w:r>
          </w:p>
        </w:tc>
        <w:tc>
          <w:tcPr>
            <w:tcW w:w="1584"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Publication bias</w:t>
            </w:r>
          </w:p>
        </w:tc>
        <w:tc>
          <w:tcPr>
            <w:tcW w:w="1224"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Certainty</w:t>
            </w:r>
          </w:p>
        </w:tc>
        <w:tc>
          <w:tcPr>
            <w:tcW w:w="4320" w:type="dxa"/>
            <w:shd w:val="clear" w:color="auto" w:fill="EDEDED"/>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b/>
                <w:sz w:val="16"/>
                <w:szCs w:val="24"/>
              </w:rPr>
              <w:t>Reason</w:t>
            </w:r>
          </w:p>
        </w:tc>
      </w:tr>
      <w:tr w:rsidR="00E011CF" w:rsidRPr="00266E8F">
        <w:trPr>
          <w:jc w:val="center"/>
        </w:trPr>
        <w:tc>
          <w:tcPr>
            <w:tcW w:w="151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Gingival Index</w:t>
            </w:r>
          </w:p>
        </w:tc>
        <w:tc>
          <w:tcPr>
            <w:tcW w:w="30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S.K. Ugrin 2024; A.K. Eroglu 2018</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2 / 111</w:t>
            </w:r>
          </w:p>
        </w:tc>
        <w:tc>
          <w:tcPr>
            <w:tcW w:w="187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MD 0.04 (-0.03, 0.12)</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Undetected / 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Moderate</w:t>
            </w:r>
          </w:p>
        </w:tc>
        <w:tc>
          <w:tcPr>
            <w:tcW w:w="4320" w:type="dxa"/>
            <w:vAlign w:val="center"/>
          </w:tcPr>
          <w:p w:rsidR="00E011CF" w:rsidRPr="00266E8F" w:rsidRDefault="000612BD">
            <w:pPr>
              <w:spacing w:after="0" w:line="240" w:lineRule="auto"/>
              <w:rPr>
                <w:rFonts w:ascii="Times New Roman" w:hAnsi="Times New Roman" w:cs="Times New Roman"/>
                <w:sz w:val="24"/>
                <w:szCs w:val="24"/>
              </w:rPr>
            </w:pPr>
            <w:r w:rsidRPr="00266E8F">
              <w:rPr>
                <w:rFonts w:ascii="Times New Roman" w:eastAsia="Times New Roman" w:hAnsi="Times New Roman" w:cs="Times New Roman"/>
                <w:sz w:val="16"/>
                <w:szCs w:val="24"/>
              </w:rPr>
              <w:t>Downgraded for imprecision because the estimate was based on only two trials and the confidence interval crossed the null effect. Publication bias could not be reliably assessed with two studies.</w:t>
            </w:r>
          </w:p>
        </w:tc>
      </w:tr>
      <w:tr w:rsidR="00E011CF" w:rsidRPr="00266E8F">
        <w:trPr>
          <w:jc w:val="center"/>
        </w:trPr>
        <w:tc>
          <w:tcPr>
            <w:tcW w:w="151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Plaque Index</w:t>
            </w:r>
          </w:p>
        </w:tc>
        <w:tc>
          <w:tcPr>
            <w:tcW w:w="30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S.K. Ugrin 2024; A.K. Eroglu 2018</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2 / 111</w:t>
            </w:r>
          </w:p>
        </w:tc>
        <w:tc>
          <w:tcPr>
            <w:tcW w:w="187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MD -0.04 (-0.15, 0.06)</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Undetected / 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Moderate</w:t>
            </w:r>
          </w:p>
        </w:tc>
        <w:tc>
          <w:tcPr>
            <w:tcW w:w="4320" w:type="dxa"/>
            <w:vAlign w:val="center"/>
          </w:tcPr>
          <w:p w:rsidR="00E011CF" w:rsidRPr="00266E8F" w:rsidRDefault="000612BD">
            <w:pPr>
              <w:spacing w:after="0" w:line="240" w:lineRule="auto"/>
              <w:rPr>
                <w:rFonts w:ascii="Times New Roman" w:hAnsi="Times New Roman" w:cs="Times New Roman"/>
                <w:sz w:val="24"/>
                <w:szCs w:val="24"/>
              </w:rPr>
            </w:pPr>
            <w:r w:rsidRPr="00266E8F">
              <w:rPr>
                <w:rFonts w:ascii="Times New Roman" w:eastAsia="Times New Roman" w:hAnsi="Times New Roman" w:cs="Times New Roman"/>
                <w:sz w:val="16"/>
                <w:szCs w:val="24"/>
              </w:rPr>
              <w:t>Downgraded for imprecision because the estimate was based on only two trials and the confidence interval crossed the null effect. Publication bias could not be reliably assessed with two studies.</w:t>
            </w:r>
          </w:p>
        </w:tc>
      </w:tr>
      <w:tr w:rsidR="00E011CF" w:rsidRPr="00266E8F">
        <w:trPr>
          <w:jc w:val="center"/>
        </w:trPr>
        <w:tc>
          <w:tcPr>
            <w:tcW w:w="151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Arch Length</w:t>
            </w:r>
          </w:p>
        </w:tc>
        <w:tc>
          <w:tcPr>
            <w:tcW w:w="30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 Maskim 2025; N.O. Rourke 2016</w:t>
            </w:r>
          </w:p>
        </w:tc>
        <w:tc>
          <w:tcPr>
            <w:tcW w:w="1584" w:type="dxa"/>
            <w:vAlign w:val="center"/>
          </w:tcPr>
          <w:p w:rsidR="00E011CF" w:rsidRPr="00266E8F" w:rsidRDefault="000612BD">
            <w:pPr>
              <w:rPr>
                <w:rFonts w:ascii="Times New Roman" w:hAnsi="Times New Roman" w:cs="Times New Roman"/>
              </w:rPr>
            </w:pPr>
            <w:r w:rsidRPr="00266E8F">
              <w:rPr>
                <w:rFonts w:ascii="Times New Roman" w:hAnsi="Times New Roman" w:cs="Times New Roman"/>
              </w:rPr>
              <w:t>2 / 92</w:t>
            </w:r>
          </w:p>
        </w:tc>
        <w:tc>
          <w:tcPr>
            <w:tcW w:w="187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MD 0.42 (0.24, 0.60)</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Undetected / 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Low</w:t>
            </w:r>
          </w:p>
        </w:tc>
        <w:tc>
          <w:tcPr>
            <w:tcW w:w="4320" w:type="dxa"/>
            <w:vAlign w:val="center"/>
          </w:tcPr>
          <w:p w:rsidR="00E011CF" w:rsidRPr="00266E8F" w:rsidRDefault="000612BD">
            <w:pPr>
              <w:spacing w:after="0" w:line="240" w:lineRule="auto"/>
              <w:rPr>
                <w:rFonts w:ascii="Times New Roman" w:hAnsi="Times New Roman" w:cs="Times New Roman"/>
                <w:sz w:val="24"/>
                <w:szCs w:val="24"/>
              </w:rPr>
            </w:pPr>
            <w:r w:rsidRPr="00266E8F">
              <w:rPr>
                <w:rFonts w:ascii="Times New Roman" w:eastAsia="Times New Roman" w:hAnsi="Times New Roman" w:cs="Times New Roman"/>
                <w:sz w:val="16"/>
                <w:szCs w:val="24"/>
              </w:rPr>
              <w:t>Downgraded for risk of bias because both contributing studies were judged high risk overall, and downgraded for imprecision/sparse evidence because only two trials contributed. Publication bias could not be reliably assessed.</w:t>
            </w:r>
          </w:p>
        </w:tc>
      </w:tr>
      <w:tr w:rsidR="00E011CF" w:rsidRPr="00266E8F">
        <w:trPr>
          <w:jc w:val="center"/>
        </w:trPr>
        <w:tc>
          <w:tcPr>
            <w:tcW w:w="151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Little's Irregularity Index</w:t>
            </w:r>
          </w:p>
        </w:tc>
        <w:tc>
          <w:tcPr>
            <w:tcW w:w="30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S.K. Ugrin 2024; S. Naraghi 2023; N.O. Rourke 2016; N. Atack 2007</w:t>
            </w:r>
          </w:p>
        </w:tc>
        <w:tc>
          <w:tcPr>
            <w:tcW w:w="1584" w:type="dxa"/>
            <w:vAlign w:val="center"/>
          </w:tcPr>
          <w:p w:rsidR="00E011CF" w:rsidRPr="00266E8F" w:rsidRDefault="000612BD">
            <w:pPr>
              <w:rPr>
                <w:rFonts w:ascii="Times New Roman" w:hAnsi="Times New Roman" w:cs="Times New Roman"/>
              </w:rPr>
            </w:pPr>
            <w:r w:rsidRPr="00266E8F">
              <w:rPr>
                <w:rFonts w:ascii="Times New Roman" w:hAnsi="Times New Roman" w:cs="Times New Roman"/>
              </w:rPr>
              <w:t>4 / 288</w:t>
            </w:r>
          </w:p>
        </w:tc>
        <w:tc>
          <w:tcPr>
            <w:tcW w:w="187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MD 0.24 (-0.14, 0.62)</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Undetected / 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Very low</w:t>
            </w:r>
          </w:p>
        </w:tc>
        <w:tc>
          <w:tcPr>
            <w:tcW w:w="4320" w:type="dxa"/>
            <w:vAlign w:val="center"/>
          </w:tcPr>
          <w:p w:rsidR="00E011CF" w:rsidRPr="00266E8F" w:rsidRDefault="000612BD">
            <w:pPr>
              <w:spacing w:after="0" w:line="240" w:lineRule="auto"/>
              <w:rPr>
                <w:rFonts w:ascii="Times New Roman" w:hAnsi="Times New Roman" w:cs="Times New Roman"/>
                <w:sz w:val="24"/>
                <w:szCs w:val="24"/>
              </w:rPr>
            </w:pPr>
            <w:r w:rsidRPr="00266E8F">
              <w:rPr>
                <w:rFonts w:ascii="Times New Roman" w:eastAsia="Times New Roman" w:hAnsi="Times New Roman" w:cs="Times New Roman"/>
                <w:sz w:val="16"/>
                <w:szCs w:val="24"/>
              </w:rPr>
              <w:t>Downgraded for risk of bias because one contributing study was high risk overall, for inconsistency because heterogeneity was substantial (I2=61.1%), and for imprecision because the confidence interval crossed the null effect. Publication bias could not be reliably assessed with four studies.</w:t>
            </w:r>
          </w:p>
        </w:tc>
      </w:tr>
      <w:tr w:rsidR="00E011CF" w:rsidRPr="00266E8F">
        <w:trPr>
          <w:jc w:val="center"/>
        </w:trPr>
        <w:tc>
          <w:tcPr>
            <w:tcW w:w="151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Inter-canine Distance</w:t>
            </w:r>
          </w:p>
        </w:tc>
        <w:tc>
          <w:tcPr>
            <w:tcW w:w="30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 Maskim 2025; S.K. Ugrin 2024; N.O. Rourke 2016</w:t>
            </w:r>
          </w:p>
        </w:tc>
        <w:tc>
          <w:tcPr>
            <w:tcW w:w="1584" w:type="dxa"/>
            <w:vAlign w:val="center"/>
          </w:tcPr>
          <w:p w:rsidR="00E011CF" w:rsidRPr="00266E8F" w:rsidRDefault="000612BD">
            <w:pPr>
              <w:rPr>
                <w:rFonts w:ascii="Times New Roman" w:hAnsi="Times New Roman" w:cs="Times New Roman"/>
              </w:rPr>
            </w:pPr>
            <w:r w:rsidRPr="00266E8F">
              <w:rPr>
                <w:rFonts w:ascii="Times New Roman" w:hAnsi="Times New Roman" w:cs="Times New Roman"/>
              </w:rPr>
              <w:t>3 / 158</w:t>
            </w:r>
          </w:p>
        </w:tc>
        <w:tc>
          <w:tcPr>
            <w:tcW w:w="187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MD -0.11 (-0.22, -0.00)</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Undetected / 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Low</w:t>
            </w:r>
          </w:p>
        </w:tc>
        <w:tc>
          <w:tcPr>
            <w:tcW w:w="4320" w:type="dxa"/>
            <w:vAlign w:val="center"/>
          </w:tcPr>
          <w:p w:rsidR="00E011CF" w:rsidRPr="00266E8F" w:rsidRDefault="000612BD">
            <w:pPr>
              <w:spacing w:after="0" w:line="240" w:lineRule="auto"/>
              <w:rPr>
                <w:rFonts w:ascii="Times New Roman" w:hAnsi="Times New Roman" w:cs="Times New Roman"/>
                <w:sz w:val="24"/>
                <w:szCs w:val="24"/>
              </w:rPr>
            </w:pPr>
            <w:r w:rsidRPr="00266E8F">
              <w:rPr>
                <w:rFonts w:ascii="Times New Roman" w:eastAsia="Times New Roman" w:hAnsi="Times New Roman" w:cs="Times New Roman"/>
                <w:sz w:val="16"/>
                <w:szCs w:val="24"/>
              </w:rPr>
              <w:t>Downgraded for risk of bias because two of three contributing studies were high risk overall, and for imprecision because the effect was borderline and clinically small. Publication bias could not be reliably assessed with three studies.</w:t>
            </w:r>
          </w:p>
        </w:tc>
      </w:tr>
      <w:tr w:rsidR="00E011CF" w:rsidRPr="00266E8F">
        <w:trPr>
          <w:jc w:val="center"/>
        </w:trPr>
        <w:tc>
          <w:tcPr>
            <w:tcW w:w="151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Inter-premolar Distance</w:t>
            </w:r>
          </w:p>
        </w:tc>
        <w:tc>
          <w:tcPr>
            <w:tcW w:w="30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 Maskim 2025</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1 / 18</w:t>
            </w:r>
          </w:p>
        </w:tc>
        <w:tc>
          <w:tcPr>
            <w:tcW w:w="187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MD -0.22 (-2.23, 1.79)</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Very serious</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Undetected / 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Very low</w:t>
            </w:r>
          </w:p>
        </w:tc>
        <w:tc>
          <w:tcPr>
            <w:tcW w:w="4320" w:type="dxa"/>
            <w:vAlign w:val="center"/>
          </w:tcPr>
          <w:p w:rsidR="00E011CF" w:rsidRPr="00266E8F" w:rsidRDefault="000612BD">
            <w:pPr>
              <w:spacing w:after="0" w:line="240" w:lineRule="auto"/>
              <w:rPr>
                <w:rFonts w:ascii="Times New Roman" w:hAnsi="Times New Roman" w:cs="Times New Roman"/>
                <w:sz w:val="24"/>
                <w:szCs w:val="24"/>
              </w:rPr>
            </w:pPr>
            <w:r w:rsidRPr="00266E8F">
              <w:rPr>
                <w:rFonts w:ascii="Times New Roman" w:eastAsia="Times New Roman" w:hAnsi="Times New Roman" w:cs="Times New Roman"/>
                <w:sz w:val="16"/>
                <w:szCs w:val="24"/>
              </w:rPr>
              <w:t>Downgraded for risk of bias because the single contributing study was high risk overall, and for very serious imprecision because the estimate came from one small study with a very wide confidence interval crossing the null effect. Inconsistency and publication bias could not be assessed.</w:t>
            </w:r>
          </w:p>
        </w:tc>
      </w:tr>
      <w:tr w:rsidR="00E011CF" w:rsidRPr="00266E8F">
        <w:trPr>
          <w:jc w:val="center"/>
        </w:trPr>
        <w:tc>
          <w:tcPr>
            <w:tcW w:w="151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Complications</w:t>
            </w:r>
          </w:p>
        </w:tc>
        <w:tc>
          <w:tcPr>
            <w:tcW w:w="30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A. Krämer 2019</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1 / 104</w:t>
            </w:r>
          </w:p>
        </w:tc>
        <w:tc>
          <w:tcPr>
            <w:tcW w:w="1872"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RR 1.00 (0.21, 4.73)</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Not serious</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Very serious</w:t>
            </w:r>
          </w:p>
        </w:tc>
        <w:tc>
          <w:tcPr>
            <w:tcW w:w="158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Undetected / not assessable</w:t>
            </w:r>
          </w:p>
        </w:tc>
        <w:tc>
          <w:tcPr>
            <w:tcW w:w="1224" w:type="dxa"/>
            <w:vAlign w:val="center"/>
          </w:tcPr>
          <w:p w:rsidR="00E011CF" w:rsidRPr="00266E8F" w:rsidRDefault="000612BD">
            <w:pPr>
              <w:spacing w:after="0" w:line="240" w:lineRule="auto"/>
              <w:jc w:val="center"/>
              <w:rPr>
                <w:rFonts w:ascii="Times New Roman" w:hAnsi="Times New Roman" w:cs="Times New Roman"/>
                <w:sz w:val="24"/>
                <w:szCs w:val="24"/>
              </w:rPr>
            </w:pPr>
            <w:r w:rsidRPr="00266E8F">
              <w:rPr>
                <w:rFonts w:ascii="Times New Roman" w:eastAsia="Times New Roman" w:hAnsi="Times New Roman" w:cs="Times New Roman"/>
                <w:sz w:val="16"/>
                <w:szCs w:val="24"/>
              </w:rPr>
              <w:t>Low</w:t>
            </w:r>
          </w:p>
        </w:tc>
        <w:tc>
          <w:tcPr>
            <w:tcW w:w="4320" w:type="dxa"/>
            <w:vAlign w:val="center"/>
          </w:tcPr>
          <w:p w:rsidR="00E011CF" w:rsidRPr="00266E8F" w:rsidRDefault="000612BD">
            <w:pPr>
              <w:spacing w:after="0" w:line="240" w:lineRule="auto"/>
              <w:rPr>
                <w:rFonts w:ascii="Times New Roman" w:hAnsi="Times New Roman" w:cs="Times New Roman"/>
                <w:sz w:val="24"/>
                <w:szCs w:val="24"/>
              </w:rPr>
            </w:pPr>
            <w:r w:rsidRPr="00266E8F">
              <w:rPr>
                <w:rFonts w:ascii="Times New Roman" w:eastAsia="Times New Roman" w:hAnsi="Times New Roman" w:cs="Times New Roman"/>
                <w:sz w:val="16"/>
                <w:szCs w:val="24"/>
              </w:rPr>
              <w:t>Downgraded two levels for imprecision because the estimate came from one study and the confidence interval was very wide, including both appreciable benefit and harm. Inconsistency and publication bias could not be assessed.</w:t>
            </w:r>
          </w:p>
        </w:tc>
      </w:tr>
    </w:tbl>
    <w:p w:rsidR="00E011CF" w:rsidRPr="00266E8F" w:rsidRDefault="000612BD">
      <w:pPr>
        <w:rPr>
          <w:rFonts w:ascii="Times New Roman" w:hAnsi="Times New Roman" w:cs="Times New Roman"/>
          <w:sz w:val="24"/>
          <w:szCs w:val="24"/>
        </w:rPr>
      </w:pPr>
      <w:r w:rsidRPr="00266E8F">
        <w:rPr>
          <w:rFonts w:ascii="Times New Roman" w:hAnsi="Times New Roman" w:cs="Times New Roman"/>
          <w:b/>
          <w:sz w:val="24"/>
          <w:szCs w:val="24"/>
        </w:rPr>
        <w:t xml:space="preserve">Abbreviations: </w:t>
      </w:r>
      <w:r w:rsidRPr="00266E8F">
        <w:rPr>
          <w:rFonts w:ascii="Times New Roman" w:hAnsi="Times New Roman" w:cs="Times New Roman"/>
          <w:sz w:val="24"/>
          <w:szCs w:val="24"/>
        </w:rPr>
        <w:t>CI, confidence interval; MD, mean difference; RR, risk ratio.</w:t>
      </w:r>
      <w:bookmarkEnd w:id="0"/>
    </w:p>
    <w:sectPr w:rsidR="00E011CF" w:rsidRPr="00266E8F" w:rsidSect="000612BD">
      <w:pgSz w:w="22680" w:h="12242" w:orient="landscape"/>
      <w:pgMar w:top="720" w:right="646" w:bottom="720" w:left="64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11CF" w:rsidRDefault="000612BD">
      <w:pPr>
        <w:spacing w:line="240" w:lineRule="auto"/>
      </w:pPr>
      <w:r>
        <w:separator/>
      </w:r>
    </w:p>
  </w:endnote>
  <w:endnote w:type="continuationSeparator" w:id="0">
    <w:p w:rsidR="00E011CF" w:rsidRDefault="000612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UI Gothic"/>
    <w:panose1 w:val="02020609040205080304"/>
    <w:charset w:val="00"/>
    <w:family w:val="auto"/>
    <w:pitch w:val="default"/>
  </w:font>
  <w:font w:name="Calibri">
    <w:panose1 w:val="020F0502020204030204"/>
    <w:charset w:val="00"/>
    <w:family w:val="swiss"/>
    <w:pitch w:val="variable"/>
    <w:sig w:usb0="20002A87" w:usb1="00000000" w:usb2="00000001"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default"/>
    <w:sig w:usb0="00000000"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11CF" w:rsidRDefault="000612BD">
      <w:pPr>
        <w:spacing w:after="0"/>
      </w:pPr>
      <w:r>
        <w:separator/>
      </w:r>
    </w:p>
  </w:footnote>
  <w:footnote w:type="continuationSeparator" w:id="0">
    <w:p w:rsidR="00E011CF" w:rsidRDefault="000612BD">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F9ADEB3B"/>
    <w:rsid w:val="FBEDB580"/>
    <w:rsid w:val="00034616"/>
    <w:rsid w:val="0006063C"/>
    <w:rsid w:val="000612BD"/>
    <w:rsid w:val="0015074B"/>
    <w:rsid w:val="00266E8F"/>
    <w:rsid w:val="0029639D"/>
    <w:rsid w:val="00326F90"/>
    <w:rsid w:val="00AA1D8D"/>
    <w:rsid w:val="00B47730"/>
    <w:rsid w:val="00CB0664"/>
    <w:rsid w:val="00E011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efaultImageDpi w14:val="300"/>
  <w15:docId w15:val="{D2A2D140-3B75-4917-8AE5-B7CA2D5CD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lsdException w:name="toa heading" w:semiHidden="1" w:unhideWhenUsed="1"/>
    <w:lsdException w:name="List" w:unhideWhenUsed="1"/>
    <w:lsdException w:name="List Bullet" w:unhideWhenUsed="1"/>
    <w:lsdException w:name="List Number" w:unhideWhenUsed="1"/>
    <w:lsdException w:name="List 2" w:unhideWhenUsed="1"/>
    <w:lsdException w:name="List 3" w:unhideWhenUsed="1"/>
    <w:lsdException w:name="List 4" w:semiHidden="1" w:unhideWhenUsed="1"/>
    <w:lsdException w:name="List 5" w:semiHidden="1" w:unhideWhenUsed="1"/>
    <w:lsdException w:name="List Bullet 2" w:unhideWhenUsed="1"/>
    <w:lsdException w:name="List Bullet 3" w:unhideWhenUsed="1"/>
    <w:lsdException w:name="List Bullet 4" w:semiHidden="1" w:unhideWhenUsed="1"/>
    <w:lsdException w:name="List Bullet 5" w:semiHidden="1" w:unhideWhenUsed="1"/>
    <w:lsdException w:name="List Number 2" w:unhideWhenUsed="1"/>
    <w:lsdException w:name="List Number 3"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lsdException w:name="Body Text Indent" w:semiHidden="1" w:unhideWhenUsed="1"/>
    <w:lsdException w:name="List Continue" w:unhideWhenUsed="1"/>
    <w:lsdException w:name="List Continue 2" w:unhideWhenUsed="1"/>
    <w:lsdException w:name="List Continue 3"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spacing w:after="200" w:line="276" w:lineRule="auto"/>
    </w:pPr>
    <w:rPr>
      <w:sz w:val="22"/>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pPr>
      <w:ind w:left="1080" w:hanging="360"/>
      <w:contextualSpacing/>
    </w:pPr>
  </w:style>
  <w:style w:type="paragraph" w:styleId="2">
    <w:name w:val="List Number 2"/>
    <w:basedOn w:val="a1"/>
    <w:uiPriority w:val="99"/>
    <w:unhideWhenUsed/>
    <w:pPr>
      <w:numPr>
        <w:numId w:val="1"/>
      </w:numPr>
      <w:contextualSpacing/>
    </w:pPr>
  </w:style>
  <w:style w:type="paragraph" w:styleId="a">
    <w:name w:val="List Number"/>
    <w:basedOn w:val="a1"/>
    <w:uiPriority w:val="99"/>
    <w:unhideWhenUsed/>
    <w:pPr>
      <w:numPr>
        <w:numId w:val="2"/>
      </w:numPr>
      <w:contextualSpacing/>
    </w:pPr>
  </w:style>
  <w:style w:type="paragraph" w:styleId="a7">
    <w:name w:val="caption"/>
    <w:basedOn w:val="a1"/>
    <w:next w:val="a1"/>
    <w:uiPriority w:val="35"/>
    <w:semiHidden/>
    <w:unhideWhenUsed/>
    <w:qFormat/>
    <w:pPr>
      <w:spacing w:line="240" w:lineRule="auto"/>
    </w:pPr>
    <w:rPr>
      <w:b/>
      <w:bCs/>
      <w:color w:val="4F81BD" w:themeColor="accent1"/>
      <w:sz w:val="18"/>
      <w:szCs w:val="18"/>
    </w:rPr>
  </w:style>
  <w:style w:type="paragraph" w:styleId="a0">
    <w:name w:val="List Bullet"/>
    <w:basedOn w:val="a1"/>
    <w:uiPriority w:val="99"/>
    <w:unhideWhenUsed/>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pPr>
      <w:numPr>
        <w:numId w:val="4"/>
      </w:numPr>
      <w:contextualSpacing/>
    </w:pPr>
  </w:style>
  <w:style w:type="paragraph" w:styleId="a8">
    <w:name w:val="Body Text"/>
    <w:basedOn w:val="a1"/>
    <w:link w:val="a9"/>
    <w:uiPriority w:val="99"/>
    <w:unhideWhenUsed/>
    <w:pPr>
      <w:spacing w:after="120"/>
    </w:pPr>
  </w:style>
  <w:style w:type="paragraph" w:styleId="3">
    <w:name w:val="List Number 3"/>
    <w:basedOn w:val="a1"/>
    <w:uiPriority w:val="99"/>
    <w:unhideWhenUsed/>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pPr>
      <w:spacing w:after="120"/>
      <w:ind w:left="360"/>
      <w:contextualSpacing/>
    </w:pPr>
  </w:style>
  <w:style w:type="paragraph" w:styleId="20">
    <w:name w:val="List Bullet 2"/>
    <w:basedOn w:val="a1"/>
    <w:uiPriority w:val="99"/>
    <w:unhideWhenUsed/>
    <w:pPr>
      <w:numPr>
        <w:numId w:val="6"/>
      </w:numPr>
      <w:contextualSpacing/>
    </w:pPr>
  </w:style>
  <w:style w:type="paragraph" w:styleId="ab">
    <w:name w:val="footer"/>
    <w:basedOn w:val="a1"/>
    <w:link w:val="ac"/>
    <w:uiPriority w:val="99"/>
    <w:unhideWhenUsed/>
    <w:pPr>
      <w:tabs>
        <w:tab w:val="center" w:pos="4680"/>
        <w:tab w:val="right" w:pos="9360"/>
      </w:tabs>
      <w:spacing w:after="0" w:line="240" w:lineRule="auto"/>
    </w:pPr>
  </w:style>
  <w:style w:type="paragraph" w:styleId="ad">
    <w:name w:val="header"/>
    <w:basedOn w:val="a1"/>
    <w:link w:val="ae"/>
    <w:uiPriority w:val="99"/>
    <w:unhideWhenUsed/>
    <w:pPr>
      <w:tabs>
        <w:tab w:val="center" w:pos="4680"/>
        <w:tab w:val="right" w:pos="9360"/>
      </w:tabs>
      <w:spacing w:after="0" w:line="240" w:lineRule="auto"/>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pPr>
      <w:spacing w:after="120" w:line="480" w:lineRule="auto"/>
    </w:pPr>
  </w:style>
  <w:style w:type="paragraph" w:styleId="26">
    <w:name w:val="List Continue 2"/>
    <w:basedOn w:val="a1"/>
    <w:uiPriority w:val="99"/>
    <w:unhideWhenUsed/>
    <w:pPr>
      <w:spacing w:after="120"/>
      <w:ind w:left="720"/>
      <w:contextualSpacing/>
    </w:pPr>
  </w:style>
  <w:style w:type="paragraph" w:styleId="36">
    <w:name w:val="List Continue 3"/>
    <w:basedOn w:val="a1"/>
    <w:uiPriority w:val="99"/>
    <w:unhideWhenUsed/>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rPr>
      <w:color w:val="FFFFFF" w:themeColor="background1"/>
    </w:rP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Pr>
      <w:color w:val="FFFFFF" w:themeColor="background1"/>
    </w:rP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Pr>
      <w:color w:val="FFFFFF" w:themeColor="background1"/>
    </w:rP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Pr>
      <w:color w:val="FFFFFF" w:themeColor="background1"/>
    </w:rP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Pr>
      <w:color w:val="FFFFFF" w:themeColor="background1"/>
    </w:rP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Pr>
      <w:color w:val="FFFFFF" w:themeColor="background1"/>
    </w:rP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Pr>
      <w:color w:val="FFFFFF" w:themeColor="background1"/>
    </w:rP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rPr>
      <w:color w:val="000000" w:themeColor="text1"/>
    </w:rP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Pr>
      <w:color w:val="000000" w:themeColor="text1"/>
    </w:rP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Pr>
      <w:color w:val="000000" w:themeColor="text1"/>
    </w:rP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Pr>
      <w:color w:val="000000" w:themeColor="text1"/>
    </w:rP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Pr>
      <w:color w:val="000000" w:themeColor="text1"/>
    </w:rP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Pr>
      <w:color w:val="000000" w:themeColor="text1"/>
    </w:rP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Pr>
      <w:color w:val="000000" w:themeColor="text1"/>
    </w:rP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style>
  <w:style w:type="character" w:customStyle="1" w:styleId="ac">
    <w:name w:val="页脚 字符"/>
    <w:basedOn w:val="a2"/>
    <w:link w:val="ab"/>
    <w:uiPriority w:val="99"/>
  </w:style>
  <w:style w:type="paragraph" w:styleId="afe">
    <w:name w:val="No Spacing"/>
    <w:uiPriority w:val="1"/>
    <w:qFormat/>
    <w:rPr>
      <w:sz w:val="22"/>
      <w:szCs w:val="22"/>
      <w:lang w:eastAsia="en-US"/>
    </w:rPr>
  </w:style>
  <w:style w:type="character" w:customStyle="1" w:styleId="10">
    <w:name w:val="标题 1 字符"/>
    <w:basedOn w:val="a2"/>
    <w:link w:val="1"/>
    <w:uiPriority w:val="9"/>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style>
  <w:style w:type="character" w:customStyle="1" w:styleId="25">
    <w:name w:val="正文文本 2 字符"/>
    <w:basedOn w:val="a2"/>
    <w:link w:val="24"/>
    <w:uiPriority w:val="99"/>
  </w:style>
  <w:style w:type="character" w:customStyle="1" w:styleId="35">
    <w:name w:val="正文文本 3 字符"/>
    <w:basedOn w:val="a2"/>
    <w:link w:val="34"/>
    <w:uiPriority w:val="99"/>
    <w:rPr>
      <w:sz w:val="16"/>
      <w:szCs w:val="16"/>
    </w:rPr>
  </w:style>
  <w:style w:type="character" w:customStyle="1" w:styleId="a6">
    <w:name w:val="宏文本 字符"/>
    <w:basedOn w:val="a2"/>
    <w:link w:val="a5"/>
    <w:uiPriority w:val="99"/>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rPr>
      <w:i/>
      <w:iCs/>
      <w:color w:val="000000" w:themeColor="text1"/>
    </w:rPr>
  </w:style>
  <w:style w:type="character" w:customStyle="1" w:styleId="40">
    <w:name w:val="标题 4 字符"/>
    <w:basedOn w:val="a2"/>
    <w:link w:val="4"/>
    <w:uiPriority w:val="9"/>
    <w:semiHidden/>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tyleName="APA" SelectedStyle="/APA.XSL"/>
</file>

<file path=customXml/itemProps1.xml><?xml version="1.0" encoding="utf-8"?>
<ds:datastoreItem xmlns:ds="http://schemas.openxmlformats.org/officeDocument/2006/customXml" ds:itemID="{BD26905C-9AF8-451C-B277-1164EDC8D7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Pages>
  <Words>474</Words>
  <Characters>2890</Characters>
  <Application>Microsoft Office Word</Application>
  <DocSecurity>0</DocSecurity>
  <Lines>40</Lines>
  <Paragraphs>8</Paragraphs>
  <ScaleCrop>false</ScaleCrop>
  <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lastModifiedBy>phoebusfreedom@gmail.com</cp:lastModifiedBy>
  <cp:revision>3</cp:revision>
  <dcterms:created xsi:type="dcterms:W3CDTF">2013-12-24T15:15:00Z</dcterms:created>
  <dcterms:modified xsi:type="dcterms:W3CDTF">2026-06-01T02:20:00Z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2052-7.3.1.8967</vt:lpwstr>
  </property>
  <property fmtid="{D5CDD505-2E9C-101B-9397-08002B2CF9AE}" pid="3" name="ICV">
    <vt:lpwstr>04BD69807567B60672F9196AE02E01A5_42</vt:lpwstr>
  </property>
</Properties>
</file>