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rPr>
        <w:t>Supplementary Table S1. DIAGNOdent Pen values and QrayCam Pro ΔFmax and ΔRmax across ICDAS II codes</w:t>
      </w:r>
    </w:p>
    <w:tbl>
      <w:tblPr>
        <w:tblStyle w:val="PlainTable2"/>
        <w:tblW w:w="8640"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1073"/>
        <w:gridCol w:w="577"/>
        <w:gridCol w:w="2782"/>
        <w:gridCol w:w="2097"/>
        <w:gridCol w:w="2111"/>
      </w:tblGrid>
      <w:tr>
        <w:trPr>
          <w:cnfStyle w:val="100000000000" w:firstRow="1" w:lastRow="0" w:firstColumn="0" w:lastColumn="0" w:oddVBand="0" w:evenVBand="0" w:oddHBand="0" w:evenHBand="0" w:firstRowFirstColumn="0" w:firstRowLastColumn="0" w:lastRowFirstColumn="0" w:lastRowLastColumn="0"/>
        </w:trPr>
        <w:tc>
          <w:tcPr>
            <w:tcW w:w="107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ICDAS II</w:t>
            </w:r>
          </w:p>
        </w:tc>
        <w:tc>
          <w:tcPr>
            <w:tcW w:w="577" w:type="dxa"/>
            <w:tcBorders/>
          </w:tcPr>
          <w:p>
            <w:pPr>
              <w:pStyle w:val="Normal"/>
              <w:widowControl/>
              <w:bidi w:val="0"/>
              <w:spacing w:lineRule="auto" w:line="278" w:before="0" w:after="16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n</w:t>
            </w:r>
          </w:p>
        </w:tc>
        <w:tc>
          <w:tcPr>
            <w:tcW w:w="2782" w:type="dxa"/>
            <w:tcBorders/>
          </w:tcPr>
          <w:p>
            <w:pPr>
              <w:pStyle w:val="Normal"/>
              <w:widowControl/>
              <w:bidi w:val="0"/>
              <w:spacing w:lineRule="auto" w:line="278" w:before="0" w:after="16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DIAGNOdent Pen, median (min–max)</w:t>
            </w:r>
          </w:p>
        </w:tc>
        <w:tc>
          <w:tcPr>
            <w:tcW w:w="2097" w:type="dxa"/>
            <w:tcBorders/>
          </w:tcPr>
          <w:p>
            <w:pPr>
              <w:pStyle w:val="Normal"/>
              <w:widowControl/>
              <w:bidi w:val="0"/>
              <w:spacing w:lineRule="auto" w:line="278" w:before="0" w:after="16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ΔFmax (%), median (min–max)</w:t>
            </w:r>
          </w:p>
        </w:tc>
        <w:tc>
          <w:tcPr>
            <w:tcW w:w="2111" w:type="dxa"/>
            <w:tcBorders/>
          </w:tcPr>
          <w:p>
            <w:pPr>
              <w:pStyle w:val="Normal"/>
              <w:widowControl/>
              <w:bidi w:val="0"/>
              <w:spacing w:lineRule="auto" w:line="240"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ΔRmax (%), median (min–max)</w:t>
            </w:r>
          </w:p>
        </w:tc>
      </w:tr>
      <w:tr>
        <w:trPr>
          <w:cnfStyle w:val="000000100000" w:firstRow="0" w:lastRow="0" w:firstColumn="0" w:lastColumn="0" w:oddVBand="0" w:evenVBand="0" w:oddHBand="1" w:evenHBand="0" w:firstRowFirstColumn="0" w:firstRowLastColumn="0" w:lastRowFirstColumn="0" w:lastRowLastColumn="0"/>
        </w:trPr>
        <w:tc>
          <w:tcPr>
            <w:tcW w:w="107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0</w:t>
            </w:r>
          </w:p>
        </w:tc>
        <w:tc>
          <w:tcPr>
            <w:tcW w:w="57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30</w:t>
            </w:r>
          </w:p>
        </w:tc>
        <w:tc>
          <w:tcPr>
            <w:tcW w:w="2782"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10.5 (2–16)</w:t>
            </w:r>
          </w:p>
        </w:tc>
        <w:tc>
          <w:tcPr>
            <w:tcW w:w="209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0.0 (−27 to 0)</w:t>
            </w:r>
          </w:p>
        </w:tc>
        <w:tc>
          <w:tcPr>
            <w:tcW w:w="2111"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0.0 (0–0)</w:t>
            </w:r>
          </w:p>
        </w:tc>
      </w:tr>
      <w:tr>
        <w:trPr/>
        <w:tc>
          <w:tcPr>
            <w:tcW w:w="1073"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1</w:t>
            </w:r>
          </w:p>
        </w:tc>
        <w:tc>
          <w:tcPr>
            <w:tcW w:w="577"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39</w:t>
            </w:r>
          </w:p>
        </w:tc>
        <w:tc>
          <w:tcPr>
            <w:tcW w:w="2782"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14.0 (6–25)</w:t>
            </w:r>
          </w:p>
        </w:tc>
        <w:tc>
          <w:tcPr>
            <w:tcW w:w="2097"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w:t>
            </w:r>
            <w:r>
              <w:rPr>
                <w:rFonts w:eastAsia="Aptos" w:cs="Times New Roman" w:ascii="Times New Roman" w:hAnsi="Times New Roman" w:asciiTheme="majorBidi" w:cstheme="majorBidi" w:hAnsiTheme="majorBidi"/>
                <w:kern w:val="2"/>
                <w:sz w:val="24"/>
                <w:szCs w:val="24"/>
                <w:lang w:val="en-US" w:eastAsia="en-US" w:bidi="ar-SA"/>
              </w:rPr>
              <w:t>17.0 (−53 to 0)</w:t>
            </w:r>
          </w:p>
        </w:tc>
        <w:tc>
          <w:tcPr>
            <w:tcW w:w="2111"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0.0 (0–48)</w:t>
            </w:r>
          </w:p>
        </w:tc>
      </w:tr>
      <w:tr>
        <w:trPr>
          <w:cnfStyle w:val="000000100000" w:firstRow="0" w:lastRow="0" w:firstColumn="0" w:lastColumn="0" w:oddVBand="0" w:evenVBand="0" w:oddHBand="1" w:evenHBand="0" w:firstRowFirstColumn="0" w:firstRowLastColumn="0" w:lastRowFirstColumn="0" w:lastRowLastColumn="0"/>
        </w:trPr>
        <w:tc>
          <w:tcPr>
            <w:tcW w:w="107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2</w:t>
            </w:r>
          </w:p>
        </w:tc>
        <w:tc>
          <w:tcPr>
            <w:tcW w:w="57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12</w:t>
            </w:r>
          </w:p>
        </w:tc>
        <w:tc>
          <w:tcPr>
            <w:tcW w:w="2782"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23.0 (20–40)</w:t>
            </w:r>
          </w:p>
        </w:tc>
        <w:tc>
          <w:tcPr>
            <w:tcW w:w="209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w:t>
            </w:r>
            <w:r>
              <w:rPr>
                <w:rFonts w:eastAsia="Aptos" w:cs="Times New Roman" w:ascii="Times New Roman" w:hAnsi="Times New Roman" w:asciiTheme="majorBidi" w:cstheme="majorBidi" w:hAnsiTheme="majorBidi"/>
                <w:kern w:val="2"/>
                <w:sz w:val="24"/>
                <w:szCs w:val="24"/>
                <w:lang w:val="en-US" w:eastAsia="en-US" w:bidi="ar-SA"/>
              </w:rPr>
              <w:t>34.0 (−65 to −14)</w:t>
            </w:r>
          </w:p>
        </w:tc>
        <w:tc>
          <w:tcPr>
            <w:tcW w:w="2111"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0.0 (0–56)</w:t>
            </w:r>
          </w:p>
        </w:tc>
      </w:tr>
      <w:tr>
        <w:trPr/>
        <w:tc>
          <w:tcPr>
            <w:tcW w:w="1073"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3</w:t>
            </w:r>
          </w:p>
        </w:tc>
        <w:tc>
          <w:tcPr>
            <w:tcW w:w="577"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36</w:t>
            </w:r>
          </w:p>
        </w:tc>
        <w:tc>
          <w:tcPr>
            <w:tcW w:w="2782"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45.5 (18–99)</w:t>
            </w:r>
          </w:p>
        </w:tc>
        <w:tc>
          <w:tcPr>
            <w:tcW w:w="2097"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w:t>
            </w:r>
            <w:r>
              <w:rPr>
                <w:rFonts w:eastAsia="Aptos" w:cs="Times New Roman" w:ascii="Times New Roman" w:hAnsi="Times New Roman" w:asciiTheme="majorBidi" w:cstheme="majorBidi" w:hAnsiTheme="majorBidi"/>
                <w:kern w:val="2"/>
                <w:sz w:val="24"/>
                <w:szCs w:val="24"/>
                <w:lang w:val="en-US" w:eastAsia="en-US" w:bidi="ar-SA"/>
              </w:rPr>
              <w:t>38.5 (−65 to −9)</w:t>
            </w:r>
          </w:p>
        </w:tc>
        <w:tc>
          <w:tcPr>
            <w:tcW w:w="2111"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41.5 (0–246)</w:t>
            </w:r>
          </w:p>
        </w:tc>
      </w:tr>
      <w:tr>
        <w:trPr>
          <w:cnfStyle w:val="000000100000" w:firstRow="0" w:lastRow="0" w:firstColumn="0" w:lastColumn="0" w:oddVBand="0" w:evenVBand="0" w:oddHBand="1" w:evenHBand="0" w:firstRowFirstColumn="0" w:firstRowLastColumn="0" w:lastRowFirstColumn="0" w:lastRowLastColumn="0"/>
        </w:trPr>
        <w:tc>
          <w:tcPr>
            <w:tcW w:w="107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4</w:t>
            </w:r>
          </w:p>
        </w:tc>
        <w:tc>
          <w:tcPr>
            <w:tcW w:w="57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23</w:t>
            </w:r>
          </w:p>
        </w:tc>
        <w:tc>
          <w:tcPr>
            <w:tcW w:w="2782"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68.0 (30–99)</w:t>
            </w:r>
          </w:p>
        </w:tc>
        <w:tc>
          <w:tcPr>
            <w:tcW w:w="209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w:t>
            </w:r>
            <w:r>
              <w:rPr>
                <w:rFonts w:eastAsia="Aptos" w:cs="Times New Roman" w:ascii="Times New Roman" w:hAnsi="Times New Roman" w:asciiTheme="majorBidi" w:cstheme="majorBidi" w:hAnsiTheme="majorBidi"/>
                <w:kern w:val="2"/>
                <w:sz w:val="24"/>
                <w:szCs w:val="24"/>
                <w:lang w:val="en-US" w:eastAsia="en-US" w:bidi="ar-SA"/>
              </w:rPr>
              <w:t>60.0 (−77 to −9)</w:t>
            </w:r>
          </w:p>
        </w:tc>
        <w:tc>
          <w:tcPr>
            <w:tcW w:w="2111"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68.0 (0–149)</w:t>
            </w:r>
          </w:p>
        </w:tc>
      </w:tr>
      <w:tr>
        <w:trPr/>
        <w:tc>
          <w:tcPr>
            <w:tcW w:w="1073"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5</w:t>
            </w:r>
          </w:p>
        </w:tc>
        <w:tc>
          <w:tcPr>
            <w:tcW w:w="577"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5</w:t>
            </w:r>
          </w:p>
        </w:tc>
        <w:tc>
          <w:tcPr>
            <w:tcW w:w="2782"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99.0 (67–99)</w:t>
            </w:r>
          </w:p>
        </w:tc>
        <w:tc>
          <w:tcPr>
            <w:tcW w:w="2097"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w:t>
            </w:r>
            <w:r>
              <w:rPr>
                <w:rFonts w:eastAsia="Aptos" w:cs="Times New Roman" w:ascii="Times New Roman" w:hAnsi="Times New Roman" w:asciiTheme="majorBidi" w:cstheme="majorBidi" w:hAnsiTheme="majorBidi"/>
                <w:kern w:val="2"/>
                <w:sz w:val="24"/>
                <w:szCs w:val="24"/>
                <w:lang w:val="en-US" w:eastAsia="en-US" w:bidi="ar-SA"/>
              </w:rPr>
              <w:t>65.0 (−78 to −13)</w:t>
            </w:r>
          </w:p>
        </w:tc>
        <w:tc>
          <w:tcPr>
            <w:tcW w:w="2111" w:type="dxa"/>
            <w:tcBorders>
              <w:top w:val="nil"/>
              <w:bottom w:val="nil"/>
            </w:tcBorders>
          </w:tcPr>
          <w:p>
            <w:pPr>
              <w:pStyle w:val="Normal"/>
              <w:widowControl/>
              <w:bidi w:val="0"/>
              <w:spacing w:lineRule="auto" w:line="278" w:before="0" w:after="16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281.0 (0–297)</w:t>
            </w:r>
          </w:p>
        </w:tc>
      </w:tr>
      <w:tr>
        <w:trPr>
          <w:cnfStyle w:val="000000100000" w:firstRow="0" w:lastRow="0" w:firstColumn="0" w:lastColumn="0" w:oddVBand="0" w:evenVBand="0" w:oddHBand="1" w:evenHBand="0" w:firstRowFirstColumn="0" w:firstRowLastColumn="0" w:lastRowFirstColumn="0" w:lastRowLastColumn="0"/>
        </w:trPr>
        <w:tc>
          <w:tcPr>
            <w:tcW w:w="107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Total</w:t>
            </w:r>
          </w:p>
        </w:tc>
        <w:tc>
          <w:tcPr>
            <w:tcW w:w="57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145</w:t>
            </w:r>
          </w:p>
        </w:tc>
        <w:tc>
          <w:tcPr>
            <w:tcW w:w="2782"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21.0 (2–99)</w:t>
            </w:r>
          </w:p>
        </w:tc>
        <w:tc>
          <w:tcPr>
            <w:tcW w:w="2097"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w:t>
            </w:r>
            <w:r>
              <w:rPr>
                <w:rFonts w:eastAsia="Aptos" w:cs="Times New Roman" w:ascii="Times New Roman" w:hAnsi="Times New Roman" w:asciiTheme="majorBidi" w:cstheme="majorBidi" w:hAnsiTheme="majorBidi"/>
                <w:kern w:val="2"/>
                <w:sz w:val="24"/>
                <w:szCs w:val="24"/>
                <w:lang w:val="en-US" w:eastAsia="en-US" w:bidi="ar-SA"/>
              </w:rPr>
              <w:t>27.0 (−78 to 0)</w:t>
            </w:r>
          </w:p>
        </w:tc>
        <w:tc>
          <w:tcPr>
            <w:tcW w:w="2111"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0.0 (0–297)</w:t>
            </w:r>
          </w:p>
        </w:tc>
      </w:tr>
    </w:tbl>
    <w:p>
      <w:pPr>
        <w:pStyle w:val="Normal"/>
        <w:bidi w:val="0"/>
        <w:jc w:val="start"/>
        <w:rPr>
          <w:rFonts w:ascii="Times New Roman" w:hAnsi="Times New Roman" w:cs="Times New Roman" w:asciiTheme="majorBidi" w:cstheme="majorBidi" w:hAnsiTheme="majorBidi"/>
        </w:rPr>
      </w:pPr>
      <w:r>
        <w:rPr>
          <w:rFonts w:cs="Times New Roman" w:cstheme="majorBidi" w:ascii="Times New Roman" w:hAnsi="Times New Roman"/>
          <w:i/>
          <w:iCs/>
        </w:rPr>
        <w:t>ΔFmax = maximum percentage fluorescence loss within the lesion area (negative values indicate loss relative to surrounding sound enamel); ΔRmax = maximum percentage increase in the red/green fluorescence ratio within the lesion area relative to surrounding sound enamel.</w:t>
      </w:r>
    </w:p>
    <w:p>
      <w:pPr>
        <w:pStyle w:val="Normal"/>
        <w:bidi w:val="0"/>
        <w:jc w:val="start"/>
        <w:rPr>
          <w:rFonts w:ascii="Times New Roman" w:hAnsi="Times New Roman" w:cs="Times New Roman" w:asciiTheme="majorBidi" w:cstheme="majorBidi" w:hAnsiTheme="majorBidi"/>
        </w:rPr>
      </w:pPr>
      <w:r>
        <w:rPr>
          <w:rFonts w:cs="Times New Roman" w:cstheme="majorBidi" w:ascii="Times New Roman" w:hAnsi="Times New Roman"/>
          <w:i/>
          <w:iCs/>
        </w:rPr>
      </w:r>
    </w:p>
    <w:p>
      <w:pPr>
        <w:pStyle w:val="Normal"/>
        <w:bidi w:val="0"/>
        <w:jc w:val="start"/>
        <w:rPr>
          <w:rFonts w:ascii="Times New Roman" w:hAnsi="Times New Roman" w:cs="Times New Roman" w:asciiTheme="majorBidi" w:cstheme="majorBidi" w:hAnsiTheme="majorBidi"/>
        </w:rPr>
      </w:pPr>
      <w:r>
        <w:rPr>
          <w:rFonts w:cs="Times New Roman" w:ascii="Times New Roman" w:hAnsi="Times New Roman" w:asciiTheme="majorBidi" w:cstheme="majorBidi" w:hAnsiTheme="majorBidi"/>
        </w:rPr>
        <w:t>Supplementary Table S2. Exploratory ROC-derived cut-off values (maximum Youden index) for detecting any lesion (E0 vs E1+E2+D1)</w:t>
      </w:r>
    </w:p>
    <w:tbl>
      <w:tblPr>
        <w:tblStyle w:val="PlainTable2"/>
        <w:tblW w:w="6105"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2103"/>
        <w:gridCol w:w="1436"/>
        <w:gridCol w:w="1282"/>
        <w:gridCol w:w="1284"/>
      </w:tblGrid>
      <w:tr>
        <w:trPr>
          <w:cnfStyle w:val="100000000000" w:firstRow="1" w:lastRow="0" w:firstColumn="0" w:lastColumn="0" w:oddVBand="0" w:evenVBand="0" w:oddHBand="0" w:evenHBand="0" w:firstRowFirstColumn="0" w:firstRowLastColumn="0" w:lastRowFirstColumn="0" w:lastRowLastColumn="0"/>
        </w:trPr>
        <w:tc>
          <w:tcPr>
            <w:tcW w:w="210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Metric</w:t>
            </w:r>
          </w:p>
        </w:tc>
        <w:tc>
          <w:tcPr>
            <w:tcW w:w="1436" w:type="dxa"/>
            <w:tcBorders/>
          </w:tcPr>
          <w:p>
            <w:pPr>
              <w:pStyle w:val="Normal"/>
              <w:widowControl/>
              <w:bidi w:val="0"/>
              <w:spacing w:lineRule="auto" w:line="278" w:before="0" w:after="16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Cut-off rule</w:t>
            </w:r>
          </w:p>
        </w:tc>
        <w:tc>
          <w:tcPr>
            <w:tcW w:w="1282" w:type="dxa"/>
            <w:tcBorders/>
          </w:tcPr>
          <w:p>
            <w:pPr>
              <w:pStyle w:val="Normal"/>
              <w:widowControl/>
              <w:bidi w:val="0"/>
              <w:spacing w:lineRule="auto" w:line="278" w:before="0" w:after="16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Sensitivity</w:t>
            </w:r>
          </w:p>
        </w:tc>
        <w:tc>
          <w:tcPr>
            <w:tcW w:w="1284" w:type="dxa"/>
            <w:tcBorders/>
          </w:tcPr>
          <w:p>
            <w:pPr>
              <w:pStyle w:val="Normal"/>
              <w:widowControl/>
              <w:bidi w:val="0"/>
              <w:spacing w:lineRule="auto" w:line="278" w:before="0" w:after="160"/>
              <w:jc w:val="star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Specificity</w:t>
            </w:r>
          </w:p>
        </w:tc>
      </w:tr>
      <w:tr>
        <w:trPr>
          <w:cnfStyle w:val="000000100000" w:firstRow="0" w:lastRow="0" w:firstColumn="0" w:lastColumn="0" w:oddVBand="0" w:evenVBand="0" w:oddHBand="1" w:evenHBand="0" w:firstRowFirstColumn="0" w:firstRowLastColumn="0" w:lastRowFirstColumn="0" w:lastRowLastColumn="0"/>
        </w:trPr>
        <w:tc>
          <w:tcPr>
            <w:tcW w:w="210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DIAGNOdent Pen</w:t>
            </w:r>
          </w:p>
        </w:tc>
        <w:tc>
          <w:tcPr>
            <w:tcW w:w="1436"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 xml:space="preserve">≥ </w:t>
            </w:r>
            <w:r>
              <w:rPr>
                <w:rFonts w:eastAsia="Aptos" w:cs="Times New Roman" w:ascii="Times New Roman" w:hAnsi="Times New Roman" w:asciiTheme="majorBidi" w:cstheme="majorBidi" w:hAnsiTheme="majorBidi"/>
                <w:kern w:val="2"/>
                <w:sz w:val="24"/>
                <w:szCs w:val="24"/>
                <w:lang w:val="en-US" w:eastAsia="en-US" w:bidi="ar-SA"/>
              </w:rPr>
              <w:t>14.5</w:t>
            </w:r>
          </w:p>
        </w:tc>
        <w:tc>
          <w:tcPr>
            <w:tcW w:w="1282"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0.809</w:t>
            </w:r>
          </w:p>
        </w:tc>
        <w:tc>
          <w:tcPr>
            <w:tcW w:w="1284"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0.967</w:t>
            </w:r>
          </w:p>
        </w:tc>
      </w:tr>
      <w:tr>
        <w:trPr/>
        <w:tc>
          <w:tcPr>
            <w:tcW w:w="2103"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ΔFmax (%)</w:t>
            </w:r>
          </w:p>
        </w:tc>
        <w:tc>
          <w:tcPr>
            <w:tcW w:w="1436" w:type="dxa"/>
            <w:tcBorders>
              <w:top w:val="nil"/>
              <w:bottom w:val="nil"/>
            </w:tcBorders>
          </w:tcPr>
          <w:p>
            <w:pPr>
              <w:pStyle w:val="Normal"/>
              <w:widowControl/>
              <w:bidi w:val="0"/>
              <w:spacing w:lineRule="auto" w:line="240"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 −</w:t>
            </w:r>
            <w:r>
              <w:rPr>
                <w:rFonts w:eastAsia="Aptos" w:cs="Times New Roman" w:ascii="Times New Roman" w:hAnsi="Times New Roman" w:asciiTheme="majorBidi" w:cstheme="majorBidi" w:hAnsiTheme="majorBidi"/>
                <w:kern w:val="2"/>
                <w:sz w:val="24"/>
                <w:szCs w:val="24"/>
                <w:lang w:val="en-US" w:eastAsia="en-US" w:bidi="ar-SA"/>
              </w:rPr>
              <w:t>6.5</w:t>
            </w:r>
          </w:p>
        </w:tc>
        <w:tc>
          <w:tcPr>
            <w:tcW w:w="1282" w:type="dxa"/>
            <w:tcBorders>
              <w:top w:val="nil"/>
              <w:bottom w:val="nil"/>
            </w:tcBorders>
          </w:tcPr>
          <w:p>
            <w:pPr>
              <w:pStyle w:val="Normal"/>
              <w:widowControl/>
              <w:bidi w:val="0"/>
              <w:spacing w:lineRule="auto" w:line="240"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0.983</w:t>
            </w:r>
          </w:p>
        </w:tc>
        <w:tc>
          <w:tcPr>
            <w:tcW w:w="1284" w:type="dxa"/>
            <w:tcBorders>
              <w:top w:val="nil"/>
              <w:bottom w:val="nil"/>
            </w:tcBorders>
          </w:tcPr>
          <w:p>
            <w:pPr>
              <w:pStyle w:val="Normal"/>
              <w:widowControl/>
              <w:bidi w:val="0"/>
              <w:spacing w:lineRule="auto" w:line="240"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0.900</w:t>
            </w:r>
          </w:p>
        </w:tc>
      </w:tr>
      <w:tr>
        <w:trPr>
          <w:cnfStyle w:val="000000100000" w:firstRow="0" w:lastRow="0" w:firstColumn="0" w:lastColumn="0" w:oddVBand="0" w:evenVBand="0" w:oddHBand="1" w:evenHBand="0" w:firstRowFirstColumn="0" w:firstRowLastColumn="0" w:lastRowFirstColumn="0" w:lastRowLastColumn="0"/>
        </w:trPr>
        <w:tc>
          <w:tcPr>
            <w:tcW w:w="2103" w:type="dxa"/>
            <w:cnfStyle w:val="001000000000" w:firstRow="0" w:lastRow="0" w:firstColumn="1" w:lastColumn="0" w:oddVBand="0" w:evenVBand="0" w:oddHBand="0" w:evenHBand="0" w:firstRowFirstColumn="0" w:firstRowLastColumn="0" w:lastRowFirstColumn="0" w:lastRowLastColumn="0"/>
            <w:tcBorders/>
          </w:tcPr>
          <w:p>
            <w:pPr>
              <w:pStyle w:val="Normal"/>
              <w:widowControl/>
              <w:bidi w:val="0"/>
              <w:spacing w:lineRule="auto" w:line="278" w:before="0" w:after="160"/>
              <w:jc w:val="start"/>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b/>
                <w:bCs/>
                <w:kern w:val="2"/>
                <w:sz w:val="24"/>
                <w:szCs w:val="24"/>
                <w:lang w:val="en-US" w:eastAsia="en-US" w:bidi="ar-SA"/>
              </w:rPr>
              <w:t>ΔRmax (%)</w:t>
            </w:r>
          </w:p>
        </w:tc>
        <w:tc>
          <w:tcPr>
            <w:tcW w:w="1436"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 xml:space="preserve">≥ </w:t>
            </w:r>
            <w:r>
              <w:rPr>
                <w:rFonts w:eastAsia="Aptos" w:cs="Times New Roman" w:ascii="Times New Roman" w:hAnsi="Times New Roman" w:asciiTheme="majorBidi" w:cstheme="majorBidi" w:hAnsiTheme="majorBidi"/>
                <w:kern w:val="2"/>
                <w:sz w:val="24"/>
                <w:szCs w:val="24"/>
                <w:lang w:val="en-US" w:eastAsia="en-US" w:bidi="ar-SA"/>
              </w:rPr>
              <w:t>11.5</w:t>
            </w:r>
          </w:p>
        </w:tc>
        <w:tc>
          <w:tcPr>
            <w:tcW w:w="1282"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0.487</w:t>
            </w:r>
          </w:p>
        </w:tc>
        <w:tc>
          <w:tcPr>
            <w:tcW w:w="1284" w:type="dxa"/>
            <w:tcBorders/>
          </w:tcPr>
          <w:p>
            <w:pPr>
              <w:pStyle w:val="Normal"/>
              <w:widowControl/>
              <w:bidi w:val="0"/>
              <w:spacing w:lineRule="auto" w:line="278" w:before="0" w:after="160"/>
              <w:jc w:val="star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asciiTheme="majorBidi" w:cstheme="majorBidi" w:hAnsiTheme="majorBidi"/>
              </w:rPr>
            </w:pPr>
            <w:r>
              <w:rPr>
                <w:rFonts w:eastAsia="Aptos" w:cs="Times New Roman" w:ascii="Times New Roman" w:hAnsi="Times New Roman" w:asciiTheme="majorBidi" w:cstheme="majorBidi" w:hAnsiTheme="majorBidi"/>
                <w:kern w:val="2"/>
                <w:sz w:val="24"/>
                <w:szCs w:val="24"/>
                <w:lang w:val="en-US" w:eastAsia="en-US" w:bidi="ar-SA"/>
              </w:rPr>
              <w:t>1.000</w:t>
            </w:r>
          </w:p>
        </w:tc>
      </w:tr>
    </w:tbl>
    <w:p>
      <w:pPr>
        <w:pStyle w:val="Normal"/>
        <w:bidi w:val="0"/>
        <w:jc w:val="start"/>
        <w:rPr>
          <w:rFonts w:ascii="Times New Roman" w:hAnsi="Times New Roman" w:cs="Times New Roman" w:asciiTheme="majorBidi" w:cstheme="majorBidi" w:hAnsiTheme="majorBidi"/>
          <w:vertAlign w:val="superscript"/>
        </w:rPr>
      </w:pPr>
      <w:r>
        <w:rPr>
          <w:rFonts w:cs="Times New Roman" w:ascii="Times New Roman" w:hAnsi="Times New Roman" w:asciiTheme="majorBidi" w:cstheme="majorBidi" w:hAnsiTheme="majorBidi"/>
        </w:rPr>
        <w:t>ΔFmax values are negative; more negative values indicate greater fluorescence loss. Therefore, a positive test was defined as ΔFmax ≤ −6.5%. Cut-off values are exploratory and require external validation before clinical use.</w:t>
      </w:r>
    </w:p>
    <w:p>
      <w:pPr>
        <w:pStyle w:val="Normal"/>
        <w:bidi w:val="0"/>
        <w:jc w:val="start"/>
        <w:rPr/>
      </w:pPr>
      <w:r>
        <w:rPr>
          <w:rFonts w:eastAsia="Times New Roman" w:ascii="Times New Roman" w:hAnsi="Times New Roman"/>
          <w:sz w:val="22"/>
        </w:rPr>
        <w:t>Supplementary Table S3. Quantitative values shown in the representative QrayCam Pro examples in Figure 3</w:t>
      </w:r>
    </w:p>
    <w:tbl>
      <w:tblPr>
        <w:tblW w:w="8640"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1728"/>
        <w:gridCol w:w="1728"/>
        <w:gridCol w:w="1728"/>
        <w:gridCol w:w="1728"/>
        <w:gridCol w:w="1728"/>
      </w:tblGrid>
      <w:tr>
        <w:trPr>
          <w:tblHeader w:val="true"/>
        </w:trPr>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Representative ICDAS category</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ΔF (%)</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ΔFmax (%)</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ΔR (%)</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ΔRmax (%)</w:t>
            </w:r>
          </w:p>
        </w:tc>
      </w:tr>
      <w:tr>
        <w:trPr/>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ICDAS 1</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6.5</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9.8</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21</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0</w:t>
            </w:r>
          </w:p>
        </w:tc>
      </w:tr>
      <w:tr>
        <w:trPr/>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ICDAS 2</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11.6</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36.1</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32</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64</w:t>
            </w:r>
          </w:p>
        </w:tc>
      </w:tr>
      <w:tr>
        <w:trPr/>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ICDAS 3</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20.9</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71.2</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38</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164</w:t>
            </w:r>
          </w:p>
        </w:tc>
      </w:tr>
      <w:tr>
        <w:trPr/>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b/>
                <w:sz w:val="21"/>
              </w:rPr>
              <w:t>ICDAS 4</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30.9</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w:t>
            </w:r>
            <w:r>
              <w:rPr>
                <w:rFonts w:eastAsia="Times New Roman" w:ascii="Times New Roman" w:hAnsi="Times New Roman"/>
                <w:sz w:val="21"/>
              </w:rPr>
              <w:t>76.6</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74</w:t>
            </w:r>
          </w:p>
        </w:tc>
        <w:tc>
          <w:tcPr>
            <w:tcW w:w="1728" w:type="dxa"/>
            <w:tcBorders>
              <w:top w:val="single" w:sz="4" w:space="0" w:color="777777"/>
              <w:bottom w:val="single" w:sz="4" w:space="0" w:color="777777"/>
            </w:tcBorders>
          </w:tcPr>
          <w:p>
            <w:pPr>
              <w:pStyle w:val="Normal"/>
              <w:bidi w:val="0"/>
              <w:jc w:val="start"/>
              <w:rPr/>
            </w:pPr>
            <w:r>
              <w:rPr>
                <w:rFonts w:eastAsia="Times New Roman" w:ascii="Times New Roman" w:hAnsi="Times New Roman"/>
                <w:sz w:val="21"/>
              </w:rPr>
              <w:t>319</w:t>
            </w:r>
          </w:p>
        </w:tc>
      </w:tr>
    </w:tbl>
    <w:p>
      <w:pPr>
        <w:pStyle w:val="Normal"/>
        <w:bidi w:val="0"/>
        <w:jc w:val="start"/>
        <w:rPr>
          <w:rFonts w:ascii="Times New Roman" w:hAnsi="Times New Roman" w:cs="Times New Roman" w:asciiTheme="majorBidi" w:cstheme="majorBidi" w:hAnsiTheme="majorBidi"/>
        </w:rPr>
      </w:pPr>
      <w:r>
        <w:rPr>
          <w:rFonts w:eastAsia="Times New Roman" w:cs="Times New Roman" w:cstheme="majorBidi" w:ascii="Times New Roman" w:hAnsi="Times New Roman"/>
          <w:i/>
          <w:iCs/>
          <w:sz w:val="21"/>
        </w:rPr>
        <w:t>Values were transcribed from the QrayCam Pro output panels of the representative examples shown in Figure 3. Decimal commas in the software output were converted to decimal points for consistency with the manuscript. These illustrative values are not additional analytical data and should not be interpreted as diagnostic cut-offs.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75"/>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LibreOffice/25.8.3.2$Windows_X86_64 LibreOffice_project/8ca8d55c161d602844f5428fa4b58097424e324e</Application>
  <AppVersion>15.0000</AppVersion>
  <Pages>1</Pages>
  <Words>327</Words>
  <Characters>1588</Characters>
  <CharactersWithSpaces>1811</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2026-07-02T13:03:45Z</dcterms:created>
  <dc:creator/>
  <dc:description/>
  <dc:language>en-US</dc:language>
  <cp:lastModifiedBy/>
  <dcterms:modified xsi:type="dcterms:W3CDTF">2026-07-02T13:06:50Z</dcterms:modified>
  <cp:revision>1</cp:revision>
  <dc:subject/>
  <dc:title/>
</cp:coreProperties>
</file>