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9042" w14:textId="5F8262FE" w:rsidR="00001EFB" w:rsidRPr="00001EFB" w:rsidRDefault="00B131F6" w:rsidP="00001EFB">
      <w:pPr>
        <w:spacing w:after="0"/>
        <w:jc w:val="both"/>
        <w:rPr>
          <w:szCs w:val="24"/>
          <w:highlight w:val="yellow"/>
        </w:rPr>
      </w:pPr>
      <w:r w:rsidRPr="00001EFB">
        <w:rPr>
          <w:b/>
          <w:bCs/>
          <w:szCs w:val="24"/>
          <w:highlight w:val="yellow"/>
        </w:rPr>
        <w:t>Supplementary Table S1.</w:t>
      </w:r>
      <w:r w:rsidR="00001EFB" w:rsidRPr="00001EFB">
        <w:rPr>
          <w:b/>
          <w:bCs/>
          <w:szCs w:val="24"/>
          <w:highlight w:val="yellow"/>
        </w:rPr>
        <w:t xml:space="preserve"> </w:t>
      </w:r>
      <w:r w:rsidR="00001EFB" w:rsidRPr="00001EFB">
        <w:rPr>
          <w:highlight w:val="yellow"/>
        </w:rPr>
        <w:t>Full Cox proportional hazards regression model including all bone-type categories.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1033"/>
        <w:gridCol w:w="1020"/>
        <w:gridCol w:w="836"/>
      </w:tblGrid>
      <w:tr w:rsidR="00001EFB" w:rsidRPr="00001EFB" w14:paraId="544AFCCD" w14:textId="77777777" w:rsidTr="00001E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60E474" w14:textId="77777777" w:rsidR="00001EFB" w:rsidRPr="00001EFB" w:rsidRDefault="00001EFB" w:rsidP="00001EFB">
            <w:pPr>
              <w:spacing w:after="0" w:line="360" w:lineRule="auto"/>
              <w:rPr>
                <w:b/>
                <w:bCs/>
                <w:highlight w:val="yellow"/>
              </w:rPr>
            </w:pPr>
            <w:r w:rsidRPr="00001EFB">
              <w:rPr>
                <w:b/>
                <w:bCs/>
                <w:highlight w:val="yellow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0A2923FE" w14:textId="77777777" w:rsidR="00001EFB" w:rsidRPr="00001EFB" w:rsidRDefault="00001EFB" w:rsidP="00001EFB">
            <w:pPr>
              <w:spacing w:after="0" w:line="360" w:lineRule="auto"/>
              <w:rPr>
                <w:b/>
                <w:bCs/>
                <w:highlight w:val="yellow"/>
              </w:rPr>
            </w:pPr>
            <w:r w:rsidRPr="00001EFB">
              <w:rPr>
                <w:b/>
                <w:bCs/>
                <w:highlight w:val="yellow"/>
              </w:rPr>
              <w:t>HR</w:t>
            </w:r>
          </w:p>
        </w:tc>
        <w:tc>
          <w:tcPr>
            <w:tcW w:w="0" w:type="auto"/>
            <w:vAlign w:val="center"/>
            <w:hideMark/>
          </w:tcPr>
          <w:p w14:paraId="67566ADD" w14:textId="77777777" w:rsidR="00001EFB" w:rsidRPr="00001EFB" w:rsidRDefault="00001EFB" w:rsidP="00001EFB">
            <w:pPr>
              <w:spacing w:after="0" w:line="360" w:lineRule="auto"/>
              <w:rPr>
                <w:b/>
                <w:bCs/>
                <w:highlight w:val="yellow"/>
              </w:rPr>
            </w:pPr>
            <w:r w:rsidRPr="00001EFB">
              <w:rPr>
                <w:b/>
                <w:bCs/>
                <w:highlight w:val="yellow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794E84D6" w14:textId="77777777" w:rsidR="00001EFB" w:rsidRPr="00001EFB" w:rsidRDefault="00001EFB" w:rsidP="00001EFB">
            <w:pPr>
              <w:spacing w:after="0" w:line="360" w:lineRule="auto"/>
              <w:rPr>
                <w:b/>
                <w:bCs/>
                <w:highlight w:val="yellow"/>
              </w:rPr>
            </w:pPr>
            <w:r w:rsidRPr="00001EFB">
              <w:rPr>
                <w:b/>
                <w:bCs/>
                <w:highlight w:val="yellow"/>
              </w:rPr>
              <w:t>p-value</w:t>
            </w:r>
          </w:p>
        </w:tc>
      </w:tr>
      <w:tr w:rsidR="00001EFB" w:rsidRPr="00001EFB" w14:paraId="018F22D5" w14:textId="77777777" w:rsidTr="00001E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BD13670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Bone Type 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4224B18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2A79A7B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2DE3474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—</w:t>
            </w:r>
          </w:p>
        </w:tc>
      </w:tr>
      <w:tr w:rsidR="00001EFB" w:rsidRPr="00001EFB" w14:paraId="65C2EFDF" w14:textId="77777777" w:rsidTr="00001E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7ECF0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Bone Type 2 vs Type 1</w:t>
            </w:r>
          </w:p>
        </w:tc>
        <w:tc>
          <w:tcPr>
            <w:tcW w:w="0" w:type="auto"/>
            <w:vAlign w:val="center"/>
            <w:hideMark/>
          </w:tcPr>
          <w:p w14:paraId="5B89AFCB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1.34</w:t>
            </w:r>
          </w:p>
        </w:tc>
        <w:tc>
          <w:tcPr>
            <w:tcW w:w="0" w:type="auto"/>
            <w:vAlign w:val="center"/>
            <w:hideMark/>
          </w:tcPr>
          <w:p w14:paraId="4C29E6D2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0.54–3.33</w:t>
            </w:r>
          </w:p>
        </w:tc>
        <w:tc>
          <w:tcPr>
            <w:tcW w:w="0" w:type="auto"/>
            <w:vAlign w:val="center"/>
            <w:hideMark/>
          </w:tcPr>
          <w:p w14:paraId="7E88EB97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0.529</w:t>
            </w:r>
          </w:p>
        </w:tc>
      </w:tr>
      <w:tr w:rsidR="00001EFB" w:rsidRPr="00001EFB" w14:paraId="13EAE2C5" w14:textId="77777777" w:rsidTr="00001E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92D22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Bone Type 3 vs Type 1</w:t>
            </w:r>
          </w:p>
        </w:tc>
        <w:tc>
          <w:tcPr>
            <w:tcW w:w="0" w:type="auto"/>
            <w:vAlign w:val="center"/>
            <w:hideMark/>
          </w:tcPr>
          <w:p w14:paraId="7DC53323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2.08</w:t>
            </w:r>
          </w:p>
        </w:tc>
        <w:tc>
          <w:tcPr>
            <w:tcW w:w="0" w:type="auto"/>
            <w:vAlign w:val="center"/>
            <w:hideMark/>
          </w:tcPr>
          <w:p w14:paraId="1147B1FE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0.89–4.86</w:t>
            </w:r>
          </w:p>
        </w:tc>
        <w:tc>
          <w:tcPr>
            <w:tcW w:w="0" w:type="auto"/>
            <w:vAlign w:val="center"/>
            <w:hideMark/>
          </w:tcPr>
          <w:p w14:paraId="06841373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0.091</w:t>
            </w:r>
          </w:p>
        </w:tc>
      </w:tr>
      <w:tr w:rsidR="00001EFB" w:rsidRPr="00001EFB" w14:paraId="1EFFB0B5" w14:textId="77777777" w:rsidTr="00001E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A57B0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Bone Type 4 vs Type 1</w:t>
            </w:r>
          </w:p>
        </w:tc>
        <w:tc>
          <w:tcPr>
            <w:tcW w:w="0" w:type="auto"/>
            <w:vAlign w:val="center"/>
            <w:hideMark/>
          </w:tcPr>
          <w:p w14:paraId="68D2D6A6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3.14</w:t>
            </w:r>
          </w:p>
        </w:tc>
        <w:tc>
          <w:tcPr>
            <w:tcW w:w="0" w:type="auto"/>
            <w:vAlign w:val="center"/>
            <w:hideMark/>
          </w:tcPr>
          <w:p w14:paraId="7B8184BA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1.34–7.36</w:t>
            </w:r>
          </w:p>
        </w:tc>
        <w:tc>
          <w:tcPr>
            <w:tcW w:w="0" w:type="auto"/>
            <w:vAlign w:val="center"/>
            <w:hideMark/>
          </w:tcPr>
          <w:p w14:paraId="32CDDF63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0.008</w:t>
            </w:r>
          </w:p>
        </w:tc>
      </w:tr>
      <w:tr w:rsidR="00001EFB" w:rsidRPr="00001EFB" w14:paraId="42387456" w14:textId="77777777" w:rsidTr="00001E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ADE21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Smoking</w:t>
            </w:r>
          </w:p>
        </w:tc>
        <w:tc>
          <w:tcPr>
            <w:tcW w:w="0" w:type="auto"/>
            <w:vAlign w:val="center"/>
            <w:hideMark/>
          </w:tcPr>
          <w:p w14:paraId="519871AD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1.86</w:t>
            </w:r>
          </w:p>
        </w:tc>
        <w:tc>
          <w:tcPr>
            <w:tcW w:w="0" w:type="auto"/>
            <w:vAlign w:val="center"/>
            <w:hideMark/>
          </w:tcPr>
          <w:p w14:paraId="604DE3F2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1.06–3.28</w:t>
            </w:r>
          </w:p>
        </w:tc>
        <w:tc>
          <w:tcPr>
            <w:tcW w:w="0" w:type="auto"/>
            <w:vAlign w:val="center"/>
            <w:hideMark/>
          </w:tcPr>
          <w:p w14:paraId="272E9C8C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0.031</w:t>
            </w:r>
          </w:p>
        </w:tc>
      </w:tr>
      <w:tr w:rsidR="00001EFB" w:rsidRPr="00001EFB" w14:paraId="6CF24F06" w14:textId="77777777" w:rsidTr="00001E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3DA0B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Diabetes mellitus</w:t>
            </w:r>
          </w:p>
        </w:tc>
        <w:tc>
          <w:tcPr>
            <w:tcW w:w="0" w:type="auto"/>
            <w:vAlign w:val="center"/>
            <w:hideMark/>
          </w:tcPr>
          <w:p w14:paraId="7C608074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1.31</w:t>
            </w:r>
          </w:p>
        </w:tc>
        <w:tc>
          <w:tcPr>
            <w:tcW w:w="0" w:type="auto"/>
            <w:vAlign w:val="center"/>
            <w:hideMark/>
          </w:tcPr>
          <w:p w14:paraId="1D2CE5A4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0.69–2.49</w:t>
            </w:r>
          </w:p>
        </w:tc>
        <w:tc>
          <w:tcPr>
            <w:tcW w:w="0" w:type="auto"/>
            <w:vAlign w:val="center"/>
            <w:hideMark/>
          </w:tcPr>
          <w:p w14:paraId="5E729606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0.407</w:t>
            </w:r>
          </w:p>
        </w:tc>
      </w:tr>
      <w:tr w:rsidR="00001EFB" w:rsidRPr="00001EFB" w14:paraId="418AAFAC" w14:textId="77777777" w:rsidTr="00001E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E9A22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Jaw location</w:t>
            </w:r>
          </w:p>
        </w:tc>
        <w:tc>
          <w:tcPr>
            <w:tcW w:w="0" w:type="auto"/>
            <w:vAlign w:val="center"/>
            <w:hideMark/>
          </w:tcPr>
          <w:p w14:paraId="5EFBD50E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1.19</w:t>
            </w:r>
          </w:p>
        </w:tc>
        <w:tc>
          <w:tcPr>
            <w:tcW w:w="0" w:type="auto"/>
            <w:vAlign w:val="center"/>
            <w:hideMark/>
          </w:tcPr>
          <w:p w14:paraId="7E295798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0.68–2.09</w:t>
            </w:r>
          </w:p>
        </w:tc>
        <w:tc>
          <w:tcPr>
            <w:tcW w:w="0" w:type="auto"/>
            <w:vAlign w:val="center"/>
            <w:hideMark/>
          </w:tcPr>
          <w:p w14:paraId="13125670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0.541</w:t>
            </w:r>
          </w:p>
        </w:tc>
      </w:tr>
      <w:tr w:rsidR="00001EFB" w:rsidRPr="00001EFB" w14:paraId="07D9CB23" w14:textId="77777777" w:rsidTr="00001E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2410A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Loading protocol</w:t>
            </w:r>
          </w:p>
        </w:tc>
        <w:tc>
          <w:tcPr>
            <w:tcW w:w="0" w:type="auto"/>
            <w:vAlign w:val="center"/>
            <w:hideMark/>
          </w:tcPr>
          <w:p w14:paraId="2005D129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0.93</w:t>
            </w:r>
          </w:p>
        </w:tc>
        <w:tc>
          <w:tcPr>
            <w:tcW w:w="0" w:type="auto"/>
            <w:vAlign w:val="center"/>
            <w:hideMark/>
          </w:tcPr>
          <w:p w14:paraId="1A35D209" w14:textId="77777777" w:rsidR="00001EFB" w:rsidRPr="00001EFB" w:rsidRDefault="00001EFB" w:rsidP="00001EFB">
            <w:pPr>
              <w:spacing w:after="0" w:line="360" w:lineRule="auto"/>
              <w:rPr>
                <w:highlight w:val="yellow"/>
              </w:rPr>
            </w:pPr>
            <w:r w:rsidRPr="00001EFB">
              <w:rPr>
                <w:highlight w:val="yellow"/>
              </w:rPr>
              <w:t>0.53–1.64</w:t>
            </w:r>
          </w:p>
        </w:tc>
        <w:tc>
          <w:tcPr>
            <w:tcW w:w="0" w:type="auto"/>
            <w:vAlign w:val="center"/>
            <w:hideMark/>
          </w:tcPr>
          <w:p w14:paraId="1DC774D5" w14:textId="77777777" w:rsidR="00001EFB" w:rsidRPr="00001EFB" w:rsidRDefault="00001EFB" w:rsidP="00001EFB">
            <w:pPr>
              <w:spacing w:after="0" w:line="360" w:lineRule="auto"/>
            </w:pPr>
            <w:r w:rsidRPr="00001EFB">
              <w:rPr>
                <w:highlight w:val="yellow"/>
              </w:rPr>
              <w:t>0.801</w:t>
            </w:r>
          </w:p>
        </w:tc>
      </w:tr>
    </w:tbl>
    <w:p w14:paraId="3310D8E4" w14:textId="77777777" w:rsidR="00001EFB" w:rsidRDefault="00001EFB" w:rsidP="005B56D8"/>
    <w:p w14:paraId="4BE5FCC1" w14:textId="77777777" w:rsidR="00401EFA" w:rsidRPr="00401EFA" w:rsidRDefault="00401EFA" w:rsidP="00401EFA">
      <w:pPr>
        <w:spacing w:after="0"/>
        <w:jc w:val="both"/>
        <w:rPr>
          <w:highlight w:val="yellow"/>
        </w:rPr>
      </w:pPr>
      <w:r w:rsidRPr="00401EFA">
        <w:rPr>
          <w:b/>
          <w:bCs/>
          <w:highlight w:val="yellow"/>
        </w:rPr>
        <w:t xml:space="preserve">Supplementary Table S2. </w:t>
      </w:r>
      <w:r w:rsidRPr="00401EFA">
        <w:rPr>
          <w:highlight w:val="yellow"/>
        </w:rPr>
        <w:t>Kaplan–Meier survival summary and number at risk according to bone type.</w:t>
      </w:r>
    </w:p>
    <w:tbl>
      <w:tblPr>
        <w:tblW w:w="8500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6"/>
        <w:gridCol w:w="1897"/>
        <w:gridCol w:w="1153"/>
        <w:gridCol w:w="1114"/>
        <w:gridCol w:w="1507"/>
        <w:gridCol w:w="1323"/>
      </w:tblGrid>
      <w:tr w:rsidR="00401EFA" w:rsidRPr="00401EFA" w14:paraId="6A317FA6" w14:textId="77777777" w:rsidTr="00401E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1E4D62" w14:textId="77777777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Bone Type</w:t>
            </w:r>
          </w:p>
        </w:tc>
        <w:tc>
          <w:tcPr>
            <w:tcW w:w="1867" w:type="dxa"/>
            <w:vAlign w:val="center"/>
            <w:hideMark/>
          </w:tcPr>
          <w:p w14:paraId="49FAFA81" w14:textId="77777777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Implants at Risk</w:t>
            </w:r>
          </w:p>
          <w:p w14:paraId="128B7734" w14:textId="0B9E10E6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(Baseline)</w:t>
            </w:r>
          </w:p>
        </w:tc>
        <w:tc>
          <w:tcPr>
            <w:tcW w:w="0" w:type="auto"/>
            <w:vAlign w:val="center"/>
            <w:hideMark/>
          </w:tcPr>
          <w:p w14:paraId="38DB7AD3" w14:textId="77777777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Implant</w:t>
            </w:r>
          </w:p>
          <w:p w14:paraId="0B68CE20" w14:textId="6C489DD2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Failures</w:t>
            </w:r>
          </w:p>
        </w:tc>
        <w:tc>
          <w:tcPr>
            <w:tcW w:w="1084" w:type="dxa"/>
            <w:vAlign w:val="center"/>
            <w:hideMark/>
          </w:tcPr>
          <w:p w14:paraId="45542E47" w14:textId="77777777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 xml:space="preserve">Censored </w:t>
            </w:r>
          </w:p>
          <w:p w14:paraId="4EB858FF" w14:textId="5703BC1B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Implants</w:t>
            </w:r>
          </w:p>
        </w:tc>
        <w:tc>
          <w:tcPr>
            <w:tcW w:w="1477" w:type="dxa"/>
            <w:vAlign w:val="center"/>
            <w:hideMark/>
          </w:tcPr>
          <w:p w14:paraId="1703CAB8" w14:textId="77777777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3-Year</w:t>
            </w:r>
          </w:p>
          <w:p w14:paraId="113B1165" w14:textId="54107921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Survival (%)</w:t>
            </w:r>
          </w:p>
        </w:tc>
        <w:tc>
          <w:tcPr>
            <w:tcW w:w="0" w:type="auto"/>
            <w:vAlign w:val="center"/>
            <w:hideMark/>
          </w:tcPr>
          <w:p w14:paraId="2217129B" w14:textId="77777777" w:rsidR="00401EFA" w:rsidRPr="00401EFA" w:rsidRDefault="00401EFA" w:rsidP="00401EFA">
            <w:pPr>
              <w:spacing w:after="0"/>
              <w:rPr>
                <w:b/>
                <w:bCs/>
                <w:highlight w:val="yellow"/>
              </w:rPr>
            </w:pPr>
            <w:r w:rsidRPr="00401EFA">
              <w:rPr>
                <w:b/>
                <w:bCs/>
                <w:highlight w:val="yellow"/>
              </w:rPr>
              <w:t>95% CI</w:t>
            </w:r>
          </w:p>
        </w:tc>
      </w:tr>
      <w:tr w:rsidR="00401EFA" w:rsidRPr="00401EFA" w14:paraId="32E3F4D2" w14:textId="77777777" w:rsidTr="00401E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7FAFE1E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Type 1</w:t>
            </w:r>
          </w:p>
        </w:tc>
        <w:tc>
          <w:tcPr>
            <w:tcW w:w="1867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2F36D36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FB17FD2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7814E8B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118</w:t>
            </w:r>
          </w:p>
        </w:tc>
        <w:tc>
          <w:tcPr>
            <w:tcW w:w="1477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6AEE744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98.3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EEADB18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95.1–99.6</w:t>
            </w:r>
          </w:p>
        </w:tc>
      </w:tr>
      <w:tr w:rsidR="00401EFA" w:rsidRPr="00401EFA" w14:paraId="3FD77194" w14:textId="77777777" w:rsidTr="00401E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3F29B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Type 2</w:t>
            </w:r>
          </w:p>
        </w:tc>
        <w:tc>
          <w:tcPr>
            <w:tcW w:w="1867" w:type="dxa"/>
            <w:vAlign w:val="center"/>
            <w:hideMark/>
          </w:tcPr>
          <w:p w14:paraId="59EF07BD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348</w:t>
            </w:r>
          </w:p>
        </w:tc>
        <w:tc>
          <w:tcPr>
            <w:tcW w:w="0" w:type="auto"/>
            <w:vAlign w:val="center"/>
            <w:hideMark/>
          </w:tcPr>
          <w:p w14:paraId="4208B8FF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12</w:t>
            </w:r>
          </w:p>
        </w:tc>
        <w:tc>
          <w:tcPr>
            <w:tcW w:w="1084" w:type="dxa"/>
            <w:vAlign w:val="center"/>
            <w:hideMark/>
          </w:tcPr>
          <w:p w14:paraId="63ADF895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336</w:t>
            </w:r>
          </w:p>
        </w:tc>
        <w:tc>
          <w:tcPr>
            <w:tcW w:w="1477" w:type="dxa"/>
            <w:vAlign w:val="center"/>
            <w:hideMark/>
          </w:tcPr>
          <w:p w14:paraId="24266630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96.5</w:t>
            </w:r>
          </w:p>
        </w:tc>
        <w:tc>
          <w:tcPr>
            <w:tcW w:w="0" w:type="auto"/>
            <w:vAlign w:val="center"/>
            <w:hideMark/>
          </w:tcPr>
          <w:p w14:paraId="702B1527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93.4–98.3</w:t>
            </w:r>
          </w:p>
        </w:tc>
      </w:tr>
      <w:tr w:rsidR="00401EFA" w:rsidRPr="00401EFA" w14:paraId="7A010187" w14:textId="77777777" w:rsidTr="00401E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D10B5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Type 3</w:t>
            </w:r>
          </w:p>
        </w:tc>
        <w:tc>
          <w:tcPr>
            <w:tcW w:w="1867" w:type="dxa"/>
            <w:vAlign w:val="center"/>
            <w:hideMark/>
          </w:tcPr>
          <w:p w14:paraId="26E6D6B5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14:paraId="00C7A743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20</w:t>
            </w:r>
          </w:p>
        </w:tc>
        <w:tc>
          <w:tcPr>
            <w:tcW w:w="1084" w:type="dxa"/>
            <w:vAlign w:val="center"/>
            <w:hideMark/>
          </w:tcPr>
          <w:p w14:paraId="06687016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300</w:t>
            </w:r>
          </w:p>
        </w:tc>
        <w:tc>
          <w:tcPr>
            <w:tcW w:w="1477" w:type="dxa"/>
            <w:vAlign w:val="center"/>
            <w:hideMark/>
          </w:tcPr>
          <w:p w14:paraId="6FA0BF0D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93.7</w:t>
            </w:r>
          </w:p>
        </w:tc>
        <w:tc>
          <w:tcPr>
            <w:tcW w:w="0" w:type="auto"/>
            <w:vAlign w:val="center"/>
            <w:hideMark/>
          </w:tcPr>
          <w:p w14:paraId="04CE50DE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89.7–96.2</w:t>
            </w:r>
          </w:p>
        </w:tc>
      </w:tr>
      <w:tr w:rsidR="00401EFA" w:rsidRPr="00401EFA" w14:paraId="20F0CC9D" w14:textId="77777777" w:rsidTr="00401E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490AE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Type 4</w:t>
            </w:r>
          </w:p>
        </w:tc>
        <w:tc>
          <w:tcPr>
            <w:tcW w:w="1867" w:type="dxa"/>
            <w:vAlign w:val="center"/>
            <w:hideMark/>
          </w:tcPr>
          <w:p w14:paraId="2B4F27C6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14:paraId="16B59220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18</w:t>
            </w:r>
          </w:p>
        </w:tc>
        <w:tc>
          <w:tcPr>
            <w:tcW w:w="1084" w:type="dxa"/>
            <w:vAlign w:val="center"/>
            <w:hideMark/>
          </w:tcPr>
          <w:p w14:paraId="4EB39C22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194</w:t>
            </w:r>
          </w:p>
        </w:tc>
        <w:tc>
          <w:tcPr>
            <w:tcW w:w="1477" w:type="dxa"/>
            <w:vAlign w:val="center"/>
            <w:hideMark/>
          </w:tcPr>
          <w:p w14:paraId="5B799B44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89.1</w:t>
            </w:r>
          </w:p>
        </w:tc>
        <w:tc>
          <w:tcPr>
            <w:tcW w:w="0" w:type="auto"/>
            <w:vAlign w:val="center"/>
            <w:hideMark/>
          </w:tcPr>
          <w:p w14:paraId="63467484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83.9–92.8</w:t>
            </w:r>
          </w:p>
        </w:tc>
      </w:tr>
      <w:tr w:rsidR="00401EFA" w:rsidRPr="00401EFA" w14:paraId="71CC840F" w14:textId="77777777" w:rsidTr="00401E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662A6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Overall</w:t>
            </w:r>
          </w:p>
        </w:tc>
        <w:tc>
          <w:tcPr>
            <w:tcW w:w="1867" w:type="dxa"/>
            <w:vAlign w:val="center"/>
            <w:hideMark/>
          </w:tcPr>
          <w:p w14:paraId="31635C50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1000</w:t>
            </w:r>
          </w:p>
        </w:tc>
        <w:tc>
          <w:tcPr>
            <w:tcW w:w="0" w:type="auto"/>
            <w:vAlign w:val="center"/>
            <w:hideMark/>
          </w:tcPr>
          <w:p w14:paraId="4BD93304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52</w:t>
            </w:r>
          </w:p>
        </w:tc>
        <w:tc>
          <w:tcPr>
            <w:tcW w:w="1084" w:type="dxa"/>
            <w:vAlign w:val="center"/>
            <w:hideMark/>
          </w:tcPr>
          <w:p w14:paraId="66870501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948</w:t>
            </w:r>
          </w:p>
        </w:tc>
        <w:tc>
          <w:tcPr>
            <w:tcW w:w="1477" w:type="dxa"/>
            <w:vAlign w:val="center"/>
            <w:hideMark/>
          </w:tcPr>
          <w:p w14:paraId="64D7EE6C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94.8</w:t>
            </w:r>
          </w:p>
        </w:tc>
        <w:tc>
          <w:tcPr>
            <w:tcW w:w="0" w:type="auto"/>
            <w:vAlign w:val="center"/>
            <w:hideMark/>
          </w:tcPr>
          <w:p w14:paraId="4AE29720" w14:textId="77777777" w:rsidR="00401EFA" w:rsidRPr="00401EFA" w:rsidRDefault="00401EFA" w:rsidP="00401EFA">
            <w:pPr>
              <w:spacing w:after="0"/>
              <w:rPr>
                <w:highlight w:val="yellow"/>
              </w:rPr>
            </w:pPr>
            <w:r w:rsidRPr="00401EFA">
              <w:rPr>
                <w:highlight w:val="yellow"/>
              </w:rPr>
              <w:t>93.3–96.1</w:t>
            </w:r>
          </w:p>
        </w:tc>
      </w:tr>
    </w:tbl>
    <w:p w14:paraId="4DF320B2" w14:textId="77777777" w:rsidR="00401EFA" w:rsidRDefault="00401EFA" w:rsidP="00401EFA">
      <w:pPr>
        <w:rPr>
          <w:sz w:val="22"/>
          <w:szCs w:val="20"/>
        </w:rPr>
      </w:pPr>
      <w:r w:rsidRPr="00401EFA">
        <w:rPr>
          <w:sz w:val="22"/>
          <w:szCs w:val="20"/>
          <w:highlight w:val="yellow"/>
        </w:rPr>
        <w:t>Censoring was defined as survival without implant failure at the last available follow-up visit. All included implants had a minimum follow-up duration of 3 years.</w:t>
      </w:r>
    </w:p>
    <w:p w14:paraId="786EF1D4" w14:textId="77777777" w:rsidR="00F33185" w:rsidRDefault="00F33185" w:rsidP="00F33185">
      <w:pPr>
        <w:spacing w:after="0"/>
        <w:jc w:val="both"/>
        <w:rPr>
          <w:b/>
          <w:bCs/>
          <w:highlight w:val="yellow"/>
        </w:rPr>
      </w:pPr>
    </w:p>
    <w:p w14:paraId="51B5475D" w14:textId="52C1BF7F" w:rsidR="00F33185" w:rsidRPr="00F33185" w:rsidRDefault="00F33185" w:rsidP="00F33185">
      <w:pPr>
        <w:spacing w:after="0"/>
        <w:jc w:val="both"/>
        <w:rPr>
          <w:sz w:val="22"/>
          <w:szCs w:val="20"/>
          <w:highlight w:val="yellow"/>
        </w:rPr>
      </w:pPr>
      <w:r w:rsidRPr="00401EFA">
        <w:rPr>
          <w:b/>
          <w:bCs/>
          <w:highlight w:val="yellow"/>
        </w:rPr>
        <w:t>Supplementary Table S</w:t>
      </w:r>
      <w:r>
        <w:rPr>
          <w:b/>
          <w:bCs/>
          <w:highlight w:val="yellow"/>
        </w:rPr>
        <w:t>3</w:t>
      </w:r>
      <w:r w:rsidRPr="00401EFA">
        <w:rPr>
          <w:b/>
          <w:bCs/>
          <w:highlight w:val="yellow"/>
        </w:rPr>
        <w:t xml:space="preserve">. </w:t>
      </w:r>
      <w:r w:rsidRPr="00F33185">
        <w:rPr>
          <w:highlight w:val="yellow"/>
        </w:rPr>
        <w:t>Bonferroni-adjusted pairwise comparisons of insertion torque and implant stability quotient (ISQ) values across bone-type groups.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1955"/>
        <w:gridCol w:w="695"/>
      </w:tblGrid>
      <w:tr w:rsidR="00F33185" w:rsidRPr="00F33185" w14:paraId="786F69CC" w14:textId="77777777" w:rsidTr="00F33185">
        <w:trPr>
          <w:tblHeader/>
          <w:tblCellSpacing w:w="15" w:type="dxa"/>
        </w:trPr>
        <w:tc>
          <w:tcPr>
            <w:tcW w:w="1665" w:type="dxa"/>
            <w:vAlign w:val="center"/>
            <w:hideMark/>
          </w:tcPr>
          <w:p w14:paraId="34977FB3" w14:textId="77777777" w:rsidR="00F33185" w:rsidRPr="00F33185" w:rsidRDefault="00F33185" w:rsidP="00F33185">
            <w:pPr>
              <w:spacing w:after="0"/>
              <w:rPr>
                <w:b/>
                <w:bCs/>
                <w:sz w:val="22"/>
                <w:szCs w:val="20"/>
                <w:highlight w:val="yellow"/>
              </w:rPr>
            </w:pPr>
            <w:r w:rsidRPr="00F33185">
              <w:rPr>
                <w:b/>
                <w:bCs/>
                <w:sz w:val="22"/>
                <w:szCs w:val="20"/>
                <w:highlight w:val="yellow"/>
              </w:rPr>
              <w:t>Comparison</w:t>
            </w:r>
          </w:p>
        </w:tc>
        <w:tc>
          <w:tcPr>
            <w:tcW w:w="1925" w:type="dxa"/>
            <w:vAlign w:val="center"/>
            <w:hideMark/>
          </w:tcPr>
          <w:p w14:paraId="330ACADA" w14:textId="77777777" w:rsidR="00F33185" w:rsidRPr="00F33185" w:rsidRDefault="00F33185" w:rsidP="00F33185">
            <w:pPr>
              <w:spacing w:after="0"/>
              <w:rPr>
                <w:b/>
                <w:bCs/>
                <w:sz w:val="22"/>
                <w:szCs w:val="20"/>
                <w:highlight w:val="yellow"/>
              </w:rPr>
            </w:pPr>
            <w:r w:rsidRPr="00F33185">
              <w:rPr>
                <w:b/>
                <w:bCs/>
                <w:sz w:val="22"/>
                <w:szCs w:val="20"/>
                <w:highlight w:val="yellow"/>
              </w:rPr>
              <w:t>Insertion Torque p</w:t>
            </w:r>
          </w:p>
        </w:tc>
        <w:tc>
          <w:tcPr>
            <w:tcW w:w="0" w:type="auto"/>
            <w:vAlign w:val="center"/>
            <w:hideMark/>
          </w:tcPr>
          <w:p w14:paraId="4014C8FD" w14:textId="77777777" w:rsidR="00F33185" w:rsidRPr="00F33185" w:rsidRDefault="00F33185" w:rsidP="00F33185">
            <w:pPr>
              <w:spacing w:after="0"/>
              <w:rPr>
                <w:b/>
                <w:bCs/>
                <w:sz w:val="22"/>
                <w:szCs w:val="20"/>
                <w:highlight w:val="yellow"/>
              </w:rPr>
            </w:pPr>
            <w:r w:rsidRPr="00F33185">
              <w:rPr>
                <w:b/>
                <w:bCs/>
                <w:sz w:val="22"/>
                <w:szCs w:val="20"/>
                <w:highlight w:val="yellow"/>
              </w:rPr>
              <w:t>ISQ p</w:t>
            </w:r>
          </w:p>
        </w:tc>
      </w:tr>
      <w:tr w:rsidR="00F33185" w:rsidRPr="00F33185" w14:paraId="734FA6DA" w14:textId="77777777" w:rsidTr="00F33185">
        <w:trPr>
          <w:tblCellSpacing w:w="15" w:type="dxa"/>
        </w:trPr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53AB9C8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Type 1 vs Type 2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8F62578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0.214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6083114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0.181</w:t>
            </w:r>
          </w:p>
        </w:tc>
      </w:tr>
      <w:tr w:rsidR="00F33185" w:rsidRPr="00F33185" w14:paraId="6B583194" w14:textId="77777777" w:rsidTr="00F33185">
        <w:trPr>
          <w:tblCellSpacing w:w="15" w:type="dxa"/>
        </w:trPr>
        <w:tc>
          <w:tcPr>
            <w:tcW w:w="1665" w:type="dxa"/>
            <w:vAlign w:val="center"/>
            <w:hideMark/>
          </w:tcPr>
          <w:p w14:paraId="51C0EA30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Type 1 vs Type 3</w:t>
            </w:r>
          </w:p>
        </w:tc>
        <w:tc>
          <w:tcPr>
            <w:tcW w:w="1925" w:type="dxa"/>
            <w:vAlign w:val="center"/>
            <w:hideMark/>
          </w:tcPr>
          <w:p w14:paraId="70E509FA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1DBCB428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&lt;0.001</w:t>
            </w:r>
          </w:p>
        </w:tc>
      </w:tr>
      <w:tr w:rsidR="00F33185" w:rsidRPr="00F33185" w14:paraId="091B7FE8" w14:textId="77777777" w:rsidTr="00F33185">
        <w:trPr>
          <w:tblCellSpacing w:w="15" w:type="dxa"/>
        </w:trPr>
        <w:tc>
          <w:tcPr>
            <w:tcW w:w="1665" w:type="dxa"/>
            <w:vAlign w:val="center"/>
            <w:hideMark/>
          </w:tcPr>
          <w:p w14:paraId="3172ECCF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Type 1 vs Type 4</w:t>
            </w:r>
          </w:p>
        </w:tc>
        <w:tc>
          <w:tcPr>
            <w:tcW w:w="1925" w:type="dxa"/>
            <w:vAlign w:val="center"/>
            <w:hideMark/>
          </w:tcPr>
          <w:p w14:paraId="20F3865C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39764400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&lt;0.001</w:t>
            </w:r>
          </w:p>
        </w:tc>
      </w:tr>
      <w:tr w:rsidR="00F33185" w:rsidRPr="00F33185" w14:paraId="236B0177" w14:textId="77777777" w:rsidTr="00F33185">
        <w:trPr>
          <w:tblCellSpacing w:w="15" w:type="dxa"/>
        </w:trPr>
        <w:tc>
          <w:tcPr>
            <w:tcW w:w="1665" w:type="dxa"/>
            <w:vAlign w:val="center"/>
            <w:hideMark/>
          </w:tcPr>
          <w:p w14:paraId="7F069AD4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Type 2 vs Type 3</w:t>
            </w:r>
          </w:p>
        </w:tc>
        <w:tc>
          <w:tcPr>
            <w:tcW w:w="1925" w:type="dxa"/>
            <w:vAlign w:val="center"/>
            <w:hideMark/>
          </w:tcPr>
          <w:p w14:paraId="3B6EB605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2149B329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0.004</w:t>
            </w:r>
          </w:p>
        </w:tc>
      </w:tr>
      <w:tr w:rsidR="00F33185" w:rsidRPr="00F33185" w14:paraId="55B2AD26" w14:textId="77777777" w:rsidTr="00F33185">
        <w:trPr>
          <w:tblCellSpacing w:w="15" w:type="dxa"/>
        </w:trPr>
        <w:tc>
          <w:tcPr>
            <w:tcW w:w="1665" w:type="dxa"/>
            <w:vAlign w:val="center"/>
            <w:hideMark/>
          </w:tcPr>
          <w:p w14:paraId="5B23F657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Type 2 vs Type 4</w:t>
            </w:r>
          </w:p>
        </w:tc>
        <w:tc>
          <w:tcPr>
            <w:tcW w:w="1925" w:type="dxa"/>
            <w:vAlign w:val="center"/>
            <w:hideMark/>
          </w:tcPr>
          <w:p w14:paraId="0DAE45B8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71B55CB6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&lt;0.001</w:t>
            </w:r>
          </w:p>
        </w:tc>
      </w:tr>
      <w:tr w:rsidR="00F33185" w:rsidRPr="00F33185" w14:paraId="5D7575A9" w14:textId="77777777" w:rsidTr="00F33185">
        <w:trPr>
          <w:tblCellSpacing w:w="15" w:type="dxa"/>
        </w:trPr>
        <w:tc>
          <w:tcPr>
            <w:tcW w:w="1665" w:type="dxa"/>
            <w:vAlign w:val="center"/>
            <w:hideMark/>
          </w:tcPr>
          <w:p w14:paraId="42A96E89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Type 3 vs Type 4</w:t>
            </w:r>
          </w:p>
        </w:tc>
        <w:tc>
          <w:tcPr>
            <w:tcW w:w="1925" w:type="dxa"/>
            <w:vAlign w:val="center"/>
            <w:hideMark/>
          </w:tcPr>
          <w:p w14:paraId="79024E8A" w14:textId="77777777" w:rsidR="00F33185" w:rsidRPr="00F33185" w:rsidRDefault="00F33185" w:rsidP="00F33185">
            <w:pPr>
              <w:spacing w:after="0"/>
              <w:rPr>
                <w:sz w:val="22"/>
                <w:szCs w:val="20"/>
                <w:highlight w:val="yellow"/>
              </w:rPr>
            </w:pPr>
            <w:r w:rsidRPr="00F33185">
              <w:rPr>
                <w:sz w:val="22"/>
                <w:szCs w:val="20"/>
                <w:highlight w:val="yellow"/>
              </w:rPr>
              <w:t>0.118</w:t>
            </w:r>
          </w:p>
        </w:tc>
        <w:tc>
          <w:tcPr>
            <w:tcW w:w="0" w:type="auto"/>
            <w:vAlign w:val="center"/>
            <w:hideMark/>
          </w:tcPr>
          <w:p w14:paraId="688BFCFD" w14:textId="77777777" w:rsidR="00F33185" w:rsidRPr="00F33185" w:rsidRDefault="00F33185" w:rsidP="00F33185">
            <w:pPr>
              <w:spacing w:after="0"/>
              <w:rPr>
                <w:sz w:val="22"/>
                <w:szCs w:val="20"/>
              </w:rPr>
            </w:pPr>
            <w:r w:rsidRPr="00F33185">
              <w:rPr>
                <w:sz w:val="22"/>
                <w:szCs w:val="20"/>
                <w:highlight w:val="yellow"/>
              </w:rPr>
              <w:t>0.092</w:t>
            </w:r>
          </w:p>
        </w:tc>
      </w:tr>
    </w:tbl>
    <w:p w14:paraId="14B9DB97" w14:textId="77777777" w:rsidR="00401EFA" w:rsidRDefault="00401EFA" w:rsidP="00F33185"/>
    <w:sectPr w:rsidR="00401EFA" w:rsidSect="0070464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24"/>
    <w:rsid w:val="00001EFB"/>
    <w:rsid w:val="000071C4"/>
    <w:rsid w:val="00014909"/>
    <w:rsid w:val="00017FB0"/>
    <w:rsid w:val="00022246"/>
    <w:rsid w:val="000465A2"/>
    <w:rsid w:val="00054628"/>
    <w:rsid w:val="00085C5E"/>
    <w:rsid w:val="0009309F"/>
    <w:rsid w:val="000969C2"/>
    <w:rsid w:val="000A7676"/>
    <w:rsid w:val="000A7EEA"/>
    <w:rsid w:val="000B1776"/>
    <w:rsid w:val="000C4A3F"/>
    <w:rsid w:val="000E1CCF"/>
    <w:rsid w:val="000F0CB5"/>
    <w:rsid w:val="00105622"/>
    <w:rsid w:val="001079C2"/>
    <w:rsid w:val="00110FB8"/>
    <w:rsid w:val="00113C51"/>
    <w:rsid w:val="0013568F"/>
    <w:rsid w:val="001400C5"/>
    <w:rsid w:val="00151951"/>
    <w:rsid w:val="001619A3"/>
    <w:rsid w:val="001619EA"/>
    <w:rsid w:val="00162D9B"/>
    <w:rsid w:val="00163A26"/>
    <w:rsid w:val="00165794"/>
    <w:rsid w:val="00173AA7"/>
    <w:rsid w:val="00180D6C"/>
    <w:rsid w:val="00181A4F"/>
    <w:rsid w:val="00190F92"/>
    <w:rsid w:val="00194C25"/>
    <w:rsid w:val="001C13B8"/>
    <w:rsid w:val="001E2F33"/>
    <w:rsid w:val="001E59CF"/>
    <w:rsid w:val="001E727A"/>
    <w:rsid w:val="001F0510"/>
    <w:rsid w:val="002031F8"/>
    <w:rsid w:val="00203C9E"/>
    <w:rsid w:val="0020711F"/>
    <w:rsid w:val="00207957"/>
    <w:rsid w:val="00215509"/>
    <w:rsid w:val="00216084"/>
    <w:rsid w:val="00217D9C"/>
    <w:rsid w:val="00222CCE"/>
    <w:rsid w:val="0022440F"/>
    <w:rsid w:val="00227E24"/>
    <w:rsid w:val="00236EE1"/>
    <w:rsid w:val="002537B1"/>
    <w:rsid w:val="00260CA7"/>
    <w:rsid w:val="002742B5"/>
    <w:rsid w:val="00281D3A"/>
    <w:rsid w:val="002824D4"/>
    <w:rsid w:val="0028760F"/>
    <w:rsid w:val="00290F39"/>
    <w:rsid w:val="00292965"/>
    <w:rsid w:val="00293616"/>
    <w:rsid w:val="0029475A"/>
    <w:rsid w:val="00295ED7"/>
    <w:rsid w:val="00296B3E"/>
    <w:rsid w:val="002B45D2"/>
    <w:rsid w:val="002B5715"/>
    <w:rsid w:val="002C08BC"/>
    <w:rsid w:val="002C0D98"/>
    <w:rsid w:val="002C222F"/>
    <w:rsid w:val="002C2EB9"/>
    <w:rsid w:val="002D346E"/>
    <w:rsid w:val="002D5E3D"/>
    <w:rsid w:val="002E5D02"/>
    <w:rsid w:val="002F074D"/>
    <w:rsid w:val="002F46C1"/>
    <w:rsid w:val="002F47C0"/>
    <w:rsid w:val="002F4C4C"/>
    <w:rsid w:val="002F4CA5"/>
    <w:rsid w:val="00311C7B"/>
    <w:rsid w:val="00325ED7"/>
    <w:rsid w:val="00332070"/>
    <w:rsid w:val="003343B3"/>
    <w:rsid w:val="003419E1"/>
    <w:rsid w:val="00342107"/>
    <w:rsid w:val="00343FF0"/>
    <w:rsid w:val="003444EC"/>
    <w:rsid w:val="00347586"/>
    <w:rsid w:val="003525F0"/>
    <w:rsid w:val="00352B38"/>
    <w:rsid w:val="003622B5"/>
    <w:rsid w:val="00371A72"/>
    <w:rsid w:val="0037218F"/>
    <w:rsid w:val="00387DB9"/>
    <w:rsid w:val="00393C38"/>
    <w:rsid w:val="003945EB"/>
    <w:rsid w:val="003957A6"/>
    <w:rsid w:val="003B7C57"/>
    <w:rsid w:val="003C12D6"/>
    <w:rsid w:val="003C3256"/>
    <w:rsid w:val="003D2205"/>
    <w:rsid w:val="003E44C6"/>
    <w:rsid w:val="003E4D76"/>
    <w:rsid w:val="003F4203"/>
    <w:rsid w:val="00401EFA"/>
    <w:rsid w:val="004139E9"/>
    <w:rsid w:val="004146B9"/>
    <w:rsid w:val="00415DD6"/>
    <w:rsid w:val="004160AB"/>
    <w:rsid w:val="004355C4"/>
    <w:rsid w:val="004423DD"/>
    <w:rsid w:val="0044404E"/>
    <w:rsid w:val="00445AB2"/>
    <w:rsid w:val="004601E1"/>
    <w:rsid w:val="0046101B"/>
    <w:rsid w:val="00462229"/>
    <w:rsid w:val="00465BF5"/>
    <w:rsid w:val="00473D56"/>
    <w:rsid w:val="00475263"/>
    <w:rsid w:val="004755FF"/>
    <w:rsid w:val="00480304"/>
    <w:rsid w:val="00485D47"/>
    <w:rsid w:val="0049538B"/>
    <w:rsid w:val="004A4B7B"/>
    <w:rsid w:val="004B35FE"/>
    <w:rsid w:val="004B578B"/>
    <w:rsid w:val="004B6AC3"/>
    <w:rsid w:val="004D7244"/>
    <w:rsid w:val="004E5DDA"/>
    <w:rsid w:val="005047A9"/>
    <w:rsid w:val="005161F5"/>
    <w:rsid w:val="00517FC6"/>
    <w:rsid w:val="00531F20"/>
    <w:rsid w:val="00540E57"/>
    <w:rsid w:val="005428CE"/>
    <w:rsid w:val="00565379"/>
    <w:rsid w:val="00576411"/>
    <w:rsid w:val="00590086"/>
    <w:rsid w:val="00590AF6"/>
    <w:rsid w:val="005A14C0"/>
    <w:rsid w:val="005A190C"/>
    <w:rsid w:val="005A5FD6"/>
    <w:rsid w:val="005B56D8"/>
    <w:rsid w:val="005C5D08"/>
    <w:rsid w:val="005D1DA7"/>
    <w:rsid w:val="005D2E95"/>
    <w:rsid w:val="005D40F9"/>
    <w:rsid w:val="005D41F6"/>
    <w:rsid w:val="005E124F"/>
    <w:rsid w:val="005E7550"/>
    <w:rsid w:val="005F1BE1"/>
    <w:rsid w:val="005F5C52"/>
    <w:rsid w:val="005F6501"/>
    <w:rsid w:val="005F7C48"/>
    <w:rsid w:val="00606CD0"/>
    <w:rsid w:val="0061614B"/>
    <w:rsid w:val="00617B3E"/>
    <w:rsid w:val="006204FD"/>
    <w:rsid w:val="0063124A"/>
    <w:rsid w:val="0063215F"/>
    <w:rsid w:val="006325E7"/>
    <w:rsid w:val="006340CE"/>
    <w:rsid w:val="00636D22"/>
    <w:rsid w:val="00647B2E"/>
    <w:rsid w:val="006515C5"/>
    <w:rsid w:val="00660643"/>
    <w:rsid w:val="00675406"/>
    <w:rsid w:val="00682F64"/>
    <w:rsid w:val="0069626D"/>
    <w:rsid w:val="006965AA"/>
    <w:rsid w:val="006A10D9"/>
    <w:rsid w:val="006A6A84"/>
    <w:rsid w:val="006B0364"/>
    <w:rsid w:val="006B3380"/>
    <w:rsid w:val="006B587D"/>
    <w:rsid w:val="006B5991"/>
    <w:rsid w:val="006C2CC5"/>
    <w:rsid w:val="006D12C2"/>
    <w:rsid w:val="006F3841"/>
    <w:rsid w:val="0070042B"/>
    <w:rsid w:val="00704647"/>
    <w:rsid w:val="00705C43"/>
    <w:rsid w:val="00717432"/>
    <w:rsid w:val="00727B27"/>
    <w:rsid w:val="007320EB"/>
    <w:rsid w:val="00734BDA"/>
    <w:rsid w:val="00740A08"/>
    <w:rsid w:val="007617A3"/>
    <w:rsid w:val="0076234C"/>
    <w:rsid w:val="00767D70"/>
    <w:rsid w:val="00771675"/>
    <w:rsid w:val="007751A4"/>
    <w:rsid w:val="00776D03"/>
    <w:rsid w:val="0078199A"/>
    <w:rsid w:val="00782E12"/>
    <w:rsid w:val="00787918"/>
    <w:rsid w:val="00795D3E"/>
    <w:rsid w:val="007A01E7"/>
    <w:rsid w:val="007A2AF2"/>
    <w:rsid w:val="007B19D6"/>
    <w:rsid w:val="007B7580"/>
    <w:rsid w:val="007C5F2C"/>
    <w:rsid w:val="007D457E"/>
    <w:rsid w:val="007D611B"/>
    <w:rsid w:val="007E36B6"/>
    <w:rsid w:val="007E64B3"/>
    <w:rsid w:val="007F34BC"/>
    <w:rsid w:val="0080058D"/>
    <w:rsid w:val="0081047C"/>
    <w:rsid w:val="008117DA"/>
    <w:rsid w:val="00813CDB"/>
    <w:rsid w:val="00833F51"/>
    <w:rsid w:val="0083402F"/>
    <w:rsid w:val="0083667F"/>
    <w:rsid w:val="0085693B"/>
    <w:rsid w:val="0086330B"/>
    <w:rsid w:val="0086350A"/>
    <w:rsid w:val="00866354"/>
    <w:rsid w:val="008665D0"/>
    <w:rsid w:val="008671E9"/>
    <w:rsid w:val="00871013"/>
    <w:rsid w:val="00881830"/>
    <w:rsid w:val="00882E27"/>
    <w:rsid w:val="00885AFF"/>
    <w:rsid w:val="00885D38"/>
    <w:rsid w:val="008863BE"/>
    <w:rsid w:val="008932A6"/>
    <w:rsid w:val="008A5713"/>
    <w:rsid w:val="008B7BDA"/>
    <w:rsid w:val="008C5B6E"/>
    <w:rsid w:val="008D775A"/>
    <w:rsid w:val="008E2EAB"/>
    <w:rsid w:val="008F24C7"/>
    <w:rsid w:val="0090092F"/>
    <w:rsid w:val="00910B18"/>
    <w:rsid w:val="00910C29"/>
    <w:rsid w:val="00912C6F"/>
    <w:rsid w:val="00913A7D"/>
    <w:rsid w:val="00920CA8"/>
    <w:rsid w:val="00923C6A"/>
    <w:rsid w:val="0093258C"/>
    <w:rsid w:val="00936CFA"/>
    <w:rsid w:val="009370F8"/>
    <w:rsid w:val="00947D45"/>
    <w:rsid w:val="0095000E"/>
    <w:rsid w:val="00967AD6"/>
    <w:rsid w:val="00985408"/>
    <w:rsid w:val="00987B59"/>
    <w:rsid w:val="00990CAC"/>
    <w:rsid w:val="009A36DA"/>
    <w:rsid w:val="009B2865"/>
    <w:rsid w:val="009B4A43"/>
    <w:rsid w:val="009C2752"/>
    <w:rsid w:val="009C3F20"/>
    <w:rsid w:val="009C5E62"/>
    <w:rsid w:val="009D052A"/>
    <w:rsid w:val="009D1F5C"/>
    <w:rsid w:val="009D2AB5"/>
    <w:rsid w:val="009D6721"/>
    <w:rsid w:val="009D7B3A"/>
    <w:rsid w:val="009E6521"/>
    <w:rsid w:val="00A02794"/>
    <w:rsid w:val="00A06DA9"/>
    <w:rsid w:val="00A10003"/>
    <w:rsid w:val="00A1308C"/>
    <w:rsid w:val="00A206D5"/>
    <w:rsid w:val="00A30C1F"/>
    <w:rsid w:val="00A32738"/>
    <w:rsid w:val="00A4210F"/>
    <w:rsid w:val="00A47557"/>
    <w:rsid w:val="00A52129"/>
    <w:rsid w:val="00A5323D"/>
    <w:rsid w:val="00A612F1"/>
    <w:rsid w:val="00A62624"/>
    <w:rsid w:val="00A71BE9"/>
    <w:rsid w:val="00A74153"/>
    <w:rsid w:val="00A77F85"/>
    <w:rsid w:val="00A82B79"/>
    <w:rsid w:val="00AA0EAA"/>
    <w:rsid w:val="00AA12B4"/>
    <w:rsid w:val="00AA2E7E"/>
    <w:rsid w:val="00AA340C"/>
    <w:rsid w:val="00AA68AA"/>
    <w:rsid w:val="00AA7332"/>
    <w:rsid w:val="00AA7931"/>
    <w:rsid w:val="00AB699F"/>
    <w:rsid w:val="00AC04B0"/>
    <w:rsid w:val="00AC2317"/>
    <w:rsid w:val="00AC69FC"/>
    <w:rsid w:val="00AD1350"/>
    <w:rsid w:val="00AD171B"/>
    <w:rsid w:val="00AD2A86"/>
    <w:rsid w:val="00AD4B3D"/>
    <w:rsid w:val="00AD5419"/>
    <w:rsid w:val="00AE076D"/>
    <w:rsid w:val="00AE1FDF"/>
    <w:rsid w:val="00AE4A19"/>
    <w:rsid w:val="00AF6641"/>
    <w:rsid w:val="00B12CB2"/>
    <w:rsid w:val="00B131F6"/>
    <w:rsid w:val="00B208EF"/>
    <w:rsid w:val="00B27B91"/>
    <w:rsid w:val="00B341F2"/>
    <w:rsid w:val="00B4368C"/>
    <w:rsid w:val="00B539B1"/>
    <w:rsid w:val="00B756F9"/>
    <w:rsid w:val="00B85D11"/>
    <w:rsid w:val="00B86F06"/>
    <w:rsid w:val="00B91B61"/>
    <w:rsid w:val="00B936ED"/>
    <w:rsid w:val="00BA26C3"/>
    <w:rsid w:val="00BA7E3A"/>
    <w:rsid w:val="00BD745A"/>
    <w:rsid w:val="00BD7576"/>
    <w:rsid w:val="00BD7CDE"/>
    <w:rsid w:val="00BE1335"/>
    <w:rsid w:val="00BE5E8D"/>
    <w:rsid w:val="00BF31F5"/>
    <w:rsid w:val="00BF49E1"/>
    <w:rsid w:val="00C11DBC"/>
    <w:rsid w:val="00C25EB3"/>
    <w:rsid w:val="00C265CD"/>
    <w:rsid w:val="00C400FE"/>
    <w:rsid w:val="00C42FBD"/>
    <w:rsid w:val="00C43832"/>
    <w:rsid w:val="00C4538C"/>
    <w:rsid w:val="00C511B4"/>
    <w:rsid w:val="00C53FFA"/>
    <w:rsid w:val="00C56A3D"/>
    <w:rsid w:val="00C72A2F"/>
    <w:rsid w:val="00C779DD"/>
    <w:rsid w:val="00C92CE8"/>
    <w:rsid w:val="00C94D15"/>
    <w:rsid w:val="00C94D98"/>
    <w:rsid w:val="00C976C9"/>
    <w:rsid w:val="00CA5EC3"/>
    <w:rsid w:val="00CC11EF"/>
    <w:rsid w:val="00CC160F"/>
    <w:rsid w:val="00CC213C"/>
    <w:rsid w:val="00CC7DF6"/>
    <w:rsid w:val="00CD10DC"/>
    <w:rsid w:val="00CE18D3"/>
    <w:rsid w:val="00CE2480"/>
    <w:rsid w:val="00CE3EC0"/>
    <w:rsid w:val="00CE3F97"/>
    <w:rsid w:val="00CE7E58"/>
    <w:rsid w:val="00CF1F3C"/>
    <w:rsid w:val="00CF72AB"/>
    <w:rsid w:val="00D00673"/>
    <w:rsid w:val="00D15B92"/>
    <w:rsid w:val="00D214C8"/>
    <w:rsid w:val="00D343FE"/>
    <w:rsid w:val="00D46603"/>
    <w:rsid w:val="00D7219D"/>
    <w:rsid w:val="00D72336"/>
    <w:rsid w:val="00D84D25"/>
    <w:rsid w:val="00D9449D"/>
    <w:rsid w:val="00DA2250"/>
    <w:rsid w:val="00DB02CF"/>
    <w:rsid w:val="00DB2710"/>
    <w:rsid w:val="00DC7A68"/>
    <w:rsid w:val="00DD3E7A"/>
    <w:rsid w:val="00DD4E86"/>
    <w:rsid w:val="00DD5A25"/>
    <w:rsid w:val="00DE1F8C"/>
    <w:rsid w:val="00DE24F9"/>
    <w:rsid w:val="00DE6E45"/>
    <w:rsid w:val="00DF53A3"/>
    <w:rsid w:val="00DF5576"/>
    <w:rsid w:val="00E02716"/>
    <w:rsid w:val="00E14D70"/>
    <w:rsid w:val="00E20B48"/>
    <w:rsid w:val="00E21EC4"/>
    <w:rsid w:val="00E2702D"/>
    <w:rsid w:val="00E33D84"/>
    <w:rsid w:val="00E477FF"/>
    <w:rsid w:val="00E516A5"/>
    <w:rsid w:val="00E57BFC"/>
    <w:rsid w:val="00E75948"/>
    <w:rsid w:val="00E803F5"/>
    <w:rsid w:val="00E8331B"/>
    <w:rsid w:val="00E85112"/>
    <w:rsid w:val="00E8582E"/>
    <w:rsid w:val="00E8618A"/>
    <w:rsid w:val="00E8676F"/>
    <w:rsid w:val="00E905BC"/>
    <w:rsid w:val="00EA6361"/>
    <w:rsid w:val="00EA753F"/>
    <w:rsid w:val="00EB23DE"/>
    <w:rsid w:val="00ED51C5"/>
    <w:rsid w:val="00EE0924"/>
    <w:rsid w:val="00EE3A63"/>
    <w:rsid w:val="00EE41FC"/>
    <w:rsid w:val="00F0245D"/>
    <w:rsid w:val="00F071A7"/>
    <w:rsid w:val="00F10247"/>
    <w:rsid w:val="00F30A9B"/>
    <w:rsid w:val="00F31795"/>
    <w:rsid w:val="00F33185"/>
    <w:rsid w:val="00F33F04"/>
    <w:rsid w:val="00F47889"/>
    <w:rsid w:val="00F53C54"/>
    <w:rsid w:val="00F7272D"/>
    <w:rsid w:val="00F72E9F"/>
    <w:rsid w:val="00F80E36"/>
    <w:rsid w:val="00F8371E"/>
    <w:rsid w:val="00F84C4E"/>
    <w:rsid w:val="00F855F8"/>
    <w:rsid w:val="00F90437"/>
    <w:rsid w:val="00FA6D06"/>
    <w:rsid w:val="00FB2ED9"/>
    <w:rsid w:val="00FC1B4A"/>
    <w:rsid w:val="00FD6E66"/>
    <w:rsid w:val="00FD7494"/>
    <w:rsid w:val="00FF2CC5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DDBC"/>
  <w15:chartTrackingRefBased/>
  <w15:docId w15:val="{666ADD21-1873-4A90-8956-624DF991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212121"/>
        <w:sz w:val="24"/>
        <w:szCs w:val="24"/>
        <w:u w:color="212121"/>
        <w:lang w:val="tr-TR" w:eastAsia="en-US" w:bidi="ar-SA"/>
      </w:rPr>
    </w:rPrDefault>
    <w:pPrDefault>
      <w:pPr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616"/>
    <w:pPr>
      <w:spacing w:after="200" w:line="276" w:lineRule="auto"/>
      <w:ind w:firstLine="0"/>
      <w:jc w:val="left"/>
    </w:pPr>
    <w:rPr>
      <w:rFonts w:cstheme="minorBidi"/>
      <w:color w:val="auto"/>
      <w:szCs w:val="22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EE0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0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09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09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09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092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092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092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092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092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09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0924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0924"/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0924"/>
    <w:rPr>
      <w:rFonts w:asciiTheme="minorHAnsi" w:eastAsiaTheme="majorEastAsia" w:hAnsiTheme="minorHAnsi" w:cstheme="majorBidi"/>
      <w:color w:val="2F5496" w:themeColor="accent1" w:themeShade="BF"/>
      <w:szCs w:val="22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0924"/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0924"/>
    <w:rPr>
      <w:rFonts w:asciiTheme="minorHAnsi" w:eastAsiaTheme="majorEastAsia" w:hAnsiTheme="minorHAnsi" w:cstheme="majorBidi"/>
      <w:color w:val="595959" w:themeColor="text1" w:themeTint="A6"/>
      <w:szCs w:val="22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0924"/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0924"/>
    <w:rPr>
      <w:rFonts w:asciiTheme="minorHAnsi" w:eastAsiaTheme="majorEastAsia" w:hAnsiTheme="minorHAnsi" w:cstheme="majorBidi"/>
      <w:color w:val="272727" w:themeColor="text1" w:themeTint="D8"/>
      <w:szCs w:val="22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EE0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092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EE092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E09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EE09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E0924"/>
    <w:rPr>
      <w:rFonts w:cstheme="minorBidi"/>
      <w:i/>
      <w:iCs/>
      <w:color w:val="404040" w:themeColor="text1" w:themeTint="BF"/>
      <w:szCs w:val="22"/>
      <w:lang w:val="en-US"/>
    </w:rPr>
  </w:style>
  <w:style w:type="paragraph" w:styleId="ListeParagraf">
    <w:name w:val="List Paragraph"/>
    <w:basedOn w:val="Normal"/>
    <w:uiPriority w:val="34"/>
    <w:qFormat/>
    <w:rsid w:val="00EE092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E092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0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0924"/>
    <w:rPr>
      <w:rFonts w:cstheme="minorBidi"/>
      <w:i/>
      <w:iCs/>
      <w:color w:val="2F5496" w:themeColor="accent1" w:themeShade="BF"/>
      <w:szCs w:val="22"/>
      <w:lang w:val="en-US"/>
    </w:rPr>
  </w:style>
  <w:style w:type="character" w:styleId="GlBavuru">
    <w:name w:val="Intense Reference"/>
    <w:basedOn w:val="VarsaylanParagrafYazTipi"/>
    <w:uiPriority w:val="32"/>
    <w:qFormat/>
    <w:rsid w:val="00EE09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Drfizyoloji Drphysiology</dc:creator>
  <cp:keywords/>
  <dc:description/>
  <cp:lastModifiedBy>Drfizyoloji Drphysiology</cp:lastModifiedBy>
  <cp:revision>9</cp:revision>
  <dcterms:created xsi:type="dcterms:W3CDTF">2026-06-13T01:20:00Z</dcterms:created>
  <dcterms:modified xsi:type="dcterms:W3CDTF">2026-06-13T02:09:00Z</dcterms:modified>
</cp:coreProperties>
</file>