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2104"/>
        <w:gridCol w:w="1507"/>
        <w:gridCol w:w="1778"/>
        <w:gridCol w:w="2014"/>
        <w:gridCol w:w="1756"/>
        <w:gridCol w:w="1620"/>
      </w:tblGrid>
      <w:tr w:rsidR="00EB4C9D" w:rsidRPr="00EB4C9D" w14:paraId="73F62B9F" w14:textId="77777777" w:rsidTr="00EB4C9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C8E016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CASP Item</w:t>
            </w:r>
          </w:p>
        </w:tc>
        <w:tc>
          <w:tcPr>
            <w:tcW w:w="0" w:type="auto"/>
            <w:vAlign w:val="center"/>
            <w:hideMark/>
          </w:tcPr>
          <w:p w14:paraId="54496D37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Iturralde-Garrote (2023)</w:t>
            </w:r>
          </w:p>
        </w:tc>
        <w:tc>
          <w:tcPr>
            <w:tcW w:w="0" w:type="auto"/>
            <w:vAlign w:val="center"/>
            <w:hideMark/>
          </w:tcPr>
          <w:p w14:paraId="1FEFC889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Ata-Ali (2017)</w:t>
            </w:r>
          </w:p>
        </w:tc>
        <w:tc>
          <w:tcPr>
            <w:tcW w:w="0" w:type="auto"/>
            <w:vAlign w:val="center"/>
            <w:hideMark/>
          </w:tcPr>
          <w:p w14:paraId="4CED00FE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Lee (2022)</w:t>
            </w:r>
          </w:p>
        </w:tc>
        <w:tc>
          <w:tcPr>
            <w:tcW w:w="0" w:type="auto"/>
            <w:vAlign w:val="center"/>
            <w:hideMark/>
          </w:tcPr>
          <w:p w14:paraId="3B4BE638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Papadopoulou (2021)</w:t>
            </w:r>
          </w:p>
        </w:tc>
        <w:tc>
          <w:tcPr>
            <w:tcW w:w="0" w:type="auto"/>
            <w:vAlign w:val="center"/>
            <w:hideMark/>
          </w:tcPr>
          <w:p w14:paraId="69CBB2EE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Cellina (2021)</w:t>
            </w:r>
          </w:p>
        </w:tc>
        <w:tc>
          <w:tcPr>
            <w:tcW w:w="0" w:type="auto"/>
            <w:vAlign w:val="center"/>
            <w:hideMark/>
          </w:tcPr>
          <w:p w14:paraId="469C4454" w14:textId="77777777" w:rsidR="00EB4C9D" w:rsidRPr="00EB4C9D" w:rsidRDefault="00EB4C9D" w:rsidP="00EB4C9D">
            <w:pPr>
              <w:rPr>
                <w:b/>
                <w:bCs/>
                <w:lang w:val="en-AE"/>
              </w:rPr>
            </w:pPr>
            <w:r w:rsidRPr="00EB4C9D">
              <w:rPr>
                <w:b/>
                <w:bCs/>
                <w:lang w:val="en-AE"/>
              </w:rPr>
              <w:t>Vogiatzi (2014)</w:t>
            </w:r>
          </w:p>
        </w:tc>
      </w:tr>
      <w:tr w:rsidR="00EB4C9D" w:rsidRPr="00EB4C9D" w14:paraId="696F3C32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45C3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1. Did the review address a clearly focused question?</w:t>
            </w:r>
          </w:p>
        </w:tc>
        <w:tc>
          <w:tcPr>
            <w:tcW w:w="0" w:type="auto"/>
            <w:vAlign w:val="center"/>
            <w:hideMark/>
          </w:tcPr>
          <w:p w14:paraId="4A8166CB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PICOS clearly defined</w:t>
            </w:r>
          </w:p>
        </w:tc>
        <w:tc>
          <w:tcPr>
            <w:tcW w:w="0" w:type="auto"/>
            <w:vAlign w:val="center"/>
            <w:hideMark/>
          </w:tcPr>
          <w:p w14:paraId="61514CEA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07009EAE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3DD41B61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0D2B2B7D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4C300651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39BBF9A0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5442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2. Did the authors look for the right type of papers?</w:t>
            </w:r>
          </w:p>
        </w:tc>
        <w:tc>
          <w:tcPr>
            <w:tcW w:w="0" w:type="auto"/>
            <w:vAlign w:val="center"/>
            <w:hideMark/>
          </w:tcPr>
          <w:p w14:paraId="26F4348E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Relevant clinical and imaging studies</w:t>
            </w:r>
          </w:p>
        </w:tc>
        <w:tc>
          <w:tcPr>
            <w:tcW w:w="0" w:type="auto"/>
            <w:vAlign w:val="center"/>
            <w:hideMark/>
          </w:tcPr>
          <w:p w14:paraId="019101D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32FFFE7A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1D26DB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0C7808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099722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444B2216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42F99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3. Were all important and relevant studies included (databases, languages, grey)?</w:t>
            </w:r>
          </w:p>
        </w:tc>
        <w:tc>
          <w:tcPr>
            <w:tcW w:w="0" w:type="auto"/>
            <w:vAlign w:val="center"/>
            <w:hideMark/>
          </w:tcPr>
          <w:p w14:paraId="4D82F93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 – English only</w:t>
            </w:r>
          </w:p>
        </w:tc>
        <w:tc>
          <w:tcPr>
            <w:tcW w:w="0" w:type="auto"/>
            <w:vAlign w:val="center"/>
            <w:hideMark/>
          </w:tcPr>
          <w:p w14:paraId="349F9DE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</w:t>
            </w:r>
          </w:p>
        </w:tc>
        <w:tc>
          <w:tcPr>
            <w:tcW w:w="0" w:type="auto"/>
            <w:vAlign w:val="center"/>
            <w:hideMark/>
          </w:tcPr>
          <w:p w14:paraId="6A798879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</w:t>
            </w:r>
          </w:p>
        </w:tc>
        <w:tc>
          <w:tcPr>
            <w:tcW w:w="0" w:type="auto"/>
            <w:vAlign w:val="center"/>
            <w:hideMark/>
          </w:tcPr>
          <w:p w14:paraId="537576D4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Multilingual &amp; grey included</w:t>
            </w:r>
          </w:p>
        </w:tc>
        <w:tc>
          <w:tcPr>
            <w:tcW w:w="0" w:type="auto"/>
            <w:vAlign w:val="center"/>
            <w:hideMark/>
          </w:tcPr>
          <w:p w14:paraId="5C5C79EE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</w:t>
            </w:r>
          </w:p>
        </w:tc>
        <w:tc>
          <w:tcPr>
            <w:tcW w:w="0" w:type="auto"/>
            <w:vAlign w:val="center"/>
            <w:hideMark/>
          </w:tcPr>
          <w:p w14:paraId="62BE9446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2D923C50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78BF9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4. Was the quality of included studies adequately assessed?</w:t>
            </w:r>
          </w:p>
        </w:tc>
        <w:tc>
          <w:tcPr>
            <w:tcW w:w="0" w:type="auto"/>
            <w:vAlign w:val="center"/>
            <w:hideMark/>
          </w:tcPr>
          <w:p w14:paraId="4C718B19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NIH tool used</w:t>
            </w:r>
          </w:p>
        </w:tc>
        <w:tc>
          <w:tcPr>
            <w:tcW w:w="0" w:type="auto"/>
            <w:vAlign w:val="center"/>
            <w:hideMark/>
          </w:tcPr>
          <w:p w14:paraId="3AF22E66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MINORS</w:t>
            </w:r>
          </w:p>
        </w:tc>
        <w:tc>
          <w:tcPr>
            <w:tcW w:w="0" w:type="auto"/>
            <w:vAlign w:val="center"/>
            <w:hideMark/>
          </w:tcPr>
          <w:p w14:paraId="77EAE39B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092AA86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448A101D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7F990CEF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227CD4F9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09CE8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5. Was it reasonable to combine the results?</w:t>
            </w:r>
          </w:p>
        </w:tc>
        <w:tc>
          <w:tcPr>
            <w:tcW w:w="0" w:type="auto"/>
            <w:vAlign w:val="center"/>
            <w:hideMark/>
          </w:tcPr>
          <w:p w14:paraId="243053F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Narrative synthesis appropriate</w:t>
            </w:r>
          </w:p>
        </w:tc>
        <w:tc>
          <w:tcPr>
            <w:tcW w:w="0" w:type="auto"/>
            <w:vAlign w:val="center"/>
            <w:hideMark/>
          </w:tcPr>
          <w:p w14:paraId="6D10E7FD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3CA0D1E4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00A0F0C6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39418058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0E59473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599E2932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31C1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6. What are the overall results of the review?</w:t>
            </w:r>
          </w:p>
        </w:tc>
        <w:tc>
          <w:tcPr>
            <w:tcW w:w="0" w:type="auto"/>
            <w:vAlign w:val="center"/>
            <w:hideMark/>
          </w:tcPr>
          <w:p w14:paraId="54596AB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Clear summary of sinus volumetric trends</w:t>
            </w:r>
          </w:p>
        </w:tc>
        <w:tc>
          <w:tcPr>
            <w:tcW w:w="0" w:type="auto"/>
            <w:vAlign w:val="center"/>
            <w:hideMark/>
          </w:tcPr>
          <w:p w14:paraId="055F7F1E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Well-synthesized outcomes</w:t>
            </w:r>
          </w:p>
        </w:tc>
        <w:tc>
          <w:tcPr>
            <w:tcW w:w="0" w:type="auto"/>
            <w:vAlign w:val="center"/>
            <w:hideMark/>
          </w:tcPr>
          <w:p w14:paraId="3B9C61D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Clear developmental findings</w:t>
            </w:r>
          </w:p>
        </w:tc>
        <w:tc>
          <w:tcPr>
            <w:tcW w:w="0" w:type="auto"/>
            <w:vAlign w:val="center"/>
            <w:hideMark/>
          </w:tcPr>
          <w:p w14:paraId="79614013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Excellent presentation of prevalence data</w:t>
            </w:r>
          </w:p>
        </w:tc>
        <w:tc>
          <w:tcPr>
            <w:tcW w:w="0" w:type="auto"/>
            <w:vAlign w:val="center"/>
            <w:hideMark/>
          </w:tcPr>
          <w:p w14:paraId="22E41F1A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Concise results on segmentation</w:t>
            </w:r>
          </w:p>
        </w:tc>
        <w:tc>
          <w:tcPr>
            <w:tcW w:w="0" w:type="auto"/>
            <w:vAlign w:val="center"/>
            <w:hideMark/>
          </w:tcPr>
          <w:p w14:paraId="2489E836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Detailed quantitative synthesis</w:t>
            </w:r>
          </w:p>
        </w:tc>
      </w:tr>
      <w:tr w:rsidR="00EB4C9D" w:rsidRPr="00EB4C9D" w14:paraId="48F5D4E1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F4B3E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7. How precise are the results (confidence intervals/statistics)?</w:t>
            </w:r>
          </w:p>
        </w:tc>
        <w:tc>
          <w:tcPr>
            <w:tcW w:w="0" w:type="auto"/>
            <w:vAlign w:val="center"/>
            <w:hideMark/>
          </w:tcPr>
          <w:p w14:paraId="3116487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 – Narrative, not quantitative</w:t>
            </w:r>
          </w:p>
        </w:tc>
        <w:tc>
          <w:tcPr>
            <w:tcW w:w="0" w:type="auto"/>
            <w:vAlign w:val="center"/>
            <w:hideMark/>
          </w:tcPr>
          <w:p w14:paraId="3EE6C6E3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</w:t>
            </w:r>
          </w:p>
        </w:tc>
        <w:tc>
          <w:tcPr>
            <w:tcW w:w="0" w:type="auto"/>
            <w:vAlign w:val="center"/>
            <w:hideMark/>
          </w:tcPr>
          <w:p w14:paraId="3668BB2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</w:t>
            </w:r>
          </w:p>
        </w:tc>
        <w:tc>
          <w:tcPr>
            <w:tcW w:w="0" w:type="auto"/>
            <w:vAlign w:val="center"/>
            <w:hideMark/>
          </w:tcPr>
          <w:p w14:paraId="6AE05B9F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Quantitative data summarized</w:t>
            </w:r>
          </w:p>
        </w:tc>
        <w:tc>
          <w:tcPr>
            <w:tcW w:w="0" w:type="auto"/>
            <w:vAlign w:val="center"/>
            <w:hideMark/>
          </w:tcPr>
          <w:p w14:paraId="3C27D328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🟨</w:t>
            </w:r>
            <w:r w:rsidRPr="00EB4C9D">
              <w:rPr>
                <w:lang w:val="en-AE"/>
              </w:rPr>
              <w:t xml:space="preserve"> Partial</w:t>
            </w:r>
          </w:p>
        </w:tc>
        <w:tc>
          <w:tcPr>
            <w:tcW w:w="0" w:type="auto"/>
            <w:vAlign w:val="center"/>
            <w:hideMark/>
          </w:tcPr>
          <w:p w14:paraId="5EDC6AB0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69C57AD9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487A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8. Can the results be applied to the local population?</w:t>
            </w:r>
          </w:p>
        </w:tc>
        <w:tc>
          <w:tcPr>
            <w:tcW w:w="0" w:type="auto"/>
            <w:vAlign w:val="center"/>
            <w:hideMark/>
          </w:tcPr>
          <w:p w14:paraId="5504787E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Generalizable to </w:t>
            </w:r>
            <w:r w:rsidRPr="00EB4C9D">
              <w:rPr>
                <w:lang w:val="en-AE"/>
              </w:rPr>
              <w:lastRenderedPageBreak/>
              <w:t>imaging-based populations</w:t>
            </w:r>
          </w:p>
        </w:tc>
        <w:tc>
          <w:tcPr>
            <w:tcW w:w="0" w:type="auto"/>
            <w:vAlign w:val="center"/>
            <w:hideMark/>
          </w:tcPr>
          <w:p w14:paraId="278F526A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lastRenderedPageBreak/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405981C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44D47DE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6EE826D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70E46F9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6B9EE5AC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06C01B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9. Were all important outcomes considered?</w:t>
            </w:r>
          </w:p>
        </w:tc>
        <w:tc>
          <w:tcPr>
            <w:tcW w:w="0" w:type="auto"/>
            <w:vAlign w:val="center"/>
            <w:hideMark/>
          </w:tcPr>
          <w:p w14:paraId="1604AD8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4C817566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1D8198BB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0FCD0D23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487DAAF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1814A8DD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1340BA13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DEAF3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10. Are the benefits worth the harms and costs?</w:t>
            </w:r>
          </w:p>
        </w:tc>
        <w:tc>
          <w:tcPr>
            <w:tcW w:w="0" w:type="auto"/>
            <w:vAlign w:val="center"/>
            <w:hideMark/>
          </w:tcPr>
          <w:p w14:paraId="618B42AB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 – Educational and diagnostic implications clear</w:t>
            </w:r>
          </w:p>
        </w:tc>
        <w:tc>
          <w:tcPr>
            <w:tcW w:w="0" w:type="auto"/>
            <w:vAlign w:val="center"/>
            <w:hideMark/>
          </w:tcPr>
          <w:p w14:paraId="3689848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54ADB97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27B0A0DC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3E17EC3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  <w:tc>
          <w:tcPr>
            <w:tcW w:w="0" w:type="auto"/>
            <w:vAlign w:val="center"/>
            <w:hideMark/>
          </w:tcPr>
          <w:p w14:paraId="36CDE11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rFonts w:ascii="Segoe UI Emoji" w:hAnsi="Segoe UI Emoji" w:cs="Segoe UI Emoji"/>
                <w:lang w:val="en-AE"/>
              </w:rPr>
              <w:t>🟩</w:t>
            </w:r>
            <w:r w:rsidRPr="00EB4C9D">
              <w:rPr>
                <w:lang w:val="en-AE"/>
              </w:rPr>
              <w:t xml:space="preserve"> Yes</w:t>
            </w:r>
          </w:p>
        </w:tc>
      </w:tr>
      <w:tr w:rsidR="00EB4C9D" w:rsidRPr="00EB4C9D" w14:paraId="2AE1D25D" w14:textId="77777777" w:rsidTr="00EB4C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F1D68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Overall CASP Compliance (%)</w:t>
            </w:r>
          </w:p>
        </w:tc>
        <w:tc>
          <w:tcPr>
            <w:tcW w:w="0" w:type="auto"/>
            <w:vAlign w:val="center"/>
            <w:hideMark/>
          </w:tcPr>
          <w:p w14:paraId="6B87E297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92%</w:t>
            </w:r>
          </w:p>
        </w:tc>
        <w:tc>
          <w:tcPr>
            <w:tcW w:w="0" w:type="auto"/>
            <w:vAlign w:val="center"/>
            <w:hideMark/>
          </w:tcPr>
          <w:p w14:paraId="570CA374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92%</w:t>
            </w:r>
          </w:p>
        </w:tc>
        <w:tc>
          <w:tcPr>
            <w:tcW w:w="0" w:type="auto"/>
            <w:vAlign w:val="center"/>
            <w:hideMark/>
          </w:tcPr>
          <w:p w14:paraId="1AE788DC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92%</w:t>
            </w:r>
          </w:p>
        </w:tc>
        <w:tc>
          <w:tcPr>
            <w:tcW w:w="0" w:type="auto"/>
            <w:vAlign w:val="center"/>
            <w:hideMark/>
          </w:tcPr>
          <w:p w14:paraId="3F7A3318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4E06EB0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92%</w:t>
            </w:r>
          </w:p>
        </w:tc>
        <w:tc>
          <w:tcPr>
            <w:tcW w:w="0" w:type="auto"/>
            <w:vAlign w:val="center"/>
            <w:hideMark/>
          </w:tcPr>
          <w:p w14:paraId="7A730DB5" w14:textId="77777777" w:rsidR="00EB4C9D" w:rsidRPr="00EB4C9D" w:rsidRDefault="00EB4C9D" w:rsidP="00EB4C9D">
            <w:pPr>
              <w:rPr>
                <w:lang w:val="en-AE"/>
              </w:rPr>
            </w:pPr>
            <w:r w:rsidRPr="00EB4C9D">
              <w:rPr>
                <w:b/>
                <w:bCs/>
                <w:lang w:val="en-AE"/>
              </w:rPr>
              <w:t>96%</w:t>
            </w:r>
          </w:p>
        </w:tc>
      </w:tr>
    </w:tbl>
    <w:p w14:paraId="556FE876" w14:textId="7F6DBC3E" w:rsidR="007B59C3" w:rsidRDefault="00EB4C9D" w:rsidP="00EB4C9D">
      <w:r w:rsidRPr="00EB4C9D">
        <w:rPr>
          <w:rFonts w:ascii="Segoe UI Emoji" w:hAnsi="Segoe UI Emoji" w:cs="Segoe UI Emoji"/>
        </w:rPr>
        <w:t>🟩</w:t>
      </w:r>
      <w:r w:rsidRPr="00EB4C9D">
        <w:t xml:space="preserve"> </w:t>
      </w:r>
      <w:r w:rsidRPr="00EB4C9D">
        <w:rPr>
          <w:b/>
          <w:bCs/>
        </w:rPr>
        <w:t>Yes (1 point)</w:t>
      </w:r>
      <w:r w:rsidRPr="00EB4C9D">
        <w:t> </w:t>
      </w:r>
      <w:r w:rsidRPr="00EB4C9D">
        <w:rPr>
          <w:rFonts w:ascii="Segoe UI Emoji" w:hAnsi="Segoe UI Emoji" w:cs="Segoe UI Emoji"/>
        </w:rPr>
        <w:t>🟨</w:t>
      </w:r>
      <w:r w:rsidRPr="00EB4C9D">
        <w:t xml:space="preserve"> </w:t>
      </w:r>
      <w:r w:rsidRPr="00EB4C9D">
        <w:rPr>
          <w:b/>
          <w:bCs/>
        </w:rPr>
        <w:t>Partial / Can’t Tell (0.5 point)</w:t>
      </w:r>
      <w:r w:rsidRPr="00EB4C9D">
        <w:t> </w:t>
      </w:r>
      <w:r w:rsidRPr="00EB4C9D">
        <w:rPr>
          <w:rFonts w:ascii="Segoe UI Emoji" w:hAnsi="Segoe UI Emoji" w:cs="Segoe UI Emoji"/>
        </w:rPr>
        <w:t>🟥</w:t>
      </w:r>
      <w:r w:rsidRPr="00EB4C9D">
        <w:t xml:space="preserve"> </w:t>
      </w:r>
      <w:r w:rsidRPr="00EB4C9D">
        <w:rPr>
          <w:b/>
          <w:bCs/>
        </w:rPr>
        <w:t>No (0 point)</w:t>
      </w:r>
      <w:r w:rsidRPr="00EB4C9D">
        <w:br/>
      </w:r>
      <w:r w:rsidRPr="00EB4C9D">
        <w:rPr>
          <w:b/>
          <w:bCs/>
        </w:rPr>
        <w:t>Compliance = (Score ÷ 10) × 100</w:t>
      </w:r>
    </w:p>
    <w:sectPr w:rsidR="007B59C3" w:rsidSect="00EB4C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4840B" w14:textId="77777777" w:rsidR="00D75BD3" w:rsidRDefault="00D75BD3" w:rsidP="00EB4C9D">
      <w:pPr>
        <w:spacing w:after="0" w:line="240" w:lineRule="auto"/>
      </w:pPr>
      <w:r>
        <w:separator/>
      </w:r>
    </w:p>
  </w:endnote>
  <w:endnote w:type="continuationSeparator" w:id="0">
    <w:p w14:paraId="48F47A99" w14:textId="77777777" w:rsidR="00D75BD3" w:rsidRDefault="00D75BD3" w:rsidP="00EB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31661" w14:textId="77777777" w:rsidR="00060776" w:rsidRDefault="000607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E8554" w14:textId="77777777" w:rsidR="00060776" w:rsidRDefault="000607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E3D76" w14:textId="77777777" w:rsidR="00060776" w:rsidRDefault="00060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E4A59" w14:textId="77777777" w:rsidR="00D75BD3" w:rsidRDefault="00D75BD3" w:rsidP="00EB4C9D">
      <w:pPr>
        <w:spacing w:after="0" w:line="240" w:lineRule="auto"/>
      </w:pPr>
      <w:r>
        <w:separator/>
      </w:r>
    </w:p>
  </w:footnote>
  <w:footnote w:type="continuationSeparator" w:id="0">
    <w:p w14:paraId="016ADCF9" w14:textId="77777777" w:rsidR="00D75BD3" w:rsidRDefault="00D75BD3" w:rsidP="00EB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F1E20" w14:textId="77777777" w:rsidR="00060776" w:rsidRDefault="00060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98949" w14:textId="16C91329" w:rsidR="00EB4C9D" w:rsidRDefault="00EB4C9D" w:rsidP="00EB4C9D">
    <w:pPr>
      <w:pStyle w:val="Header"/>
    </w:pPr>
    <w:r>
      <w:t xml:space="preserve">Table </w:t>
    </w:r>
    <w:r w:rsidR="00060776">
      <w:t>6</w:t>
    </w:r>
    <w:r>
      <w:t xml:space="preserve"> -</w:t>
    </w:r>
    <w:r w:rsidRPr="00EB4C9D">
      <w:t>CASP Systematic Review Checklist: Comparative Appraisal Summary</w:t>
    </w:r>
    <w:r>
      <w:t xml:space="preserve"> among the selected articles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73CD5" w14:textId="77777777" w:rsidR="00060776" w:rsidRDefault="000607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9D"/>
    <w:rsid w:val="00060776"/>
    <w:rsid w:val="002A731F"/>
    <w:rsid w:val="004160AD"/>
    <w:rsid w:val="004F4068"/>
    <w:rsid w:val="007B59C3"/>
    <w:rsid w:val="00D75BD3"/>
    <w:rsid w:val="00EB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3B2C"/>
  <w15:chartTrackingRefBased/>
  <w15:docId w15:val="{6A8965CC-A9DF-49BF-AFA7-C4AB55B9E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C9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C9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C9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C9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C9D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C9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C9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C9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C9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B4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C9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C9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B4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C9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B4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C9D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B4C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4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C9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B4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C9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S M A Almethin</dc:creator>
  <cp:keywords/>
  <dc:description/>
  <cp:lastModifiedBy>Dr. vivekanandsk</cp:lastModifiedBy>
  <cp:revision>2</cp:revision>
  <dcterms:created xsi:type="dcterms:W3CDTF">2025-10-22T07:39:00Z</dcterms:created>
  <dcterms:modified xsi:type="dcterms:W3CDTF">2026-05-01T05:47:00Z</dcterms:modified>
</cp:coreProperties>
</file>