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tblCellMar>
          <w:left w:w="0" w:type="dxa"/>
          <w:right w:w="0" w:type="dxa"/>
        </w:tblCellMar>
        <w:tblLook w:val="04A0" w:firstRow="1" w:lastRow="0" w:firstColumn="1" w:lastColumn="0" w:noHBand="0" w:noVBand="1"/>
      </w:tblPr>
      <w:tblGrid>
        <w:gridCol w:w="187"/>
        <w:gridCol w:w="8839"/>
      </w:tblGrid>
      <w:tr w:rsidR="0007789E" w:rsidRPr="0007789E" w14:paraId="79D23C7C" w14:textId="77777777" w:rsidTr="00C70D37">
        <w:trPr>
          <w:tblCellSpacing w:w="0" w:type="dxa"/>
          <w:jc w:val="center"/>
        </w:trPr>
        <w:tc>
          <w:tcPr>
            <w:tcW w:w="117" w:type="dxa"/>
            <w:hideMark/>
          </w:tcPr>
          <w:p w14:paraId="2847D71C" w14:textId="77777777" w:rsidR="0007789E" w:rsidRPr="0007789E" w:rsidRDefault="0007789E" w:rsidP="00C70D37">
            <w:pPr>
              <w:rPr>
                <w:sz w:val="24"/>
                <w:szCs w:val="24"/>
                <w:lang w:val="en-AE"/>
              </w:rPr>
            </w:pPr>
            <w:r w:rsidRPr="0007789E">
              <w:rPr>
                <w:sz w:val="24"/>
                <w:szCs w:val="24"/>
                <w:lang w:val="en-AE"/>
              </w:rPr>
              <w:br/>
              <w:t>1</w:t>
            </w:r>
          </w:p>
        </w:tc>
        <w:tc>
          <w:tcPr>
            <w:tcW w:w="6093" w:type="dxa"/>
            <w:hideMark/>
          </w:tcPr>
          <w:p w14:paraId="67140CEF" w14:textId="77777777" w:rsidR="0007789E" w:rsidRPr="0007789E" w:rsidRDefault="0007789E" w:rsidP="00C70D37">
            <w:pPr>
              <w:numPr>
                <w:ilvl w:val="0"/>
                <w:numId w:val="1"/>
              </w:numPr>
              <w:rPr>
                <w:sz w:val="24"/>
                <w:szCs w:val="24"/>
                <w:lang w:val="en-AE"/>
              </w:rPr>
            </w:pPr>
            <w:r w:rsidRPr="0007789E">
              <w:rPr>
                <w:sz w:val="24"/>
                <w:szCs w:val="24"/>
                <w:lang w:val="en-AE"/>
              </w:rPr>
              <w:t xml:space="preserve">Petronis, </w:t>
            </w:r>
            <w:proofErr w:type="spellStart"/>
            <w:r w:rsidRPr="0007789E">
              <w:rPr>
                <w:sz w:val="24"/>
                <w:szCs w:val="24"/>
                <w:lang w:val="en-AE"/>
              </w:rPr>
              <w:t>Zygimantas</w:t>
            </w:r>
            <w:r w:rsidRPr="0007789E">
              <w:rPr>
                <w:sz w:val="24"/>
                <w:szCs w:val="24"/>
                <w:vertAlign w:val="superscript"/>
                <w:lang w:val="en-AE"/>
              </w:rPr>
              <w:t>a</w:t>
            </w:r>
            <w:proofErr w:type="spellEnd"/>
          </w:p>
          <w:p w14:paraId="07411CC5" w14:textId="77777777" w:rsidR="0007789E" w:rsidRPr="0007789E" w:rsidRDefault="0007789E" w:rsidP="00C70D37">
            <w:pPr>
              <w:numPr>
                <w:ilvl w:val="0"/>
                <w:numId w:val="1"/>
              </w:numPr>
              <w:rPr>
                <w:sz w:val="24"/>
                <w:szCs w:val="24"/>
                <w:lang w:val="en-AE"/>
              </w:rPr>
            </w:pPr>
            <w:proofErr w:type="spellStart"/>
            <w:r w:rsidRPr="0007789E">
              <w:rPr>
                <w:sz w:val="24"/>
                <w:szCs w:val="24"/>
                <w:lang w:val="en-AE"/>
              </w:rPr>
              <w:t>Zigmantavicius</w:t>
            </w:r>
            <w:proofErr w:type="spellEnd"/>
            <w:r w:rsidRPr="0007789E">
              <w:rPr>
                <w:sz w:val="24"/>
                <w:szCs w:val="24"/>
                <w:lang w:val="en-AE"/>
              </w:rPr>
              <w:t>, Jonas</w:t>
            </w:r>
            <w:r w:rsidRPr="0007789E">
              <w:rPr>
                <w:sz w:val="24"/>
                <w:szCs w:val="24"/>
                <w:vertAlign w:val="superscript"/>
                <w:lang w:val="en-AE"/>
              </w:rPr>
              <w:t>a</w:t>
            </w:r>
          </w:p>
          <w:p w14:paraId="67F97347" w14:textId="77777777" w:rsidR="0007789E" w:rsidRPr="0007789E" w:rsidRDefault="0007789E" w:rsidP="00C70D37">
            <w:pPr>
              <w:numPr>
                <w:ilvl w:val="0"/>
                <w:numId w:val="1"/>
              </w:numPr>
              <w:rPr>
                <w:sz w:val="24"/>
                <w:szCs w:val="24"/>
                <w:lang w:val="en-AE"/>
              </w:rPr>
            </w:pPr>
            <w:proofErr w:type="spellStart"/>
            <w:r w:rsidRPr="0007789E">
              <w:rPr>
                <w:sz w:val="24"/>
                <w:szCs w:val="24"/>
                <w:lang w:val="en-AE"/>
              </w:rPr>
              <w:t>Januzis</w:t>
            </w:r>
            <w:proofErr w:type="spellEnd"/>
            <w:r w:rsidRPr="0007789E">
              <w:rPr>
                <w:sz w:val="24"/>
                <w:szCs w:val="24"/>
                <w:lang w:val="en-AE"/>
              </w:rPr>
              <w:t xml:space="preserve">, </w:t>
            </w:r>
            <w:proofErr w:type="spellStart"/>
            <w:r w:rsidRPr="0007789E">
              <w:rPr>
                <w:sz w:val="24"/>
                <w:szCs w:val="24"/>
                <w:lang w:val="en-AE"/>
              </w:rPr>
              <w:t>Gintaras</w:t>
            </w:r>
            <w:r w:rsidRPr="0007789E">
              <w:rPr>
                <w:sz w:val="24"/>
                <w:szCs w:val="24"/>
                <w:vertAlign w:val="superscript"/>
                <w:lang w:val="en-AE"/>
              </w:rPr>
              <w:t>a</w:t>
            </w:r>
            <w:proofErr w:type="spellEnd"/>
          </w:p>
          <w:p w14:paraId="67C85018" w14:textId="77777777" w:rsidR="0007789E" w:rsidRPr="0007789E" w:rsidRDefault="0007789E" w:rsidP="00C70D37">
            <w:pPr>
              <w:rPr>
                <w:sz w:val="24"/>
                <w:szCs w:val="24"/>
                <w:lang w:val="en-AE"/>
              </w:rPr>
            </w:pPr>
            <w:hyperlink r:id="rId5" w:tgtFrame="_blank" w:history="1">
              <w:r w:rsidRPr="0007789E">
                <w:rPr>
                  <w:rStyle w:val="Hyperlink"/>
                  <w:b/>
                  <w:bCs/>
                  <w:sz w:val="24"/>
                  <w:szCs w:val="24"/>
                  <w:lang w:val="en-AE"/>
                </w:rPr>
                <w:t>HISTOLOGIC AND HISTOMORPHOMETRIC ANALYSIS OF SINUS FLOOR ELEVATION USING CALCIUM PHOSPHATE MATERIALS: A SYSTEMATIC REVIEW</w:t>
              </w:r>
            </w:hyperlink>
          </w:p>
          <w:p w14:paraId="0AB598BD" w14:textId="77777777" w:rsidR="0007789E" w:rsidRPr="0007789E" w:rsidRDefault="0007789E" w:rsidP="00C70D37">
            <w:pPr>
              <w:rPr>
                <w:sz w:val="24"/>
                <w:szCs w:val="24"/>
                <w:lang w:val="en-AE"/>
              </w:rPr>
            </w:pPr>
            <w:r w:rsidRPr="0007789E">
              <w:rPr>
                <w:sz w:val="24"/>
                <w:szCs w:val="24"/>
                <w:lang w:val="en-AE"/>
              </w:rPr>
              <w:t>Annals of Dental Specialty</w:t>
            </w:r>
          </w:p>
          <w:p w14:paraId="73B15356" w14:textId="77777777" w:rsidR="0007789E" w:rsidRPr="0007789E" w:rsidRDefault="0007789E" w:rsidP="00C70D37">
            <w:pPr>
              <w:rPr>
                <w:sz w:val="24"/>
                <w:szCs w:val="24"/>
                <w:lang w:val="en-AE"/>
              </w:rPr>
            </w:pPr>
            <w:r w:rsidRPr="0007789E">
              <w:rPr>
                <w:sz w:val="24"/>
                <w:szCs w:val="24"/>
                <w:lang w:val="en-AE"/>
              </w:rPr>
              <w:t>Abstract</w:t>
            </w:r>
          </w:p>
          <w:p w14:paraId="74D711C9" w14:textId="77777777" w:rsidR="0007789E" w:rsidRPr="0007789E" w:rsidRDefault="0007789E" w:rsidP="00C70D37">
            <w:pPr>
              <w:rPr>
                <w:sz w:val="24"/>
                <w:szCs w:val="24"/>
                <w:lang w:val="en-AE"/>
              </w:rPr>
            </w:pPr>
            <w:r w:rsidRPr="0007789E">
              <w:rPr>
                <w:sz w:val="24"/>
                <w:szCs w:val="24"/>
                <w:lang w:val="en-AE"/>
              </w:rPr>
              <w:t xml:space="preserve">Teeth loss in the maxillary arch leads to progressive bone atrophy, and enlargement of maxillary sinus cavities can significantly increase the difficulty of the replacement of natural teeth with dental implants. It was decided to clarify and evaluate alloplastic grafts (calcium phosphate ceramics – beta-tricalcium phosphate (β-TCP) and biphasic calcium phosphate (BCP)) after maxillary sinus lifts to see which material retains bone volume better. Interventions included a two-stage sinus floor elevation using β-TCP or BCP as the bone substitute. Comparison groups included a two-stage sinus floor elevation using a different autograft, allograft, xenograft, alloplastic material, or combinations of these substances. In total 8 studies fulfilled all inclusion criteria and underwent systematic review: 6 randomized clinical trials, and 2 cohort studies. Five studies included in this systematic review histologically described the formation of the new bone. Sinuses augmented with β-TCP showed a mean volume of new bone ranging from 26.92% ± 7.26% to 47.6% ± 9.9% and an average residual volume of graft ranged from 30.39% ± 10.29% to 32.25% ± 8.48% in reviewed articles. Sites augmented with BCP (comprising β-TCP and hydroxyapatite) showed an average bone volume ranging from 23.0% ± 8.80% to 43.4% ± 6.1% and the remaining volume of evaluated grafting material ranged from 16.4 ± 11.4% to 32.9% ± 15.6%. Biphasic calcium phosphate and β-tricalcium phosphate could have favourable results in sinus floor elevation procedures. </w:t>
            </w:r>
            <w:proofErr w:type="spellStart"/>
            <w:r w:rsidRPr="0007789E">
              <w:rPr>
                <w:sz w:val="24"/>
                <w:szCs w:val="24"/>
                <w:lang w:val="en-AE"/>
              </w:rPr>
              <w:t>Alloplast</w:t>
            </w:r>
            <w:proofErr w:type="spellEnd"/>
            <w:r w:rsidRPr="0007789E">
              <w:rPr>
                <w:sz w:val="24"/>
                <w:szCs w:val="24"/>
                <w:lang w:val="en-AE"/>
              </w:rPr>
              <w:t xml:space="preserve"> can ensure sufficient new bone formation and a stable volume of residual graft particles compared to other graft materials. © 2023 Annals of Dental Specialty.</w:t>
            </w:r>
          </w:p>
        </w:tc>
      </w:tr>
    </w:tbl>
    <w:p w14:paraId="1167539E"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07789E" w:rsidRPr="00945C0B" w14:paraId="3B7FBFE5" w14:textId="77777777" w:rsidTr="00C70D37">
        <w:trPr>
          <w:tblCellSpacing w:w="0" w:type="dxa"/>
          <w:jc w:val="center"/>
        </w:trPr>
        <w:tc>
          <w:tcPr>
            <w:tcW w:w="0" w:type="auto"/>
            <w:vAlign w:val="center"/>
            <w:hideMark/>
          </w:tcPr>
          <w:p w14:paraId="43FF7D89" w14:textId="77777777" w:rsidR="0007789E" w:rsidRPr="00945C0B" w:rsidRDefault="0007789E" w:rsidP="00C70D37">
            <w:pPr>
              <w:rPr>
                <w:sz w:val="28"/>
                <w:szCs w:val="28"/>
                <w:lang w:val="en-AE"/>
              </w:rPr>
            </w:pPr>
            <w:r>
              <w:rPr>
                <w:sz w:val="28"/>
                <w:szCs w:val="28"/>
                <w:lang w:val="en-AE"/>
              </w:rPr>
              <w:pict w14:anchorId="0ECA35F9">
                <v:rect id="_x0000_i1025" style="width:322.5pt;height:1.5pt" o:hrpct="0" o:hralign="center" o:hrstd="t" o:hr="t" fillcolor="#a0a0a0" stroked="f"/>
              </w:pict>
            </w:r>
          </w:p>
        </w:tc>
      </w:tr>
    </w:tbl>
    <w:p w14:paraId="2EF186D7"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17"/>
        <w:gridCol w:w="8809"/>
      </w:tblGrid>
      <w:tr w:rsidR="0007789E" w:rsidRPr="00945C0B" w14:paraId="5AE93305" w14:textId="77777777" w:rsidTr="00C70D37">
        <w:trPr>
          <w:tblCellSpacing w:w="0" w:type="dxa"/>
          <w:jc w:val="center"/>
        </w:trPr>
        <w:tc>
          <w:tcPr>
            <w:tcW w:w="117" w:type="dxa"/>
            <w:hideMark/>
          </w:tcPr>
          <w:p w14:paraId="02CEA6FF" w14:textId="77777777" w:rsidR="0007789E" w:rsidRPr="00945C0B" w:rsidRDefault="0007789E" w:rsidP="00C70D37">
            <w:pPr>
              <w:rPr>
                <w:sz w:val="28"/>
                <w:szCs w:val="28"/>
                <w:lang w:val="en-AE"/>
              </w:rPr>
            </w:pPr>
            <w:r w:rsidRPr="00945C0B">
              <w:rPr>
                <w:sz w:val="28"/>
                <w:szCs w:val="28"/>
                <w:lang w:val="en-AE"/>
              </w:rPr>
              <w:t> </w:t>
            </w:r>
          </w:p>
          <w:p w14:paraId="4CE943A7" w14:textId="77777777" w:rsidR="0007789E" w:rsidRPr="00945C0B" w:rsidRDefault="0007789E" w:rsidP="00C70D37">
            <w:pPr>
              <w:rPr>
                <w:sz w:val="28"/>
                <w:szCs w:val="28"/>
                <w:lang w:val="en-AE"/>
              </w:rPr>
            </w:pPr>
            <w:r w:rsidRPr="00945C0B">
              <w:rPr>
                <w:sz w:val="28"/>
                <w:szCs w:val="28"/>
                <w:lang w:val="en-AE"/>
              </w:rPr>
              <w:t>2</w:t>
            </w:r>
          </w:p>
        </w:tc>
        <w:tc>
          <w:tcPr>
            <w:tcW w:w="6093" w:type="dxa"/>
            <w:hideMark/>
          </w:tcPr>
          <w:p w14:paraId="2BD52E4B" w14:textId="77777777" w:rsidR="0007789E" w:rsidRPr="00945C0B" w:rsidRDefault="0007789E" w:rsidP="00C70D37">
            <w:pPr>
              <w:numPr>
                <w:ilvl w:val="0"/>
                <w:numId w:val="2"/>
              </w:numPr>
              <w:rPr>
                <w:sz w:val="28"/>
                <w:szCs w:val="28"/>
                <w:lang w:val="en-AE"/>
              </w:rPr>
            </w:pPr>
            <w:r w:rsidRPr="00945C0B">
              <w:rPr>
                <w:sz w:val="28"/>
                <w:szCs w:val="28"/>
                <w:lang w:val="en-AE"/>
              </w:rPr>
              <w:t xml:space="preserve">Shetty, K </w:t>
            </w:r>
            <w:proofErr w:type="spellStart"/>
            <w:r w:rsidRPr="00945C0B">
              <w:rPr>
                <w:sz w:val="28"/>
                <w:szCs w:val="28"/>
                <w:lang w:val="en-AE"/>
              </w:rPr>
              <w:t>Mahabalesh</w:t>
            </w:r>
            <w:r w:rsidRPr="00945C0B">
              <w:rPr>
                <w:sz w:val="28"/>
                <w:szCs w:val="28"/>
                <w:vertAlign w:val="superscript"/>
                <w:lang w:val="en-AE"/>
              </w:rPr>
              <w:t>a</w:t>
            </w:r>
            <w:proofErr w:type="spellEnd"/>
          </w:p>
          <w:p w14:paraId="2C5DCECF" w14:textId="77777777" w:rsidR="0007789E" w:rsidRPr="00945C0B" w:rsidRDefault="0007789E" w:rsidP="00C70D37">
            <w:pPr>
              <w:numPr>
                <w:ilvl w:val="0"/>
                <w:numId w:val="2"/>
              </w:numPr>
              <w:rPr>
                <w:sz w:val="28"/>
                <w:szCs w:val="28"/>
                <w:lang w:val="en-AE"/>
              </w:rPr>
            </w:pPr>
            <w:r w:rsidRPr="00945C0B">
              <w:rPr>
                <w:sz w:val="28"/>
                <w:szCs w:val="28"/>
                <w:lang w:val="en-AE"/>
              </w:rPr>
              <w:t xml:space="preserve">Rao, </w:t>
            </w:r>
            <w:proofErr w:type="spellStart"/>
            <w:r w:rsidRPr="00945C0B">
              <w:rPr>
                <w:sz w:val="28"/>
                <w:szCs w:val="28"/>
                <w:lang w:val="en-AE"/>
              </w:rPr>
              <w:t>Kumuda</w:t>
            </w:r>
            <w:r w:rsidRPr="00945C0B">
              <w:rPr>
                <w:sz w:val="28"/>
                <w:szCs w:val="28"/>
                <w:vertAlign w:val="superscript"/>
                <w:lang w:val="en-AE"/>
              </w:rPr>
              <w:t>b</w:t>
            </w:r>
            <w:proofErr w:type="spellEnd"/>
          </w:p>
          <w:p w14:paraId="25D3B3B1" w14:textId="77777777" w:rsidR="0007789E" w:rsidRPr="00945C0B" w:rsidRDefault="0007789E" w:rsidP="00C70D37">
            <w:pPr>
              <w:numPr>
                <w:ilvl w:val="0"/>
                <w:numId w:val="2"/>
              </w:numPr>
              <w:rPr>
                <w:sz w:val="28"/>
                <w:szCs w:val="28"/>
                <w:lang w:val="en-AE"/>
              </w:rPr>
            </w:pPr>
            <w:r w:rsidRPr="00945C0B">
              <w:rPr>
                <w:sz w:val="28"/>
                <w:szCs w:val="28"/>
                <w:lang w:val="en-AE"/>
              </w:rPr>
              <w:t>Premalatha, </w:t>
            </w:r>
            <w:r w:rsidRPr="00945C0B">
              <w:rPr>
                <w:sz w:val="28"/>
                <w:szCs w:val="28"/>
                <w:vertAlign w:val="superscript"/>
                <w:lang w:val="en-AE"/>
              </w:rPr>
              <w:t>c</w:t>
            </w:r>
          </w:p>
          <w:p w14:paraId="45A154A2" w14:textId="77777777" w:rsidR="0007789E" w:rsidRPr="00945C0B" w:rsidRDefault="0007789E" w:rsidP="00C70D37">
            <w:pPr>
              <w:rPr>
                <w:sz w:val="28"/>
                <w:szCs w:val="28"/>
                <w:lang w:val="en-AE"/>
              </w:rPr>
            </w:pPr>
            <w:hyperlink r:id="rId6" w:tgtFrame="_blank" w:history="1">
              <w:r w:rsidRPr="00945C0B">
                <w:rPr>
                  <w:rStyle w:val="Hyperlink"/>
                  <w:b/>
                  <w:bCs/>
                  <w:sz w:val="28"/>
                  <w:szCs w:val="28"/>
                  <w:lang w:val="en-AE"/>
                </w:rPr>
                <w:t>Application of maxillary sinus and nasal aperture morphology for forensic identification with the aid of CBCT imaging: A review</w:t>
              </w:r>
            </w:hyperlink>
          </w:p>
          <w:p w14:paraId="5938A1B1" w14:textId="77777777" w:rsidR="0007789E" w:rsidRPr="00945C0B" w:rsidRDefault="0007789E" w:rsidP="00C70D37">
            <w:pPr>
              <w:rPr>
                <w:sz w:val="28"/>
                <w:szCs w:val="28"/>
                <w:lang w:val="en-AE"/>
              </w:rPr>
            </w:pPr>
            <w:r w:rsidRPr="00945C0B">
              <w:rPr>
                <w:sz w:val="28"/>
                <w:szCs w:val="28"/>
                <w:lang w:val="en-AE"/>
              </w:rPr>
              <w:t>Journal of Indian Academy of Forensic Medicine</w:t>
            </w:r>
          </w:p>
          <w:p w14:paraId="6C9FF125" w14:textId="77777777" w:rsidR="0007789E" w:rsidRPr="00945C0B" w:rsidRDefault="0007789E" w:rsidP="00C70D37">
            <w:pPr>
              <w:rPr>
                <w:sz w:val="28"/>
                <w:szCs w:val="28"/>
                <w:lang w:val="en-AE"/>
              </w:rPr>
            </w:pPr>
            <w:r w:rsidRPr="00945C0B">
              <w:rPr>
                <w:sz w:val="28"/>
                <w:szCs w:val="28"/>
                <w:lang w:val="en-AE"/>
              </w:rPr>
              <w:lastRenderedPageBreak/>
              <w:t>Abstract</w:t>
            </w:r>
          </w:p>
          <w:p w14:paraId="4EF2FD38" w14:textId="77777777" w:rsidR="0007789E" w:rsidRPr="00945C0B" w:rsidRDefault="0007789E" w:rsidP="00C70D37">
            <w:pPr>
              <w:rPr>
                <w:sz w:val="28"/>
                <w:szCs w:val="28"/>
                <w:lang w:val="en-AE"/>
              </w:rPr>
            </w:pPr>
            <w:r w:rsidRPr="00945C0B">
              <w:rPr>
                <w:sz w:val="28"/>
                <w:szCs w:val="28"/>
                <w:lang w:val="en-AE"/>
              </w:rPr>
              <w:t xml:space="preserve">Bone remodelling of the cranium determines the enlargement of the maxillary sinus. The process involves the resorption of the internal walls of the maxillary sinus minutely exceeding the growth of maxilla. During this process, there is bone deposition taking place at the medial border of the nasal cavity, and simultaneous resorption of the lateral wall of the nasal cavity causing differences in quantitative measurements of the nasal aperture too. Maxillary sinuses have been reported to stay intact even though the skull and other bones of the cranium may be severely disfigured in victims who are incinerated or during external trauma. Any morphometric measurements like the width, the depth or the height may be used to investigate the accuracy and reliability of maxillary sinus data for purpose of human identification and sex estimation. These dimensions can be correlated with the measurements of the nasal </w:t>
            </w:r>
            <w:proofErr w:type="gramStart"/>
            <w:r w:rsidRPr="00945C0B">
              <w:rPr>
                <w:sz w:val="28"/>
                <w:szCs w:val="28"/>
                <w:lang w:val="en-AE"/>
              </w:rPr>
              <w:t>aperture</w:t>
            </w:r>
            <w:proofErr w:type="gramEnd"/>
            <w:r w:rsidRPr="00945C0B">
              <w:rPr>
                <w:sz w:val="28"/>
                <w:szCs w:val="28"/>
                <w:lang w:val="en-AE"/>
              </w:rPr>
              <w:t xml:space="preserve"> and this will also give an insight into the role of the midface in development of the cranium. These measurements are also important anthropometric parameters for classifying the race of an individual whose identity is unknown. © 2021. Journal of Indian Academy of Forensic Medicine. All rights reserved.</w:t>
            </w:r>
          </w:p>
        </w:tc>
      </w:tr>
    </w:tbl>
    <w:p w14:paraId="3F573350"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07789E" w:rsidRPr="00945C0B" w14:paraId="4C2E378E" w14:textId="77777777" w:rsidTr="00C70D37">
        <w:trPr>
          <w:tblCellSpacing w:w="0" w:type="dxa"/>
          <w:jc w:val="center"/>
        </w:trPr>
        <w:tc>
          <w:tcPr>
            <w:tcW w:w="0" w:type="auto"/>
            <w:vAlign w:val="center"/>
            <w:hideMark/>
          </w:tcPr>
          <w:p w14:paraId="0F585E81" w14:textId="77777777" w:rsidR="0007789E" w:rsidRPr="00945C0B" w:rsidRDefault="0007789E" w:rsidP="00C70D37">
            <w:pPr>
              <w:rPr>
                <w:sz w:val="28"/>
                <w:szCs w:val="28"/>
                <w:lang w:val="en-AE"/>
              </w:rPr>
            </w:pPr>
            <w:r>
              <w:rPr>
                <w:sz w:val="28"/>
                <w:szCs w:val="28"/>
                <w:lang w:val="en-AE"/>
              </w:rPr>
              <w:pict w14:anchorId="7E854EE5">
                <v:rect id="_x0000_i1026" style="width:322.5pt;height:1.5pt" o:hrpct="0" o:hralign="center" o:hrstd="t" o:hr="t" fillcolor="#a0a0a0" stroked="f"/>
              </w:pict>
            </w:r>
          </w:p>
        </w:tc>
      </w:tr>
    </w:tbl>
    <w:p w14:paraId="2416215F"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17"/>
        <w:gridCol w:w="8809"/>
      </w:tblGrid>
      <w:tr w:rsidR="0007789E" w:rsidRPr="00945C0B" w14:paraId="7498363F" w14:textId="77777777" w:rsidTr="00C70D37">
        <w:trPr>
          <w:tblCellSpacing w:w="0" w:type="dxa"/>
          <w:jc w:val="center"/>
        </w:trPr>
        <w:tc>
          <w:tcPr>
            <w:tcW w:w="117" w:type="dxa"/>
            <w:hideMark/>
          </w:tcPr>
          <w:p w14:paraId="000B0ABD" w14:textId="77777777" w:rsidR="0007789E" w:rsidRPr="00945C0B" w:rsidRDefault="0007789E" w:rsidP="00C70D37">
            <w:pPr>
              <w:rPr>
                <w:sz w:val="28"/>
                <w:szCs w:val="28"/>
                <w:lang w:val="en-AE"/>
              </w:rPr>
            </w:pPr>
            <w:r w:rsidRPr="00945C0B">
              <w:rPr>
                <w:sz w:val="28"/>
                <w:szCs w:val="28"/>
                <w:lang w:val="en-AE"/>
              </w:rPr>
              <w:t> </w:t>
            </w:r>
          </w:p>
          <w:p w14:paraId="42A7A43D" w14:textId="77777777" w:rsidR="0007789E" w:rsidRPr="00945C0B" w:rsidRDefault="0007789E" w:rsidP="00C70D37">
            <w:pPr>
              <w:rPr>
                <w:sz w:val="28"/>
                <w:szCs w:val="28"/>
                <w:lang w:val="en-AE"/>
              </w:rPr>
            </w:pPr>
            <w:r w:rsidRPr="00945C0B">
              <w:rPr>
                <w:sz w:val="28"/>
                <w:szCs w:val="28"/>
                <w:lang w:val="en-AE"/>
              </w:rPr>
              <w:t>3</w:t>
            </w:r>
          </w:p>
        </w:tc>
        <w:tc>
          <w:tcPr>
            <w:tcW w:w="6093" w:type="dxa"/>
            <w:hideMark/>
          </w:tcPr>
          <w:p w14:paraId="34549F1D" w14:textId="77777777" w:rsidR="0007789E" w:rsidRPr="00945C0B" w:rsidRDefault="0007789E" w:rsidP="00C70D37">
            <w:pPr>
              <w:numPr>
                <w:ilvl w:val="0"/>
                <w:numId w:val="3"/>
              </w:numPr>
              <w:rPr>
                <w:sz w:val="28"/>
                <w:szCs w:val="28"/>
                <w:lang w:val="en-AE"/>
              </w:rPr>
            </w:pPr>
            <w:r w:rsidRPr="00945C0B">
              <w:rPr>
                <w:sz w:val="28"/>
                <w:szCs w:val="28"/>
                <w:lang w:val="en-AE"/>
              </w:rPr>
              <w:t xml:space="preserve">Thompson, Christopher </w:t>
            </w:r>
            <w:proofErr w:type="spellStart"/>
            <w:r w:rsidRPr="00945C0B">
              <w:rPr>
                <w:sz w:val="28"/>
                <w:szCs w:val="28"/>
                <w:lang w:val="en-AE"/>
              </w:rPr>
              <w:t>F.</w:t>
            </w:r>
            <w:r w:rsidRPr="00945C0B">
              <w:rPr>
                <w:sz w:val="28"/>
                <w:szCs w:val="28"/>
                <w:vertAlign w:val="superscript"/>
                <w:lang w:val="en-AE"/>
              </w:rPr>
              <w:t>a</w:t>
            </w:r>
            <w:proofErr w:type="spellEnd"/>
          </w:p>
          <w:p w14:paraId="2D68F2AE" w14:textId="77777777" w:rsidR="0007789E" w:rsidRPr="00945C0B" w:rsidRDefault="0007789E" w:rsidP="00C70D37">
            <w:pPr>
              <w:numPr>
                <w:ilvl w:val="0"/>
                <w:numId w:val="3"/>
              </w:numPr>
              <w:rPr>
                <w:sz w:val="28"/>
                <w:szCs w:val="28"/>
                <w:lang w:val="en-AE"/>
              </w:rPr>
            </w:pPr>
            <w:r w:rsidRPr="00945C0B">
              <w:rPr>
                <w:sz w:val="28"/>
                <w:szCs w:val="28"/>
                <w:lang w:val="en-AE"/>
              </w:rPr>
              <w:t xml:space="preserve">Conley, David </w:t>
            </w:r>
            <w:proofErr w:type="spellStart"/>
            <w:r w:rsidRPr="00945C0B">
              <w:rPr>
                <w:sz w:val="28"/>
                <w:szCs w:val="28"/>
                <w:lang w:val="en-AE"/>
              </w:rPr>
              <w:t>B.</w:t>
            </w:r>
            <w:r w:rsidRPr="00945C0B">
              <w:rPr>
                <w:sz w:val="28"/>
                <w:szCs w:val="28"/>
                <w:vertAlign w:val="superscript"/>
                <w:lang w:val="en-AE"/>
              </w:rPr>
              <w:t>a</w:t>
            </w:r>
            <w:proofErr w:type="spellEnd"/>
          </w:p>
          <w:p w14:paraId="2E32BA34" w14:textId="77777777" w:rsidR="0007789E" w:rsidRPr="00945C0B" w:rsidRDefault="0007789E" w:rsidP="00C70D37">
            <w:pPr>
              <w:rPr>
                <w:sz w:val="28"/>
                <w:szCs w:val="28"/>
                <w:lang w:val="en-AE"/>
              </w:rPr>
            </w:pPr>
            <w:hyperlink r:id="rId7" w:tgtFrame="_blank" w:history="1">
              <w:r w:rsidRPr="00945C0B">
                <w:rPr>
                  <w:rStyle w:val="Hyperlink"/>
                  <w:b/>
                  <w:bCs/>
                  <w:sz w:val="28"/>
                  <w:szCs w:val="28"/>
                  <w:lang w:val="en-AE"/>
                </w:rPr>
                <w:t>What is the optimal maxillary antrostomy size during sinus surgery?</w:t>
              </w:r>
            </w:hyperlink>
          </w:p>
          <w:p w14:paraId="6B1E312F" w14:textId="77777777" w:rsidR="0007789E" w:rsidRPr="00945C0B" w:rsidRDefault="0007789E" w:rsidP="00C70D37">
            <w:pPr>
              <w:rPr>
                <w:sz w:val="28"/>
                <w:szCs w:val="28"/>
                <w:lang w:val="en-AE"/>
              </w:rPr>
            </w:pPr>
            <w:r w:rsidRPr="00945C0B">
              <w:rPr>
                <w:sz w:val="28"/>
                <w:szCs w:val="28"/>
                <w:lang w:val="en-AE"/>
              </w:rPr>
              <w:t>Current Opinion in Otolaryngology and Head and Neck Surgery</w:t>
            </w:r>
          </w:p>
          <w:p w14:paraId="0051BF2E" w14:textId="77777777" w:rsidR="0007789E" w:rsidRPr="00945C0B" w:rsidRDefault="0007789E" w:rsidP="00C70D37">
            <w:pPr>
              <w:rPr>
                <w:sz w:val="28"/>
                <w:szCs w:val="28"/>
                <w:lang w:val="en-AE"/>
              </w:rPr>
            </w:pPr>
            <w:r w:rsidRPr="00945C0B">
              <w:rPr>
                <w:sz w:val="28"/>
                <w:szCs w:val="28"/>
                <w:lang w:val="en-AE"/>
              </w:rPr>
              <w:t>Abstract</w:t>
            </w:r>
          </w:p>
          <w:p w14:paraId="5B1FF8CA" w14:textId="77777777" w:rsidR="0007789E" w:rsidRPr="00945C0B" w:rsidRDefault="0007789E" w:rsidP="00C70D37">
            <w:pPr>
              <w:rPr>
                <w:sz w:val="28"/>
                <w:szCs w:val="28"/>
                <w:lang w:val="en-AE"/>
              </w:rPr>
            </w:pPr>
            <w:r w:rsidRPr="00945C0B">
              <w:rPr>
                <w:sz w:val="28"/>
                <w:szCs w:val="28"/>
                <w:lang w:val="en-AE"/>
              </w:rPr>
              <w:t xml:space="preserve">PURPOSE OF REVIEW: To review all the journal articles relevant to chronic maxillary sinusitis in order to discuss the optimal size of maxillary antrostomy during endoscopic sinus surgery. RECENT FINDINGS: Although endoscopic maxillary antrostomy is a longstanding and frequently performed procedure, there is limited evidence about the optimal size of the antrostomy. Commonly employed surgical options include dilation via balloon sinuplasty, traditional antrostomy with </w:t>
            </w:r>
            <w:proofErr w:type="spellStart"/>
            <w:r w:rsidRPr="00945C0B">
              <w:rPr>
                <w:sz w:val="28"/>
                <w:szCs w:val="28"/>
                <w:lang w:val="en-AE"/>
              </w:rPr>
              <w:t>uncinectomy</w:t>
            </w:r>
            <w:proofErr w:type="spellEnd"/>
            <w:r w:rsidRPr="00945C0B">
              <w:rPr>
                <w:sz w:val="28"/>
                <w:szCs w:val="28"/>
                <w:lang w:val="en-AE"/>
              </w:rPr>
              <w:t xml:space="preserve"> using forceps and powered </w:t>
            </w:r>
            <w:proofErr w:type="spellStart"/>
            <w:r w:rsidRPr="00945C0B">
              <w:rPr>
                <w:sz w:val="28"/>
                <w:szCs w:val="28"/>
                <w:lang w:val="en-AE"/>
              </w:rPr>
              <w:t>microdebriders</w:t>
            </w:r>
            <w:proofErr w:type="spellEnd"/>
            <w:r w:rsidRPr="00945C0B">
              <w:rPr>
                <w:sz w:val="28"/>
                <w:szCs w:val="28"/>
                <w:lang w:val="en-AE"/>
              </w:rPr>
              <w:t xml:space="preserve">, enlargement of the natural ostium, and the mega-antrostomy or modified medial </w:t>
            </w:r>
            <w:r w:rsidRPr="00945C0B">
              <w:rPr>
                <w:sz w:val="28"/>
                <w:szCs w:val="28"/>
                <w:lang w:val="en-AE"/>
              </w:rPr>
              <w:lastRenderedPageBreak/>
              <w:t xml:space="preserve">maxillectomy. Historically, inferior antrostomies or nasal-antral windows were commonly utilized in the </w:t>
            </w:r>
            <w:proofErr w:type="spellStart"/>
            <w:r w:rsidRPr="00945C0B">
              <w:rPr>
                <w:sz w:val="28"/>
                <w:szCs w:val="28"/>
                <w:lang w:val="en-AE"/>
              </w:rPr>
              <w:t>preendoscopic</w:t>
            </w:r>
            <w:proofErr w:type="spellEnd"/>
            <w:r w:rsidRPr="00945C0B">
              <w:rPr>
                <w:sz w:val="28"/>
                <w:szCs w:val="28"/>
                <w:lang w:val="en-AE"/>
              </w:rPr>
              <w:t xml:space="preserve"> era, although this procedure is less commonly used today. SUMMARY: Balloon sinuplasty can be effective in dilating the ethmoid infundibulum and natural ostium for select patients with isolated maxillary sinusitis or mild disease. A standard antrostomy using biting forceps and powered instrumentation is more appropriate for advanced disease such as severe mucosal hyperplasia or nasal polyps, as it allows for visualization of the maxillary sinus cavity and more effective topical delivery of saline irrigations and medications. For recalcitrant maxillary sinusitis, the mega-antrostomy allows for gravity-dependent drainage and is most appropriate for patients with inherent mucociliary defects.</w:t>
            </w:r>
          </w:p>
        </w:tc>
      </w:tr>
    </w:tbl>
    <w:p w14:paraId="0E660773"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07789E" w:rsidRPr="00945C0B" w14:paraId="42380FF5" w14:textId="77777777" w:rsidTr="00C70D37">
        <w:trPr>
          <w:tblCellSpacing w:w="0" w:type="dxa"/>
          <w:jc w:val="center"/>
        </w:trPr>
        <w:tc>
          <w:tcPr>
            <w:tcW w:w="0" w:type="auto"/>
            <w:vAlign w:val="center"/>
            <w:hideMark/>
          </w:tcPr>
          <w:p w14:paraId="7B38844A" w14:textId="77777777" w:rsidR="0007789E" w:rsidRPr="00945C0B" w:rsidRDefault="0007789E" w:rsidP="00C70D37">
            <w:pPr>
              <w:rPr>
                <w:sz w:val="28"/>
                <w:szCs w:val="28"/>
                <w:lang w:val="en-AE"/>
              </w:rPr>
            </w:pPr>
            <w:r>
              <w:rPr>
                <w:sz w:val="28"/>
                <w:szCs w:val="28"/>
                <w:lang w:val="en-AE"/>
              </w:rPr>
              <w:pict w14:anchorId="5B30A54B">
                <v:rect id="_x0000_i1027" style="width:322.5pt;height:1.5pt" o:hrpct="0" o:hralign="center" o:hrstd="t" o:hr="t" fillcolor="#a0a0a0" stroked="f"/>
              </w:pict>
            </w:r>
          </w:p>
        </w:tc>
      </w:tr>
    </w:tbl>
    <w:p w14:paraId="7BC8F441"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17"/>
        <w:gridCol w:w="8809"/>
      </w:tblGrid>
      <w:tr w:rsidR="0007789E" w:rsidRPr="00945C0B" w14:paraId="6E26E10E" w14:textId="77777777" w:rsidTr="00C70D37">
        <w:trPr>
          <w:tblCellSpacing w:w="0" w:type="dxa"/>
          <w:jc w:val="center"/>
        </w:trPr>
        <w:tc>
          <w:tcPr>
            <w:tcW w:w="117" w:type="dxa"/>
            <w:hideMark/>
          </w:tcPr>
          <w:p w14:paraId="674F620A" w14:textId="77777777" w:rsidR="0007789E" w:rsidRPr="00945C0B" w:rsidRDefault="0007789E" w:rsidP="00C70D37">
            <w:pPr>
              <w:rPr>
                <w:sz w:val="28"/>
                <w:szCs w:val="28"/>
                <w:lang w:val="en-AE"/>
              </w:rPr>
            </w:pPr>
            <w:r w:rsidRPr="00945C0B">
              <w:rPr>
                <w:sz w:val="28"/>
                <w:szCs w:val="28"/>
                <w:lang w:val="en-AE"/>
              </w:rPr>
              <w:t> </w:t>
            </w:r>
          </w:p>
          <w:p w14:paraId="6B71005B" w14:textId="77777777" w:rsidR="0007789E" w:rsidRPr="00945C0B" w:rsidRDefault="0007789E" w:rsidP="00C70D37">
            <w:pPr>
              <w:rPr>
                <w:sz w:val="28"/>
                <w:szCs w:val="28"/>
                <w:lang w:val="en-AE"/>
              </w:rPr>
            </w:pPr>
            <w:r w:rsidRPr="00945C0B">
              <w:rPr>
                <w:sz w:val="28"/>
                <w:szCs w:val="28"/>
                <w:lang w:val="en-AE"/>
              </w:rPr>
              <w:t>4</w:t>
            </w:r>
          </w:p>
        </w:tc>
        <w:tc>
          <w:tcPr>
            <w:tcW w:w="6093" w:type="dxa"/>
            <w:hideMark/>
          </w:tcPr>
          <w:p w14:paraId="6927A462" w14:textId="77777777" w:rsidR="0007789E" w:rsidRPr="00945C0B" w:rsidRDefault="0007789E" w:rsidP="00C70D37">
            <w:pPr>
              <w:numPr>
                <w:ilvl w:val="0"/>
                <w:numId w:val="4"/>
              </w:numPr>
              <w:rPr>
                <w:sz w:val="28"/>
                <w:szCs w:val="28"/>
                <w:lang w:val="en-AE"/>
              </w:rPr>
            </w:pPr>
            <w:r w:rsidRPr="00945C0B">
              <w:rPr>
                <w:sz w:val="28"/>
                <w:szCs w:val="28"/>
                <w:lang w:val="en-AE"/>
              </w:rPr>
              <w:t>Lawson, William</w:t>
            </w:r>
            <w:r w:rsidRPr="00945C0B">
              <w:rPr>
                <w:sz w:val="28"/>
                <w:szCs w:val="28"/>
                <w:vertAlign w:val="superscript"/>
                <w:lang w:val="en-AE"/>
              </w:rPr>
              <w:t>a</w:t>
            </w:r>
          </w:p>
          <w:p w14:paraId="30DA3139" w14:textId="77777777" w:rsidR="0007789E" w:rsidRPr="00945C0B" w:rsidRDefault="0007789E" w:rsidP="00C70D37">
            <w:pPr>
              <w:numPr>
                <w:ilvl w:val="0"/>
                <w:numId w:val="4"/>
              </w:numPr>
              <w:rPr>
                <w:sz w:val="28"/>
                <w:szCs w:val="28"/>
                <w:lang w:val="en-AE"/>
              </w:rPr>
            </w:pPr>
            <w:r w:rsidRPr="00945C0B">
              <w:rPr>
                <w:sz w:val="28"/>
                <w:szCs w:val="28"/>
                <w:lang w:val="en-AE"/>
              </w:rPr>
              <w:t xml:space="preserve">Patel, Zara </w:t>
            </w:r>
            <w:proofErr w:type="spellStart"/>
            <w:r w:rsidRPr="00945C0B">
              <w:rPr>
                <w:sz w:val="28"/>
                <w:szCs w:val="28"/>
                <w:lang w:val="en-AE"/>
              </w:rPr>
              <w:t>M.</w:t>
            </w:r>
            <w:r w:rsidRPr="00945C0B">
              <w:rPr>
                <w:sz w:val="28"/>
                <w:szCs w:val="28"/>
                <w:vertAlign w:val="superscript"/>
                <w:lang w:val="en-AE"/>
              </w:rPr>
              <w:t>a</w:t>
            </w:r>
            <w:proofErr w:type="spellEnd"/>
          </w:p>
          <w:p w14:paraId="3D9F2795" w14:textId="77777777" w:rsidR="0007789E" w:rsidRPr="00945C0B" w:rsidRDefault="0007789E" w:rsidP="00C70D37">
            <w:pPr>
              <w:numPr>
                <w:ilvl w:val="0"/>
                <w:numId w:val="4"/>
              </w:numPr>
              <w:rPr>
                <w:sz w:val="28"/>
                <w:szCs w:val="28"/>
                <w:lang w:val="en-AE"/>
              </w:rPr>
            </w:pPr>
            <w:r w:rsidRPr="00945C0B">
              <w:rPr>
                <w:sz w:val="28"/>
                <w:szCs w:val="28"/>
                <w:lang w:val="en-AE"/>
              </w:rPr>
              <w:t xml:space="preserve">Lin, Fred </w:t>
            </w:r>
            <w:proofErr w:type="spellStart"/>
            <w:r w:rsidRPr="00945C0B">
              <w:rPr>
                <w:sz w:val="28"/>
                <w:szCs w:val="28"/>
                <w:lang w:val="en-AE"/>
              </w:rPr>
              <w:t>Y.</w:t>
            </w:r>
            <w:r w:rsidRPr="00945C0B">
              <w:rPr>
                <w:sz w:val="28"/>
                <w:szCs w:val="28"/>
                <w:vertAlign w:val="superscript"/>
                <w:lang w:val="en-AE"/>
              </w:rPr>
              <w:t>a</w:t>
            </w:r>
            <w:proofErr w:type="spellEnd"/>
          </w:p>
          <w:p w14:paraId="1DBE4ABC" w14:textId="77777777" w:rsidR="0007789E" w:rsidRPr="00945C0B" w:rsidRDefault="0007789E" w:rsidP="00C70D37">
            <w:pPr>
              <w:rPr>
                <w:sz w:val="28"/>
                <w:szCs w:val="28"/>
                <w:lang w:val="en-AE"/>
              </w:rPr>
            </w:pPr>
            <w:hyperlink r:id="rId8" w:tgtFrame="_blank" w:history="1">
              <w:r w:rsidRPr="00945C0B">
                <w:rPr>
                  <w:rStyle w:val="Hyperlink"/>
                  <w:b/>
                  <w:bCs/>
                  <w:sz w:val="28"/>
                  <w:szCs w:val="28"/>
                  <w:lang w:val="en-AE"/>
                </w:rPr>
                <w:t>The development and pathologic processes that influence maxillary sinus pneumatization</w:t>
              </w:r>
            </w:hyperlink>
          </w:p>
          <w:p w14:paraId="2845CC57" w14:textId="77777777" w:rsidR="0007789E" w:rsidRPr="00945C0B" w:rsidRDefault="0007789E" w:rsidP="00C70D37">
            <w:pPr>
              <w:rPr>
                <w:sz w:val="28"/>
                <w:szCs w:val="28"/>
                <w:lang w:val="en-AE"/>
              </w:rPr>
            </w:pPr>
            <w:r w:rsidRPr="00945C0B">
              <w:rPr>
                <w:sz w:val="28"/>
                <w:szCs w:val="28"/>
                <w:lang w:val="en-AE"/>
              </w:rPr>
              <w:t>Anatomical Record</w:t>
            </w:r>
          </w:p>
          <w:p w14:paraId="18BCE85F" w14:textId="77777777" w:rsidR="0007789E" w:rsidRPr="00945C0B" w:rsidRDefault="0007789E" w:rsidP="00C70D37">
            <w:pPr>
              <w:rPr>
                <w:sz w:val="28"/>
                <w:szCs w:val="28"/>
                <w:lang w:val="en-AE"/>
              </w:rPr>
            </w:pPr>
            <w:r w:rsidRPr="00945C0B">
              <w:rPr>
                <w:sz w:val="28"/>
                <w:szCs w:val="28"/>
                <w:lang w:val="en-AE"/>
              </w:rPr>
              <w:t>Abstract</w:t>
            </w:r>
          </w:p>
          <w:p w14:paraId="222B31EC" w14:textId="77777777" w:rsidR="0007789E" w:rsidRPr="00945C0B" w:rsidRDefault="0007789E" w:rsidP="00C70D37">
            <w:pPr>
              <w:rPr>
                <w:sz w:val="28"/>
                <w:szCs w:val="28"/>
                <w:lang w:val="en-AE"/>
              </w:rPr>
            </w:pPr>
            <w:r w:rsidRPr="00945C0B">
              <w:rPr>
                <w:sz w:val="28"/>
                <w:szCs w:val="28"/>
                <w:lang w:val="en-AE"/>
              </w:rPr>
              <w:t xml:space="preserve">The maxillary sinus is universally described as a pyramidal-shaped cavity in the maxilla. Hypoplasia, which can occur unilaterally or bilaterally, is graded by the authors by the degree of failure of descent below the nasal floor in achieving its position adjacent to the posterior dentition in the adult. Unlike early studies using plain X-rays, which considered pneumatization into the zygomatic recess and dental alveolus as criteria, the authors have adopted the above-cited parameters based on computed tomography (CT) imaging, which reveals that even when smaller the sinus retains a pyramidal configuration, although truncated. Rarely, the sinus is excessively pneumatized in the </w:t>
            </w:r>
            <w:proofErr w:type="spellStart"/>
            <w:r w:rsidRPr="00945C0B">
              <w:rPr>
                <w:sz w:val="28"/>
                <w:szCs w:val="28"/>
                <w:lang w:val="en-AE"/>
              </w:rPr>
              <w:t>nonpathologic</w:t>
            </w:r>
            <w:proofErr w:type="spellEnd"/>
            <w:r w:rsidRPr="00945C0B">
              <w:rPr>
                <w:sz w:val="28"/>
                <w:szCs w:val="28"/>
                <w:lang w:val="en-AE"/>
              </w:rPr>
              <w:t xml:space="preserve"> state. Review of the literature failed to reveal a comprehensive study of the conditions that alter maxillary sinus volume and configuration. Based on a retrospective review of 6,000 high resolution CT scans of the paranasal sinuses, the types and relative incidences of these conditions have been </w:t>
            </w:r>
            <w:r w:rsidRPr="00945C0B">
              <w:rPr>
                <w:sz w:val="28"/>
                <w:szCs w:val="28"/>
                <w:lang w:val="en-AE"/>
              </w:rPr>
              <w:lastRenderedPageBreak/>
              <w:t xml:space="preserve">determined, and a classification system proposed. The mixed-sex sample group (= 2,540) was comprised of </w:t>
            </w:r>
            <w:proofErr w:type="spellStart"/>
            <w:r w:rsidRPr="00945C0B">
              <w:rPr>
                <w:sz w:val="28"/>
                <w:szCs w:val="28"/>
                <w:lang w:val="en-AE"/>
              </w:rPr>
              <w:t>nonpediatric</w:t>
            </w:r>
            <w:proofErr w:type="spellEnd"/>
            <w:r w:rsidRPr="00945C0B">
              <w:rPr>
                <w:sz w:val="28"/>
                <w:szCs w:val="28"/>
                <w:lang w:val="en-AE"/>
              </w:rPr>
              <w:t xml:space="preserve"> (adolescent and adult) and was of a polyethnic composition. Results showed that enlargement of the sinus is uncommonly </w:t>
            </w:r>
            <w:proofErr w:type="gramStart"/>
            <w:r w:rsidRPr="00945C0B">
              <w:rPr>
                <w:sz w:val="28"/>
                <w:szCs w:val="28"/>
                <w:lang w:val="en-AE"/>
              </w:rPr>
              <w:t>encountered, and</w:t>
            </w:r>
            <w:proofErr w:type="gramEnd"/>
            <w:r w:rsidRPr="00945C0B">
              <w:rPr>
                <w:sz w:val="28"/>
                <w:szCs w:val="28"/>
                <w:lang w:val="en-AE"/>
              </w:rPr>
              <w:t xml:space="preserve"> is produced by air (</w:t>
            </w:r>
            <w:proofErr w:type="spellStart"/>
            <w:r w:rsidRPr="00945C0B">
              <w:rPr>
                <w:sz w:val="28"/>
                <w:szCs w:val="28"/>
                <w:lang w:val="en-AE"/>
              </w:rPr>
              <w:t>pneumocele</w:t>
            </w:r>
            <w:proofErr w:type="spellEnd"/>
            <w:r w:rsidRPr="00945C0B">
              <w:rPr>
                <w:sz w:val="28"/>
                <w:szCs w:val="28"/>
                <w:lang w:val="en-AE"/>
              </w:rPr>
              <w:t xml:space="preserve">) and mucus (mucocele) entrapment, or by benign </w:t>
            </w:r>
            <w:proofErr w:type="spellStart"/>
            <w:r w:rsidRPr="00945C0B">
              <w:rPr>
                <w:sz w:val="28"/>
                <w:szCs w:val="28"/>
                <w:lang w:val="en-AE"/>
              </w:rPr>
              <w:t>tumors</w:t>
            </w:r>
            <w:proofErr w:type="spellEnd"/>
            <w:r w:rsidRPr="00945C0B">
              <w:rPr>
                <w:sz w:val="28"/>
                <w:szCs w:val="28"/>
                <w:lang w:val="en-AE"/>
              </w:rPr>
              <w:t xml:space="preserve"> which have arisen in the sinus or adjacent maxilla and have grown </w:t>
            </w:r>
            <w:proofErr w:type="spellStart"/>
            <w:r w:rsidRPr="00945C0B">
              <w:rPr>
                <w:sz w:val="28"/>
                <w:szCs w:val="28"/>
                <w:lang w:val="en-AE"/>
              </w:rPr>
              <w:t>intracavitarily</w:t>
            </w:r>
            <w:proofErr w:type="spellEnd"/>
            <w:r w:rsidRPr="00945C0B">
              <w:rPr>
                <w:sz w:val="28"/>
                <w:szCs w:val="28"/>
                <w:lang w:val="en-AE"/>
              </w:rPr>
              <w:t xml:space="preserve">, with the sinus walls expanding and </w:t>
            </w:r>
            <w:proofErr w:type="spellStart"/>
            <w:r w:rsidRPr="00945C0B">
              <w:rPr>
                <w:sz w:val="28"/>
                <w:szCs w:val="28"/>
                <w:lang w:val="en-AE"/>
              </w:rPr>
              <w:t>remodeling</w:t>
            </w:r>
            <w:proofErr w:type="spellEnd"/>
            <w:r w:rsidRPr="00945C0B">
              <w:rPr>
                <w:sz w:val="28"/>
                <w:szCs w:val="28"/>
                <w:lang w:val="en-AE"/>
              </w:rPr>
              <w:t xml:space="preserve"> to accommodate them. Reduction in size and volume is more frequent. </w:t>
            </w:r>
            <w:proofErr w:type="spellStart"/>
            <w:r w:rsidRPr="00945C0B">
              <w:rPr>
                <w:sz w:val="28"/>
                <w:szCs w:val="28"/>
                <w:lang w:val="en-AE"/>
              </w:rPr>
              <w:t>Heredo</w:t>
            </w:r>
            <w:proofErr w:type="spellEnd"/>
            <w:r w:rsidRPr="00945C0B">
              <w:rPr>
                <w:sz w:val="28"/>
                <w:szCs w:val="28"/>
                <w:lang w:val="en-AE"/>
              </w:rPr>
              <w:t xml:space="preserve">-familial syndromic conditions reduce sinus size by impaired facial growth </w:t>
            </w:r>
            <w:proofErr w:type="spellStart"/>
            <w:r w:rsidRPr="00945C0B">
              <w:rPr>
                <w:sz w:val="28"/>
                <w:szCs w:val="28"/>
                <w:lang w:val="en-AE"/>
              </w:rPr>
              <w:t>centers</w:t>
            </w:r>
            <w:proofErr w:type="spellEnd"/>
            <w:r w:rsidRPr="00945C0B">
              <w:rPr>
                <w:sz w:val="28"/>
                <w:szCs w:val="28"/>
                <w:lang w:val="en-AE"/>
              </w:rPr>
              <w:t xml:space="preserve">, or obliteration by dense osteosclerosis. Irradiation for neoplastic disease in the </w:t>
            </w:r>
            <w:proofErr w:type="spellStart"/>
            <w:r w:rsidRPr="00945C0B">
              <w:rPr>
                <w:sz w:val="28"/>
                <w:szCs w:val="28"/>
                <w:lang w:val="en-AE"/>
              </w:rPr>
              <w:t>pediatric</w:t>
            </w:r>
            <w:proofErr w:type="spellEnd"/>
            <w:r w:rsidRPr="00945C0B">
              <w:rPr>
                <w:sz w:val="28"/>
                <w:szCs w:val="28"/>
                <w:lang w:val="en-AE"/>
              </w:rPr>
              <w:t xml:space="preserve"> </w:t>
            </w:r>
            <w:proofErr w:type="gramStart"/>
            <w:r w:rsidRPr="00945C0B">
              <w:rPr>
                <w:sz w:val="28"/>
                <w:szCs w:val="28"/>
                <w:lang w:val="en-AE"/>
              </w:rPr>
              <w:t>population</w:t>
            </w:r>
            <w:proofErr w:type="gramEnd"/>
            <w:r w:rsidRPr="00945C0B">
              <w:rPr>
                <w:sz w:val="28"/>
                <w:szCs w:val="28"/>
                <w:lang w:val="en-AE"/>
              </w:rPr>
              <w:t xml:space="preserve"> similarly, directly </w:t>
            </w:r>
            <w:proofErr w:type="spellStart"/>
            <w:r w:rsidRPr="00945C0B">
              <w:rPr>
                <w:sz w:val="28"/>
                <w:szCs w:val="28"/>
                <w:lang w:val="en-AE"/>
              </w:rPr>
              <w:t>effect</w:t>
            </w:r>
            <w:proofErr w:type="spellEnd"/>
            <w:r w:rsidRPr="00945C0B">
              <w:rPr>
                <w:sz w:val="28"/>
                <w:szCs w:val="28"/>
                <w:lang w:val="en-AE"/>
              </w:rPr>
              <w:t xml:space="preserve"> growth </w:t>
            </w:r>
            <w:proofErr w:type="spellStart"/>
            <w:r w:rsidRPr="00945C0B">
              <w:rPr>
                <w:sz w:val="28"/>
                <w:szCs w:val="28"/>
                <w:lang w:val="en-AE"/>
              </w:rPr>
              <w:t>centers</w:t>
            </w:r>
            <w:proofErr w:type="spellEnd"/>
            <w:r w:rsidRPr="00945C0B">
              <w:rPr>
                <w:sz w:val="28"/>
                <w:szCs w:val="28"/>
                <w:lang w:val="en-AE"/>
              </w:rPr>
              <w:t xml:space="preserve">, or impairs pituitary function. Another iatrogenic cause, direct surgical intervention (Caldwell-Luc procedure) almost universally alters sinus volume and shape by </w:t>
            </w:r>
            <w:proofErr w:type="spellStart"/>
            <w:r w:rsidRPr="00945C0B">
              <w:rPr>
                <w:sz w:val="28"/>
                <w:szCs w:val="28"/>
                <w:lang w:val="en-AE"/>
              </w:rPr>
              <w:t>osteoneogenesis</w:t>
            </w:r>
            <w:proofErr w:type="spellEnd"/>
            <w:r w:rsidRPr="00945C0B">
              <w:rPr>
                <w:sz w:val="28"/>
                <w:szCs w:val="28"/>
                <w:lang w:val="en-AE"/>
              </w:rPr>
              <w:t xml:space="preserve">. Midfacial fractures involving the sinus also produce distortion by sclerosis as well as by </w:t>
            </w:r>
            <w:proofErr w:type="spellStart"/>
            <w:r w:rsidRPr="00945C0B">
              <w:rPr>
                <w:sz w:val="28"/>
                <w:szCs w:val="28"/>
                <w:lang w:val="en-AE"/>
              </w:rPr>
              <w:t>malpositioning</w:t>
            </w:r>
            <w:proofErr w:type="spellEnd"/>
            <w:r w:rsidRPr="00945C0B">
              <w:rPr>
                <w:sz w:val="28"/>
                <w:szCs w:val="28"/>
                <w:lang w:val="en-AE"/>
              </w:rPr>
              <w:t xml:space="preserve"> of bone fragments. The principal systemic disorders, sickle cell </w:t>
            </w:r>
            <w:proofErr w:type="spellStart"/>
            <w:r w:rsidRPr="00945C0B">
              <w:rPr>
                <w:sz w:val="28"/>
                <w:szCs w:val="28"/>
                <w:lang w:val="en-AE"/>
              </w:rPr>
              <w:t>anemia</w:t>
            </w:r>
            <w:proofErr w:type="spellEnd"/>
            <w:r w:rsidRPr="00945C0B">
              <w:rPr>
                <w:sz w:val="28"/>
                <w:szCs w:val="28"/>
                <w:lang w:val="en-AE"/>
              </w:rPr>
              <w:t xml:space="preserve"> and osteopetrosis, which diffusely effect medullary bone, do so either through compensatory marrow proliferation or sclerotic new bone formation, thus serving to produce maxillary enlargement and sinus obliteration. The greatest source of maxillary sinus distortion and destruction are neoplasms. Malignant sinonasal and oral cavity </w:t>
            </w:r>
            <w:proofErr w:type="spellStart"/>
            <w:r w:rsidRPr="00945C0B">
              <w:rPr>
                <w:sz w:val="28"/>
                <w:szCs w:val="28"/>
                <w:lang w:val="en-AE"/>
              </w:rPr>
              <w:t>tumors</w:t>
            </w:r>
            <w:proofErr w:type="spellEnd"/>
            <w:r w:rsidRPr="00945C0B">
              <w:rPr>
                <w:sz w:val="28"/>
                <w:szCs w:val="28"/>
                <w:lang w:val="en-AE"/>
              </w:rPr>
              <w:t xml:space="preserve"> produce bony erosion of the sinus walls, whereas benign odontogenic cysts remain external to the sinuses and compress it as they enlarge. Most odontogenic </w:t>
            </w:r>
            <w:proofErr w:type="spellStart"/>
            <w:r w:rsidRPr="00945C0B">
              <w:rPr>
                <w:sz w:val="28"/>
                <w:szCs w:val="28"/>
                <w:lang w:val="en-AE"/>
              </w:rPr>
              <w:t>tumors</w:t>
            </w:r>
            <w:proofErr w:type="spellEnd"/>
            <w:r w:rsidRPr="00945C0B">
              <w:rPr>
                <w:sz w:val="28"/>
                <w:szCs w:val="28"/>
                <w:lang w:val="en-AE"/>
              </w:rPr>
              <w:t xml:space="preserve"> produce external compression and </w:t>
            </w:r>
            <w:proofErr w:type="spellStart"/>
            <w:r w:rsidRPr="00945C0B">
              <w:rPr>
                <w:sz w:val="28"/>
                <w:szCs w:val="28"/>
                <w:lang w:val="en-AE"/>
              </w:rPr>
              <w:t>remodeling</w:t>
            </w:r>
            <w:proofErr w:type="spellEnd"/>
            <w:r w:rsidRPr="00945C0B">
              <w:rPr>
                <w:sz w:val="28"/>
                <w:szCs w:val="28"/>
                <w:lang w:val="en-AE"/>
              </w:rPr>
              <w:t>. Fibro-osseous disorders similarly produce size and shape distortions by external impingement. Although diverse developmental and pathological conditions influence maxillary sinus morphology, there is a limited range of biologic response. © 2008 Wiley-Liss, Inc.</w:t>
            </w:r>
          </w:p>
        </w:tc>
      </w:tr>
    </w:tbl>
    <w:p w14:paraId="6494CA5F"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07789E" w:rsidRPr="00945C0B" w14:paraId="065FAA5D" w14:textId="77777777" w:rsidTr="00C70D37">
        <w:trPr>
          <w:tblCellSpacing w:w="0" w:type="dxa"/>
          <w:jc w:val="center"/>
        </w:trPr>
        <w:tc>
          <w:tcPr>
            <w:tcW w:w="0" w:type="auto"/>
            <w:vAlign w:val="center"/>
            <w:hideMark/>
          </w:tcPr>
          <w:p w14:paraId="3B249B1E" w14:textId="77777777" w:rsidR="0007789E" w:rsidRPr="00945C0B" w:rsidRDefault="0007789E" w:rsidP="00C70D37">
            <w:pPr>
              <w:rPr>
                <w:sz w:val="28"/>
                <w:szCs w:val="28"/>
                <w:lang w:val="en-AE"/>
              </w:rPr>
            </w:pPr>
            <w:r>
              <w:rPr>
                <w:sz w:val="28"/>
                <w:szCs w:val="28"/>
                <w:lang w:val="en-AE"/>
              </w:rPr>
              <w:pict w14:anchorId="7442230E">
                <v:rect id="_x0000_i1028" style="width:322.5pt;height:1.5pt" o:hrpct="0" o:hralign="center" o:hrstd="t" o:hr="t" fillcolor="#a0a0a0" stroked="f"/>
              </w:pict>
            </w:r>
          </w:p>
        </w:tc>
      </w:tr>
    </w:tbl>
    <w:p w14:paraId="1F176ACF" w14:textId="77777777" w:rsidR="0007789E" w:rsidRPr="00945C0B" w:rsidRDefault="0007789E" w:rsidP="0007789E">
      <w:pPr>
        <w:rPr>
          <w:vanish/>
          <w:sz w:val="28"/>
          <w:szCs w:val="28"/>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17"/>
        <w:gridCol w:w="8809"/>
      </w:tblGrid>
      <w:tr w:rsidR="0007789E" w:rsidRPr="00945C0B" w14:paraId="1557689A" w14:textId="77777777" w:rsidTr="00C70D37">
        <w:trPr>
          <w:tblCellSpacing w:w="0" w:type="dxa"/>
          <w:jc w:val="center"/>
        </w:trPr>
        <w:tc>
          <w:tcPr>
            <w:tcW w:w="117" w:type="dxa"/>
            <w:hideMark/>
          </w:tcPr>
          <w:p w14:paraId="60694371" w14:textId="77777777" w:rsidR="0007789E" w:rsidRPr="00945C0B" w:rsidRDefault="0007789E" w:rsidP="00C70D37">
            <w:pPr>
              <w:rPr>
                <w:sz w:val="28"/>
                <w:szCs w:val="28"/>
                <w:lang w:val="en-AE"/>
              </w:rPr>
            </w:pPr>
            <w:r w:rsidRPr="00945C0B">
              <w:rPr>
                <w:sz w:val="28"/>
                <w:szCs w:val="28"/>
                <w:lang w:val="en-AE"/>
              </w:rPr>
              <w:t> </w:t>
            </w:r>
          </w:p>
          <w:p w14:paraId="414D2163" w14:textId="77777777" w:rsidR="0007789E" w:rsidRPr="00945C0B" w:rsidRDefault="0007789E" w:rsidP="00C70D37">
            <w:pPr>
              <w:rPr>
                <w:sz w:val="28"/>
                <w:szCs w:val="28"/>
                <w:lang w:val="en-AE"/>
              </w:rPr>
            </w:pPr>
            <w:r w:rsidRPr="00945C0B">
              <w:rPr>
                <w:sz w:val="28"/>
                <w:szCs w:val="28"/>
                <w:lang w:val="en-AE"/>
              </w:rPr>
              <w:t>5</w:t>
            </w:r>
          </w:p>
        </w:tc>
        <w:tc>
          <w:tcPr>
            <w:tcW w:w="6093" w:type="dxa"/>
            <w:hideMark/>
          </w:tcPr>
          <w:p w14:paraId="4706BCEA" w14:textId="77777777" w:rsidR="0007789E" w:rsidRPr="00945C0B" w:rsidRDefault="0007789E" w:rsidP="00C70D37">
            <w:pPr>
              <w:numPr>
                <w:ilvl w:val="0"/>
                <w:numId w:val="5"/>
              </w:numPr>
              <w:rPr>
                <w:sz w:val="28"/>
                <w:szCs w:val="28"/>
                <w:lang w:val="en-AE"/>
              </w:rPr>
            </w:pPr>
            <w:r w:rsidRPr="00945C0B">
              <w:rPr>
                <w:sz w:val="28"/>
                <w:szCs w:val="28"/>
                <w:lang w:val="en-AE"/>
              </w:rPr>
              <w:t xml:space="preserve">Niimi, </w:t>
            </w:r>
            <w:proofErr w:type="spellStart"/>
            <w:r w:rsidRPr="00945C0B">
              <w:rPr>
                <w:sz w:val="28"/>
                <w:szCs w:val="28"/>
                <w:lang w:val="en-AE"/>
              </w:rPr>
              <w:t>Yasunari</w:t>
            </w:r>
            <w:r w:rsidRPr="00945C0B">
              <w:rPr>
                <w:sz w:val="28"/>
                <w:szCs w:val="28"/>
                <w:vertAlign w:val="superscript"/>
                <w:lang w:val="en-AE"/>
              </w:rPr>
              <w:t>a</w:t>
            </w:r>
            <w:proofErr w:type="spellEnd"/>
          </w:p>
          <w:p w14:paraId="688A30B3" w14:textId="77777777" w:rsidR="0007789E" w:rsidRPr="00945C0B" w:rsidRDefault="0007789E" w:rsidP="00C70D37">
            <w:pPr>
              <w:numPr>
                <w:ilvl w:val="0"/>
                <w:numId w:val="5"/>
              </w:numPr>
              <w:rPr>
                <w:sz w:val="28"/>
                <w:szCs w:val="28"/>
                <w:lang w:val="en-AE"/>
              </w:rPr>
            </w:pPr>
            <w:r w:rsidRPr="00945C0B">
              <w:rPr>
                <w:sz w:val="28"/>
                <w:szCs w:val="28"/>
                <w:lang w:val="en-AE"/>
              </w:rPr>
              <w:t xml:space="preserve">Song, Joon </w:t>
            </w:r>
            <w:proofErr w:type="spellStart"/>
            <w:r w:rsidRPr="00945C0B">
              <w:rPr>
                <w:sz w:val="28"/>
                <w:szCs w:val="28"/>
                <w:lang w:val="en-AE"/>
              </w:rPr>
              <w:t>K.</w:t>
            </w:r>
            <w:r w:rsidRPr="00945C0B">
              <w:rPr>
                <w:sz w:val="28"/>
                <w:szCs w:val="28"/>
                <w:vertAlign w:val="superscript"/>
                <w:lang w:val="en-AE"/>
              </w:rPr>
              <w:t>a</w:t>
            </w:r>
            <w:proofErr w:type="spellEnd"/>
          </w:p>
          <w:p w14:paraId="187B3F1D" w14:textId="77777777" w:rsidR="0007789E" w:rsidRPr="00945C0B" w:rsidRDefault="0007789E" w:rsidP="00C70D37">
            <w:pPr>
              <w:numPr>
                <w:ilvl w:val="0"/>
                <w:numId w:val="5"/>
              </w:numPr>
              <w:rPr>
                <w:sz w:val="28"/>
                <w:szCs w:val="28"/>
                <w:lang w:val="en-AE"/>
              </w:rPr>
            </w:pPr>
            <w:r w:rsidRPr="00945C0B">
              <w:rPr>
                <w:sz w:val="28"/>
                <w:szCs w:val="28"/>
                <w:lang w:val="en-AE"/>
              </w:rPr>
              <w:t xml:space="preserve">Berenstein, </w:t>
            </w:r>
            <w:proofErr w:type="spellStart"/>
            <w:r w:rsidRPr="00945C0B">
              <w:rPr>
                <w:sz w:val="28"/>
                <w:szCs w:val="28"/>
                <w:lang w:val="en-AE"/>
              </w:rPr>
              <w:t>Alejandro</w:t>
            </w:r>
            <w:r w:rsidRPr="00945C0B">
              <w:rPr>
                <w:sz w:val="28"/>
                <w:szCs w:val="28"/>
                <w:vertAlign w:val="superscript"/>
                <w:lang w:val="en-AE"/>
              </w:rPr>
              <w:t>a</w:t>
            </w:r>
            <w:proofErr w:type="spellEnd"/>
          </w:p>
          <w:p w14:paraId="4B30E738" w14:textId="77777777" w:rsidR="0007789E" w:rsidRPr="00945C0B" w:rsidRDefault="0007789E" w:rsidP="00C70D37">
            <w:pPr>
              <w:rPr>
                <w:sz w:val="28"/>
                <w:szCs w:val="28"/>
                <w:lang w:val="en-AE"/>
              </w:rPr>
            </w:pPr>
            <w:hyperlink r:id="rId9" w:tgtFrame="_blank" w:history="1">
              <w:r w:rsidRPr="00945C0B">
                <w:rPr>
                  <w:rStyle w:val="Hyperlink"/>
                  <w:b/>
                  <w:bCs/>
                  <w:sz w:val="28"/>
                  <w:szCs w:val="28"/>
                  <w:lang w:val="en-AE"/>
                </w:rPr>
                <w:t>Current Endovascular Management of Maxillofacial Vascular Malformations</w:t>
              </w:r>
            </w:hyperlink>
          </w:p>
          <w:p w14:paraId="2E232537" w14:textId="77777777" w:rsidR="0007789E" w:rsidRPr="00945C0B" w:rsidRDefault="0007789E" w:rsidP="00C70D37">
            <w:pPr>
              <w:rPr>
                <w:sz w:val="28"/>
                <w:szCs w:val="28"/>
                <w:lang w:val="en-AE"/>
              </w:rPr>
            </w:pPr>
            <w:r w:rsidRPr="00945C0B">
              <w:rPr>
                <w:sz w:val="28"/>
                <w:szCs w:val="28"/>
                <w:lang w:val="en-AE"/>
              </w:rPr>
              <w:lastRenderedPageBreak/>
              <w:t>Neuroimaging Clinics of North America</w:t>
            </w:r>
          </w:p>
        </w:tc>
      </w:tr>
    </w:tbl>
    <w:p w14:paraId="430B22CA" w14:textId="77777777" w:rsidR="007B59C3" w:rsidRDefault="007B59C3"/>
    <w:sectPr w:rsidR="007B59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48BA"/>
    <w:multiLevelType w:val="multilevel"/>
    <w:tmpl w:val="71E0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E0890"/>
    <w:multiLevelType w:val="multilevel"/>
    <w:tmpl w:val="5E36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D02FA"/>
    <w:multiLevelType w:val="multilevel"/>
    <w:tmpl w:val="9C78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B578C"/>
    <w:multiLevelType w:val="multilevel"/>
    <w:tmpl w:val="D07E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46487D"/>
    <w:multiLevelType w:val="multilevel"/>
    <w:tmpl w:val="3952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069695">
    <w:abstractNumId w:val="3"/>
  </w:num>
  <w:num w:numId="2" w16cid:durableId="1110784688">
    <w:abstractNumId w:val="1"/>
  </w:num>
  <w:num w:numId="3" w16cid:durableId="175702438">
    <w:abstractNumId w:val="4"/>
  </w:num>
  <w:num w:numId="4" w16cid:durableId="1332443481">
    <w:abstractNumId w:val="2"/>
  </w:num>
  <w:num w:numId="5" w16cid:durableId="1114324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89E"/>
    <w:rsid w:val="0007789E"/>
    <w:rsid w:val="002A731F"/>
    <w:rsid w:val="00513776"/>
    <w:rsid w:val="007B59C3"/>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C999A"/>
  <w15:chartTrackingRefBased/>
  <w15:docId w15:val="{50234CE2-221B-42D8-B478-977A2567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89E"/>
    <w:rPr>
      <w:lang w:val="en-GB"/>
    </w:rPr>
  </w:style>
  <w:style w:type="paragraph" w:styleId="Heading1">
    <w:name w:val="heading 1"/>
    <w:basedOn w:val="Normal"/>
    <w:next w:val="Normal"/>
    <w:link w:val="Heading1Char"/>
    <w:uiPriority w:val="9"/>
    <w:qFormat/>
    <w:rsid w:val="00077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89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7789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7789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7789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7789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7789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7789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7789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7789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77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89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77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89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7789E"/>
    <w:pPr>
      <w:spacing w:before="160"/>
      <w:jc w:val="center"/>
    </w:pPr>
    <w:rPr>
      <w:i/>
      <w:iCs/>
      <w:color w:val="404040" w:themeColor="text1" w:themeTint="BF"/>
    </w:rPr>
  </w:style>
  <w:style w:type="character" w:customStyle="1" w:styleId="QuoteChar">
    <w:name w:val="Quote Char"/>
    <w:basedOn w:val="DefaultParagraphFont"/>
    <w:link w:val="Quote"/>
    <w:uiPriority w:val="29"/>
    <w:rsid w:val="0007789E"/>
    <w:rPr>
      <w:i/>
      <w:iCs/>
      <w:color w:val="404040" w:themeColor="text1" w:themeTint="BF"/>
      <w:lang w:val="en-GB"/>
    </w:rPr>
  </w:style>
  <w:style w:type="paragraph" w:styleId="ListParagraph">
    <w:name w:val="List Paragraph"/>
    <w:basedOn w:val="Normal"/>
    <w:uiPriority w:val="34"/>
    <w:qFormat/>
    <w:rsid w:val="0007789E"/>
    <w:pPr>
      <w:ind w:left="720"/>
      <w:contextualSpacing/>
    </w:pPr>
  </w:style>
  <w:style w:type="character" w:styleId="IntenseEmphasis">
    <w:name w:val="Intense Emphasis"/>
    <w:basedOn w:val="DefaultParagraphFont"/>
    <w:uiPriority w:val="21"/>
    <w:qFormat/>
    <w:rsid w:val="0007789E"/>
    <w:rPr>
      <w:i/>
      <w:iCs/>
      <w:color w:val="0F4761" w:themeColor="accent1" w:themeShade="BF"/>
    </w:rPr>
  </w:style>
  <w:style w:type="paragraph" w:styleId="IntenseQuote">
    <w:name w:val="Intense Quote"/>
    <w:basedOn w:val="Normal"/>
    <w:next w:val="Normal"/>
    <w:link w:val="IntenseQuoteChar"/>
    <w:uiPriority w:val="30"/>
    <w:qFormat/>
    <w:rsid w:val="00077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89E"/>
    <w:rPr>
      <w:i/>
      <w:iCs/>
      <w:color w:val="0F4761" w:themeColor="accent1" w:themeShade="BF"/>
      <w:lang w:val="en-GB"/>
    </w:rPr>
  </w:style>
  <w:style w:type="character" w:styleId="IntenseReference">
    <w:name w:val="Intense Reference"/>
    <w:basedOn w:val="DefaultParagraphFont"/>
    <w:uiPriority w:val="32"/>
    <w:qFormat/>
    <w:rsid w:val="0007789E"/>
    <w:rPr>
      <w:b/>
      <w:bCs/>
      <w:smallCaps/>
      <w:color w:val="0F4761" w:themeColor="accent1" w:themeShade="BF"/>
      <w:spacing w:val="5"/>
    </w:rPr>
  </w:style>
  <w:style w:type="character" w:styleId="Hyperlink">
    <w:name w:val="Hyperlink"/>
    <w:basedOn w:val="DefaultParagraphFont"/>
    <w:uiPriority w:val="99"/>
    <w:unhideWhenUsed/>
    <w:rsid w:val="0007789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ck.notification.elsevier.com/CL0/https:%2F%2Fwww.scopus.com%2Fpages%2Fpublications%2F58149333721/1/0100019a059e562b-129cfabd-dc99-41a0-92ad-aa652dce9d86-000000/AP3Me-xpwDhmJxVT2R-_pOTDPiRtrsCYd4AS69K5B5g=427" TargetMode="External"/><Relationship Id="rId3" Type="http://schemas.openxmlformats.org/officeDocument/2006/relationships/settings" Target="settings.xml"/><Relationship Id="rId7" Type="http://schemas.openxmlformats.org/officeDocument/2006/relationships/hyperlink" Target="https://click.notification.elsevier.com/CL0/https:%2F%2Fwww.scopus.com%2Fpages%2Fpublications%2F84921616671/1/0100019a059e562b-129cfabd-dc99-41a0-92ad-aa652dce9d86-000000/nJvHu49R_y5emwn4MCfrjxr1WUJ6UklyZRotXZ_z9rU=4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ck.notification.elsevier.com/CL0/https:%2F%2Fwww.scopus.com%2Fpages%2Fpublications%2F85126103908/1/0100019a059e562b-129cfabd-dc99-41a0-92ad-aa652dce9d86-000000/fosc7zGkngtWhBxpRPIFK_2D75FHxdoNcOulVuLHJuA=427" TargetMode="External"/><Relationship Id="rId11" Type="http://schemas.openxmlformats.org/officeDocument/2006/relationships/theme" Target="theme/theme1.xml"/><Relationship Id="rId5" Type="http://schemas.openxmlformats.org/officeDocument/2006/relationships/hyperlink" Target="https://click.notification.elsevier.com/CL0/https:%2F%2Fwww.scopus.com%2Fpages%2Fpublications%2F85195271406/1/0100019a059e562b-129cfabd-dc99-41a0-92ad-aa652dce9d86-000000/tzU14Af6azjAf1f2rCcPVyxtSuTh2ko4yBW3_nrYwXQ=42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lick.notification.elsevier.com/CL0/https:%2F%2Fwww.scopus.com%2Fpages%2Fpublications%2F34447523272/1/0100019a059e562b-129cfabd-dc99-41a0-92ad-aa652dce9d86-000000/yCM_I2Y3eUVF60ImZkcWkIjZTwHWN4ImXlEH2ccISuY=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1421</Words>
  <Characters>8106</Characters>
  <Application>Microsoft Office Word</Application>
  <DocSecurity>0</DocSecurity>
  <Lines>67</Lines>
  <Paragraphs>19</Paragraphs>
  <ScaleCrop>false</ScaleCrop>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S M A Almethin</dc:creator>
  <cp:keywords/>
  <dc:description/>
  <cp:lastModifiedBy>Khaled S M A Almethin</cp:lastModifiedBy>
  <cp:revision>1</cp:revision>
  <dcterms:created xsi:type="dcterms:W3CDTF">2025-10-22T10:37:00Z</dcterms:created>
  <dcterms:modified xsi:type="dcterms:W3CDTF">2025-10-22T10:39:00Z</dcterms:modified>
</cp:coreProperties>
</file>